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AC29D">
      <w:pPr>
        <w:pStyle w:val="2"/>
        <w:spacing w:line="257" w:lineRule="auto"/>
      </w:pPr>
    </w:p>
    <w:p w14:paraId="0E054C1B">
      <w:pPr>
        <w:pStyle w:val="2"/>
        <w:spacing w:line="257" w:lineRule="auto"/>
      </w:pPr>
    </w:p>
    <w:p w14:paraId="0F3F9D0F">
      <w:pPr>
        <w:pStyle w:val="2"/>
        <w:spacing w:line="258" w:lineRule="auto"/>
      </w:pPr>
    </w:p>
    <w:p w14:paraId="06471892">
      <w:pPr>
        <w:pStyle w:val="2"/>
        <w:spacing w:line="258" w:lineRule="auto"/>
      </w:pPr>
    </w:p>
    <w:p w14:paraId="01771F47">
      <w:pPr>
        <w:pStyle w:val="2"/>
        <w:spacing w:line="258" w:lineRule="auto"/>
      </w:pPr>
    </w:p>
    <w:p w14:paraId="6E15A850">
      <w:pPr>
        <w:pStyle w:val="2"/>
        <w:spacing w:line="258" w:lineRule="auto"/>
      </w:pPr>
    </w:p>
    <w:p w14:paraId="4DB6967B">
      <w:pPr>
        <w:spacing w:before="179" w:line="737" w:lineRule="exact"/>
        <w:ind w:right="21"/>
        <w:jc w:val="right"/>
        <w:rPr>
          <w:rFonts w:ascii="黑体" w:hAnsi="黑体" w:eastAsia="黑体" w:cs="黑体"/>
          <w:sz w:val="55"/>
          <w:szCs w:val="55"/>
        </w:rPr>
      </w:pPr>
      <w:r>
        <w:rPr>
          <w:rFonts w:ascii="黑体" w:hAnsi="黑体" w:eastAsia="黑体" w:cs="黑体"/>
          <w:b/>
          <w:bCs/>
          <w:spacing w:val="-1"/>
          <w:position w:val="2"/>
          <w:sz w:val="55"/>
          <w:szCs w:val="55"/>
        </w:rPr>
        <w:t>曲靖市“十四五”综合交通运输</w:t>
      </w:r>
    </w:p>
    <w:p w14:paraId="66CDDF12">
      <w:pPr>
        <w:spacing w:before="218" w:line="735" w:lineRule="exact"/>
        <w:ind w:left="3301"/>
        <w:rPr>
          <w:rFonts w:ascii="黑体" w:hAnsi="黑体" w:eastAsia="黑体" w:cs="黑体"/>
          <w:sz w:val="55"/>
          <w:szCs w:val="55"/>
        </w:rPr>
      </w:pPr>
      <w:r>
        <w:rPr>
          <w:rFonts w:ascii="黑体" w:hAnsi="黑体" w:eastAsia="黑体" w:cs="黑体"/>
          <w:b/>
          <w:bCs/>
          <w:spacing w:val="-4"/>
          <w:position w:val="2"/>
          <w:sz w:val="55"/>
          <w:szCs w:val="55"/>
        </w:rPr>
        <w:t>发展规划</w:t>
      </w:r>
    </w:p>
    <w:p w14:paraId="62D8E7C7">
      <w:pPr>
        <w:pStyle w:val="2"/>
        <w:spacing w:line="244" w:lineRule="auto"/>
      </w:pPr>
    </w:p>
    <w:p w14:paraId="5BBDC51C">
      <w:pPr>
        <w:pStyle w:val="2"/>
        <w:spacing w:line="244" w:lineRule="auto"/>
      </w:pPr>
    </w:p>
    <w:p w14:paraId="4BEB3785">
      <w:pPr>
        <w:pStyle w:val="2"/>
        <w:spacing w:line="244" w:lineRule="auto"/>
      </w:pPr>
    </w:p>
    <w:p w14:paraId="7DE1E3EA">
      <w:pPr>
        <w:pStyle w:val="2"/>
        <w:spacing w:line="244" w:lineRule="auto"/>
      </w:pPr>
    </w:p>
    <w:p w14:paraId="3BF6B0B9">
      <w:pPr>
        <w:pStyle w:val="2"/>
        <w:spacing w:line="244" w:lineRule="auto"/>
      </w:pPr>
    </w:p>
    <w:p w14:paraId="5484D63A">
      <w:pPr>
        <w:pStyle w:val="2"/>
        <w:spacing w:line="245" w:lineRule="auto"/>
      </w:pPr>
    </w:p>
    <w:p w14:paraId="586E6714">
      <w:pPr>
        <w:pStyle w:val="2"/>
        <w:spacing w:line="245" w:lineRule="auto"/>
      </w:pPr>
    </w:p>
    <w:p w14:paraId="0573D96C">
      <w:pPr>
        <w:pStyle w:val="2"/>
        <w:spacing w:line="245" w:lineRule="auto"/>
      </w:pPr>
    </w:p>
    <w:p w14:paraId="200606AF">
      <w:pPr>
        <w:pStyle w:val="2"/>
        <w:spacing w:line="245" w:lineRule="auto"/>
      </w:pPr>
    </w:p>
    <w:p w14:paraId="3478EDD8">
      <w:pPr>
        <w:pStyle w:val="2"/>
        <w:spacing w:line="245" w:lineRule="auto"/>
      </w:pPr>
    </w:p>
    <w:p w14:paraId="4F9D1942">
      <w:pPr>
        <w:pStyle w:val="2"/>
        <w:spacing w:line="245" w:lineRule="auto"/>
      </w:pPr>
    </w:p>
    <w:p w14:paraId="5316C041">
      <w:pPr>
        <w:pStyle w:val="2"/>
        <w:spacing w:line="245" w:lineRule="auto"/>
      </w:pPr>
    </w:p>
    <w:p w14:paraId="78BA1B4C">
      <w:pPr>
        <w:pStyle w:val="2"/>
        <w:spacing w:line="245" w:lineRule="auto"/>
      </w:pPr>
    </w:p>
    <w:p w14:paraId="4E4DB65B">
      <w:pPr>
        <w:pStyle w:val="2"/>
        <w:spacing w:line="245" w:lineRule="auto"/>
      </w:pPr>
    </w:p>
    <w:p w14:paraId="50C65F2F">
      <w:pPr>
        <w:pStyle w:val="2"/>
        <w:spacing w:line="245" w:lineRule="auto"/>
      </w:pPr>
    </w:p>
    <w:p w14:paraId="6A190B9F">
      <w:pPr>
        <w:pStyle w:val="2"/>
        <w:spacing w:line="245" w:lineRule="auto"/>
      </w:pPr>
    </w:p>
    <w:p w14:paraId="082F8C84">
      <w:pPr>
        <w:pStyle w:val="2"/>
        <w:spacing w:line="245" w:lineRule="auto"/>
      </w:pPr>
    </w:p>
    <w:p w14:paraId="3A342721">
      <w:pPr>
        <w:pStyle w:val="2"/>
        <w:spacing w:line="245" w:lineRule="auto"/>
      </w:pPr>
    </w:p>
    <w:p w14:paraId="52DC3FE5">
      <w:pPr>
        <w:pStyle w:val="2"/>
        <w:spacing w:line="245" w:lineRule="auto"/>
      </w:pPr>
    </w:p>
    <w:p w14:paraId="141CAC13">
      <w:pPr>
        <w:pStyle w:val="2"/>
        <w:spacing w:line="245" w:lineRule="auto"/>
      </w:pPr>
    </w:p>
    <w:p w14:paraId="78BCFFD5">
      <w:pPr>
        <w:pStyle w:val="2"/>
        <w:spacing w:line="245" w:lineRule="auto"/>
      </w:pPr>
    </w:p>
    <w:p w14:paraId="7EB4C307">
      <w:pPr>
        <w:pStyle w:val="2"/>
        <w:spacing w:line="245" w:lineRule="auto"/>
      </w:pPr>
    </w:p>
    <w:p w14:paraId="7829C568">
      <w:pPr>
        <w:pStyle w:val="2"/>
        <w:spacing w:line="245" w:lineRule="auto"/>
      </w:pPr>
    </w:p>
    <w:p w14:paraId="5F0EA99E">
      <w:pPr>
        <w:pStyle w:val="2"/>
        <w:spacing w:line="245" w:lineRule="auto"/>
      </w:pPr>
    </w:p>
    <w:p w14:paraId="6D977766">
      <w:pPr>
        <w:pStyle w:val="2"/>
        <w:spacing w:line="245" w:lineRule="auto"/>
      </w:pPr>
    </w:p>
    <w:p w14:paraId="23A1AD69">
      <w:pPr>
        <w:pStyle w:val="2"/>
        <w:spacing w:line="245" w:lineRule="auto"/>
      </w:pPr>
    </w:p>
    <w:p w14:paraId="5CB4E2D2">
      <w:pPr>
        <w:pStyle w:val="2"/>
        <w:spacing w:line="245" w:lineRule="auto"/>
      </w:pPr>
    </w:p>
    <w:p w14:paraId="2BCE539B">
      <w:pPr>
        <w:pStyle w:val="2"/>
        <w:spacing w:line="245" w:lineRule="auto"/>
      </w:pPr>
    </w:p>
    <w:p w14:paraId="7241C647">
      <w:pPr>
        <w:pStyle w:val="2"/>
        <w:spacing w:line="245" w:lineRule="auto"/>
      </w:pPr>
    </w:p>
    <w:p w14:paraId="4AA63E00">
      <w:pPr>
        <w:pStyle w:val="2"/>
        <w:spacing w:line="245" w:lineRule="auto"/>
      </w:pPr>
    </w:p>
    <w:p w14:paraId="6428B412">
      <w:pPr>
        <w:pStyle w:val="2"/>
        <w:spacing w:line="245" w:lineRule="auto"/>
      </w:pPr>
    </w:p>
    <w:p w14:paraId="70E45639">
      <w:pPr>
        <w:pStyle w:val="2"/>
        <w:spacing w:line="245" w:lineRule="auto"/>
      </w:pPr>
    </w:p>
    <w:p w14:paraId="52CDBE2B">
      <w:pPr>
        <w:pStyle w:val="2"/>
        <w:spacing w:line="245" w:lineRule="auto"/>
      </w:pPr>
    </w:p>
    <w:p w14:paraId="2CD46591">
      <w:pPr>
        <w:pStyle w:val="2"/>
        <w:spacing w:line="245" w:lineRule="auto"/>
      </w:pPr>
    </w:p>
    <w:p w14:paraId="6771BA48">
      <w:pPr>
        <w:pStyle w:val="2"/>
        <w:spacing w:line="245" w:lineRule="auto"/>
      </w:pPr>
    </w:p>
    <w:p w14:paraId="7AA3FC9B">
      <w:pPr>
        <w:pStyle w:val="2"/>
        <w:spacing w:line="245" w:lineRule="auto"/>
      </w:pPr>
    </w:p>
    <w:p w14:paraId="3980E617">
      <w:pPr>
        <w:spacing w:before="98" w:line="222" w:lineRule="auto"/>
        <w:ind w:left="3216"/>
        <w:rPr>
          <w:rFonts w:ascii="黑体" w:hAnsi="黑体" w:eastAsia="黑体" w:cs="黑体"/>
          <w:sz w:val="30"/>
          <w:szCs w:val="30"/>
        </w:rPr>
      </w:pPr>
      <w:r>
        <w:rPr>
          <w:rFonts w:ascii="黑体" w:hAnsi="黑体" w:eastAsia="黑体" w:cs="黑体"/>
          <w:b/>
          <w:bCs/>
          <w:spacing w:val="-6"/>
          <w:sz w:val="30"/>
          <w:szCs w:val="30"/>
        </w:rPr>
        <w:t>曲靖市交通运输局</w:t>
      </w:r>
    </w:p>
    <w:p w14:paraId="351569CF">
      <w:pPr>
        <w:pStyle w:val="2"/>
        <w:spacing w:line="258" w:lineRule="auto"/>
      </w:pPr>
    </w:p>
    <w:p w14:paraId="312D4C1D">
      <w:pPr>
        <w:spacing w:before="101" w:line="228" w:lineRule="auto"/>
        <w:ind w:left="3559"/>
        <w:rPr>
          <w:rFonts w:ascii="黑体" w:hAnsi="黑体" w:eastAsia="黑体" w:cs="黑体"/>
          <w:sz w:val="31"/>
          <w:szCs w:val="31"/>
        </w:rPr>
      </w:pPr>
      <w:r>
        <w:rPr>
          <w:rFonts w:ascii="黑体" w:hAnsi="黑体" w:eastAsia="黑体" w:cs="黑体"/>
          <w:b/>
          <w:bCs/>
          <w:spacing w:val="-2"/>
          <w:sz w:val="31"/>
          <w:szCs w:val="31"/>
        </w:rPr>
        <w:t>2022</w:t>
      </w:r>
      <w:r>
        <w:rPr>
          <w:rFonts w:ascii="黑体" w:hAnsi="黑体" w:eastAsia="黑体" w:cs="黑体"/>
          <w:spacing w:val="-61"/>
          <w:sz w:val="31"/>
          <w:szCs w:val="31"/>
        </w:rPr>
        <w:t xml:space="preserve"> </w:t>
      </w:r>
      <w:r>
        <w:rPr>
          <w:rFonts w:ascii="黑体" w:hAnsi="黑体" w:eastAsia="黑体" w:cs="黑体"/>
          <w:b/>
          <w:bCs/>
          <w:spacing w:val="-2"/>
          <w:sz w:val="31"/>
          <w:szCs w:val="31"/>
        </w:rPr>
        <w:t>年</w:t>
      </w:r>
      <w:r>
        <w:rPr>
          <w:rFonts w:ascii="黑体" w:hAnsi="黑体" w:eastAsia="黑体" w:cs="黑体"/>
          <w:spacing w:val="-69"/>
          <w:sz w:val="31"/>
          <w:szCs w:val="31"/>
        </w:rPr>
        <w:t xml:space="preserve"> </w:t>
      </w:r>
      <w:r>
        <w:rPr>
          <w:rFonts w:ascii="黑体" w:hAnsi="黑体" w:eastAsia="黑体" w:cs="黑体"/>
          <w:b/>
          <w:bCs/>
          <w:spacing w:val="-2"/>
          <w:sz w:val="31"/>
          <w:szCs w:val="31"/>
        </w:rPr>
        <w:t>5</w:t>
      </w:r>
      <w:r>
        <w:rPr>
          <w:rFonts w:ascii="黑体" w:hAnsi="黑体" w:eastAsia="黑体" w:cs="黑体"/>
          <w:spacing w:val="-52"/>
          <w:sz w:val="31"/>
          <w:szCs w:val="31"/>
        </w:rPr>
        <w:t xml:space="preserve"> </w:t>
      </w:r>
      <w:r>
        <w:rPr>
          <w:rFonts w:ascii="黑体" w:hAnsi="黑体" w:eastAsia="黑体" w:cs="黑体"/>
          <w:b/>
          <w:bCs/>
          <w:spacing w:val="-2"/>
          <w:sz w:val="31"/>
          <w:szCs w:val="31"/>
        </w:rPr>
        <w:t>月</w:t>
      </w:r>
    </w:p>
    <w:p w14:paraId="3CF25490">
      <w:pPr>
        <w:spacing w:line="228" w:lineRule="auto"/>
        <w:rPr>
          <w:rFonts w:ascii="黑体" w:hAnsi="黑体" w:eastAsia="黑体" w:cs="黑体"/>
          <w:sz w:val="31"/>
          <w:szCs w:val="31"/>
        </w:rPr>
        <w:sectPr>
          <w:pgSz w:w="11906" w:h="16839"/>
          <w:pgMar w:top="1431" w:right="1785" w:bottom="0" w:left="1785" w:header="0" w:footer="0" w:gutter="0"/>
          <w:cols w:space="720" w:num="1"/>
        </w:sectPr>
      </w:pPr>
    </w:p>
    <w:p w14:paraId="4661B9EC">
      <w:pPr>
        <w:pStyle w:val="2"/>
      </w:pPr>
    </w:p>
    <w:p w14:paraId="182E43D6">
      <w:pPr>
        <w:sectPr>
          <w:headerReference r:id="rId5" w:type="default"/>
          <w:footerReference r:id="rId6" w:type="default"/>
          <w:pgSz w:w="11906" w:h="16839"/>
          <w:pgMar w:top="0" w:right="0" w:bottom="0" w:left="0" w:header="0" w:footer="0" w:gutter="0"/>
          <w:cols w:space="720" w:num="1"/>
        </w:sectPr>
      </w:pPr>
    </w:p>
    <w:sdt>
      <w:sdtPr>
        <w:rPr>
          <w:rFonts w:ascii="Arial" w:hAnsi="Arial" w:eastAsia="Arial" w:cs="Arial"/>
          <w:sz w:val="21"/>
          <w:szCs w:val="21"/>
        </w:rPr>
        <w:id w:val="147483055"/>
        <w:docPartObj>
          <w:docPartGallery w:val="Table of Contents"/>
          <w:docPartUnique/>
        </w:docPartObj>
      </w:sdtPr>
      <w:sdtEndPr>
        <w:rPr>
          <w:rFonts w:ascii="仿宋" w:hAnsi="仿宋" w:eastAsia="仿宋" w:cs="仿宋"/>
          <w:sz w:val="28"/>
          <w:szCs w:val="28"/>
        </w:rPr>
      </w:sdtEndPr>
      <w:sdtContent>
        <w:p w14:paraId="604547BA">
          <w:pPr>
            <w:spacing w:before="290" w:line="227" w:lineRule="auto"/>
            <w:ind w:left="4162"/>
            <w:rPr>
              <w:rFonts w:ascii="黑体" w:hAnsi="黑体" w:eastAsia="黑体" w:cs="黑体"/>
              <w:sz w:val="31"/>
              <w:szCs w:val="31"/>
            </w:rPr>
          </w:pPr>
          <w:r>
            <w:rPr>
              <w:rFonts w:ascii="黑体" w:hAnsi="黑体" w:eastAsia="黑体" w:cs="黑体"/>
              <w:b/>
              <w:bCs/>
              <w:spacing w:val="-25"/>
              <w:sz w:val="31"/>
              <w:szCs w:val="31"/>
            </w:rPr>
            <w:t>目</w:t>
          </w:r>
          <w:r>
            <w:rPr>
              <w:rFonts w:ascii="黑体" w:hAnsi="黑体" w:eastAsia="黑体" w:cs="黑体"/>
              <w:spacing w:val="14"/>
              <w:sz w:val="31"/>
              <w:szCs w:val="31"/>
            </w:rPr>
            <w:t xml:space="preserve">  </w:t>
          </w:r>
          <w:r>
            <w:rPr>
              <w:rFonts w:ascii="黑体" w:hAnsi="黑体" w:eastAsia="黑体" w:cs="黑体"/>
              <w:b/>
              <w:bCs/>
              <w:spacing w:val="-25"/>
              <w:sz w:val="31"/>
              <w:szCs w:val="31"/>
            </w:rPr>
            <w:t>录</w:t>
          </w:r>
        </w:p>
        <w:p w14:paraId="64C07795">
          <w:pPr>
            <w:pStyle w:val="2"/>
            <w:spacing w:line="257" w:lineRule="auto"/>
          </w:pPr>
        </w:p>
        <w:p w14:paraId="07BE4419">
          <w:pPr>
            <w:tabs>
              <w:tab w:val="right" w:leader="dot" w:pos="9185"/>
            </w:tabs>
            <w:spacing w:before="91" w:line="188" w:lineRule="auto"/>
            <w:ind w:left="10"/>
            <w:rPr>
              <w:rFonts w:ascii="仿宋" w:hAnsi="仿宋" w:eastAsia="仿宋" w:cs="仿宋"/>
              <w:sz w:val="28"/>
              <w:szCs w:val="28"/>
            </w:rPr>
          </w:pPr>
          <w:r>
            <w:fldChar w:fldCharType="begin"/>
          </w:r>
          <w:r>
            <w:instrText xml:space="preserve"> HYPERLINK \l "bookmark1" </w:instrText>
          </w:r>
          <w:r>
            <w:fldChar w:fldCharType="separate"/>
          </w:r>
          <w:r>
            <w:rPr>
              <w:rFonts w:ascii="黑体" w:hAnsi="黑体" w:eastAsia="黑体" w:cs="黑体"/>
              <w:spacing w:val="-16"/>
              <w:position w:val="-1"/>
              <w:sz w:val="28"/>
              <w:szCs w:val="28"/>
            </w:rPr>
            <w:t>前</w:t>
          </w:r>
          <w:r>
            <w:rPr>
              <w:rFonts w:ascii="黑体" w:hAnsi="黑体" w:eastAsia="黑体" w:cs="黑体"/>
              <w:spacing w:val="11"/>
              <w:position w:val="-1"/>
              <w:sz w:val="28"/>
              <w:szCs w:val="28"/>
            </w:rPr>
            <w:t xml:space="preserve">  </w:t>
          </w:r>
          <w:r>
            <w:rPr>
              <w:rFonts w:ascii="黑体" w:hAnsi="黑体" w:eastAsia="黑体" w:cs="黑体"/>
              <w:spacing w:val="-16"/>
              <w:position w:val="-1"/>
              <w:sz w:val="28"/>
              <w:szCs w:val="28"/>
            </w:rPr>
            <w:t>言</w:t>
          </w:r>
          <w:r>
            <w:rPr>
              <w:rFonts w:ascii="黑体" w:hAnsi="黑体" w:eastAsia="黑体" w:cs="黑体"/>
              <w:sz w:val="28"/>
              <w:szCs w:val="28"/>
            </w:rPr>
            <w:tab/>
          </w:r>
          <w:r>
            <w:rPr>
              <w:rFonts w:ascii="黑体" w:hAnsi="黑体" w:eastAsia="黑体" w:cs="黑体"/>
              <w:spacing w:val="-81"/>
              <w:position w:val="-1"/>
              <w:sz w:val="28"/>
              <w:szCs w:val="28"/>
            </w:rPr>
            <w:t xml:space="preserve"> </w:t>
          </w:r>
          <w:r>
            <w:rPr>
              <w:rFonts w:ascii="仿宋" w:hAnsi="仿宋" w:eastAsia="仿宋" w:cs="仿宋"/>
              <w:b/>
              <w:bCs/>
              <w:spacing w:val="-22"/>
              <w:position w:val="-1"/>
              <w:sz w:val="28"/>
              <w:szCs w:val="28"/>
            </w:rPr>
            <w:t>-</w:t>
          </w:r>
          <w:r>
            <w:rPr>
              <w:rFonts w:ascii="仿宋" w:hAnsi="仿宋" w:eastAsia="仿宋" w:cs="仿宋"/>
              <w:spacing w:val="29"/>
              <w:position w:val="-1"/>
              <w:sz w:val="28"/>
              <w:szCs w:val="28"/>
            </w:rPr>
            <w:t xml:space="preserve"> </w:t>
          </w:r>
          <w:r>
            <w:rPr>
              <w:rFonts w:ascii="仿宋" w:hAnsi="仿宋" w:eastAsia="仿宋" w:cs="仿宋"/>
              <w:b/>
              <w:bCs/>
              <w:spacing w:val="-21"/>
              <w:position w:val="-1"/>
              <w:sz w:val="28"/>
              <w:szCs w:val="28"/>
            </w:rPr>
            <w:t>1</w:t>
          </w:r>
          <w:r>
            <w:rPr>
              <w:rFonts w:ascii="仿宋" w:hAnsi="仿宋" w:eastAsia="仿宋" w:cs="仿宋"/>
              <w:spacing w:val="11"/>
              <w:position w:val="-1"/>
              <w:sz w:val="28"/>
              <w:szCs w:val="28"/>
            </w:rPr>
            <w:t xml:space="preserve"> </w:t>
          </w:r>
          <w:r>
            <w:rPr>
              <w:rFonts w:ascii="仿宋" w:hAnsi="仿宋" w:eastAsia="仿宋" w:cs="仿宋"/>
              <w:b/>
              <w:bCs/>
              <w:spacing w:val="-11"/>
              <w:position w:val="-1"/>
              <w:sz w:val="28"/>
              <w:szCs w:val="28"/>
            </w:rPr>
            <w:t>-</w:t>
          </w:r>
          <w:r>
            <w:rPr>
              <w:rFonts w:ascii="仿宋" w:hAnsi="仿宋" w:eastAsia="仿宋" w:cs="仿宋"/>
              <w:b/>
              <w:bCs/>
              <w:spacing w:val="-11"/>
              <w:position w:val="-1"/>
              <w:sz w:val="28"/>
              <w:szCs w:val="28"/>
            </w:rPr>
            <w:fldChar w:fldCharType="end"/>
          </w:r>
        </w:p>
        <w:p w14:paraId="355A40DD">
          <w:pPr>
            <w:tabs>
              <w:tab w:val="right" w:leader="dot" w:pos="9185"/>
            </w:tabs>
            <w:spacing w:before="235" w:line="188" w:lineRule="auto"/>
            <w:ind w:left="14"/>
            <w:rPr>
              <w:rFonts w:ascii="仿宋" w:hAnsi="仿宋" w:eastAsia="仿宋" w:cs="仿宋"/>
              <w:sz w:val="28"/>
              <w:szCs w:val="28"/>
            </w:rPr>
          </w:pPr>
          <w:r>
            <w:fldChar w:fldCharType="begin"/>
          </w:r>
          <w:r>
            <w:instrText xml:space="preserve"> HYPERLINK \l "bookmark2" </w:instrText>
          </w:r>
          <w:r>
            <w:fldChar w:fldCharType="separate"/>
          </w:r>
          <w:r>
            <w:rPr>
              <w:rFonts w:ascii="黑体" w:hAnsi="黑体" w:eastAsia="黑体" w:cs="黑体"/>
              <w:spacing w:val="-3"/>
              <w:sz w:val="28"/>
              <w:szCs w:val="28"/>
            </w:rPr>
            <w:t>一、发展基础</w:t>
          </w:r>
          <w:r>
            <w:rPr>
              <w:rFonts w:ascii="黑体" w:hAnsi="黑体" w:eastAsia="黑体" w:cs="黑体"/>
              <w:sz w:val="28"/>
              <w:szCs w:val="28"/>
            </w:rPr>
            <w:tab/>
          </w:r>
          <w:r>
            <w:rPr>
              <w:rFonts w:ascii="黑体" w:hAnsi="黑体" w:eastAsia="黑体" w:cs="黑体"/>
              <w:spacing w:val="-92"/>
              <w:sz w:val="28"/>
              <w:szCs w:val="28"/>
            </w:rPr>
            <w:t xml:space="preserve"> </w:t>
          </w:r>
          <w:r>
            <w:rPr>
              <w:rFonts w:ascii="仿宋" w:hAnsi="仿宋" w:eastAsia="仿宋" w:cs="仿宋"/>
              <w:b/>
              <w:bCs/>
              <w:spacing w:val="-19"/>
              <w:sz w:val="28"/>
              <w:szCs w:val="28"/>
            </w:rPr>
            <w:t>-</w:t>
          </w:r>
          <w:r>
            <w:rPr>
              <w:rFonts w:ascii="仿宋" w:hAnsi="仿宋" w:eastAsia="仿宋" w:cs="仿宋"/>
              <w:spacing w:val="22"/>
              <w:sz w:val="28"/>
              <w:szCs w:val="28"/>
            </w:rPr>
            <w:t xml:space="preserve"> </w:t>
          </w:r>
          <w:r>
            <w:rPr>
              <w:rFonts w:ascii="仿宋" w:hAnsi="仿宋" w:eastAsia="仿宋" w:cs="仿宋"/>
              <w:b/>
              <w:bCs/>
              <w:spacing w:val="-18"/>
              <w:sz w:val="28"/>
              <w:szCs w:val="28"/>
            </w:rPr>
            <w:t>2</w:t>
          </w:r>
          <w:r>
            <w:rPr>
              <w:rFonts w:ascii="仿宋" w:hAnsi="仿宋" w:eastAsia="仿宋" w:cs="仿宋"/>
              <w:spacing w:val="11"/>
              <w:sz w:val="28"/>
              <w:szCs w:val="28"/>
            </w:rPr>
            <w:t xml:space="preserve"> </w:t>
          </w:r>
          <w:r>
            <w:rPr>
              <w:rFonts w:ascii="仿宋" w:hAnsi="仿宋" w:eastAsia="仿宋" w:cs="仿宋"/>
              <w:b/>
              <w:bCs/>
              <w:spacing w:val="-11"/>
              <w:sz w:val="28"/>
              <w:szCs w:val="28"/>
            </w:rPr>
            <w:t>-</w:t>
          </w:r>
          <w:r>
            <w:rPr>
              <w:rFonts w:ascii="仿宋" w:hAnsi="仿宋" w:eastAsia="仿宋" w:cs="仿宋"/>
              <w:b/>
              <w:bCs/>
              <w:spacing w:val="-11"/>
              <w:sz w:val="28"/>
              <w:szCs w:val="28"/>
            </w:rPr>
            <w:fldChar w:fldCharType="end"/>
          </w:r>
        </w:p>
        <w:p w14:paraId="553CC4AB">
          <w:pPr>
            <w:tabs>
              <w:tab w:val="right" w:leader="dot" w:pos="9185"/>
            </w:tabs>
            <w:spacing w:before="234" w:line="184" w:lineRule="auto"/>
            <w:ind w:left="211"/>
            <w:rPr>
              <w:rFonts w:ascii="仿宋" w:hAnsi="仿宋" w:eastAsia="仿宋" w:cs="仿宋"/>
              <w:sz w:val="28"/>
              <w:szCs w:val="28"/>
            </w:rPr>
          </w:pPr>
          <w:r>
            <w:fldChar w:fldCharType="begin"/>
          </w:r>
          <w:r>
            <w:instrText xml:space="preserve"> HYPERLINK \l "bookmark3" </w:instrText>
          </w:r>
          <w:r>
            <w:fldChar w:fldCharType="separate"/>
          </w:r>
          <w:r>
            <w:rPr>
              <w:rFonts w:ascii="仿宋" w:hAnsi="仿宋" w:eastAsia="仿宋" w:cs="仿宋"/>
              <w:spacing w:val="-10"/>
              <w:sz w:val="28"/>
              <w:szCs w:val="28"/>
            </w:rPr>
            <w:t>（</w:t>
          </w:r>
          <w:r>
            <w:rPr>
              <w:rFonts w:ascii="仿宋" w:hAnsi="仿宋" w:eastAsia="仿宋" w:cs="仿宋"/>
              <w:spacing w:val="-71"/>
              <w:sz w:val="28"/>
              <w:szCs w:val="28"/>
            </w:rPr>
            <w:t xml:space="preserve"> </w:t>
          </w:r>
          <w:r>
            <w:rPr>
              <w:rFonts w:ascii="仿宋" w:hAnsi="仿宋" w:eastAsia="仿宋" w:cs="仿宋"/>
              <w:spacing w:val="-10"/>
              <w:sz w:val="28"/>
              <w:szCs w:val="28"/>
            </w:rPr>
            <w:t>一）发展成就</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95"/>
              <w:sz w:val="28"/>
              <w:szCs w:val="28"/>
            </w:rPr>
            <w:t xml:space="preserve"> </w:t>
          </w:r>
          <w:r>
            <w:rPr>
              <w:rFonts w:ascii="仿宋" w:hAnsi="仿宋" w:eastAsia="仿宋" w:cs="仿宋"/>
              <w:spacing w:val="-14"/>
              <w:sz w:val="28"/>
              <w:szCs w:val="28"/>
            </w:rPr>
            <w:t>-</w:t>
          </w:r>
          <w:r>
            <w:rPr>
              <w:rFonts w:ascii="仿宋" w:hAnsi="仿宋" w:eastAsia="仿宋" w:cs="仿宋"/>
              <w:spacing w:val="20"/>
              <w:sz w:val="28"/>
              <w:szCs w:val="28"/>
            </w:rPr>
            <w:t xml:space="preserve"> </w:t>
          </w:r>
          <w:r>
            <w:rPr>
              <w:rFonts w:ascii="仿宋" w:hAnsi="仿宋" w:eastAsia="仿宋" w:cs="仿宋"/>
              <w:spacing w:val="-14"/>
              <w:sz w:val="28"/>
              <w:szCs w:val="28"/>
            </w:rPr>
            <w:t>2</w:t>
          </w:r>
          <w:r>
            <w:rPr>
              <w:rFonts w:ascii="仿宋" w:hAnsi="仿宋" w:eastAsia="仿宋" w:cs="仿宋"/>
              <w:spacing w:val="9"/>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302F2C1A">
          <w:pPr>
            <w:tabs>
              <w:tab w:val="right" w:leader="dot" w:pos="9185"/>
            </w:tabs>
            <w:spacing w:before="210" w:line="184" w:lineRule="auto"/>
            <w:ind w:left="728"/>
            <w:rPr>
              <w:rFonts w:ascii="仿宋" w:hAnsi="仿宋" w:eastAsia="仿宋" w:cs="仿宋"/>
              <w:sz w:val="28"/>
              <w:szCs w:val="28"/>
            </w:rPr>
          </w:pPr>
          <w:r>
            <w:fldChar w:fldCharType="begin"/>
          </w:r>
          <w:r>
            <w:instrText xml:space="preserve"> HYPERLINK \l "bookmark4" </w:instrText>
          </w:r>
          <w:r>
            <w:fldChar w:fldCharType="separate"/>
          </w:r>
          <w:r>
            <w:rPr>
              <w:rFonts w:ascii="仿宋" w:hAnsi="仿宋" w:eastAsia="仿宋" w:cs="仿宋"/>
              <w:spacing w:val="-3"/>
              <w:sz w:val="28"/>
              <w:szCs w:val="28"/>
            </w:rPr>
            <w:t>1. 设施网络建设成绩显著</w:t>
          </w:r>
          <w:r>
            <w:rPr>
              <w:rFonts w:ascii="仿宋" w:hAnsi="仿宋" w:eastAsia="仿宋" w:cs="仿宋"/>
              <w:spacing w:val="-110"/>
              <w:sz w:val="28"/>
              <w:szCs w:val="28"/>
            </w:rPr>
            <w:t xml:space="preserve"> </w:t>
          </w:r>
          <w:r>
            <w:rPr>
              <w:rFonts w:ascii="仿宋" w:hAnsi="仿宋" w:eastAsia="仿宋" w:cs="仿宋"/>
              <w:sz w:val="28"/>
              <w:szCs w:val="28"/>
            </w:rPr>
            <w:tab/>
          </w:r>
          <w:r>
            <w:rPr>
              <w:rFonts w:ascii="仿宋" w:hAnsi="仿宋" w:eastAsia="仿宋" w:cs="仿宋"/>
              <w:spacing w:val="-122"/>
              <w:sz w:val="28"/>
              <w:szCs w:val="28"/>
            </w:rPr>
            <w:t xml:space="preserve"> </w:t>
          </w:r>
          <w:r>
            <w:rPr>
              <w:rFonts w:ascii="仿宋" w:hAnsi="仿宋" w:eastAsia="仿宋" w:cs="仿宋"/>
              <w:spacing w:val="-14"/>
              <w:sz w:val="28"/>
              <w:szCs w:val="28"/>
            </w:rPr>
            <w:t>-</w:t>
          </w:r>
          <w:r>
            <w:rPr>
              <w:rFonts w:ascii="仿宋" w:hAnsi="仿宋" w:eastAsia="仿宋" w:cs="仿宋"/>
              <w:spacing w:val="20"/>
              <w:sz w:val="28"/>
              <w:szCs w:val="28"/>
            </w:rPr>
            <w:t xml:space="preserve"> </w:t>
          </w:r>
          <w:r>
            <w:rPr>
              <w:rFonts w:ascii="仿宋" w:hAnsi="仿宋" w:eastAsia="仿宋" w:cs="仿宋"/>
              <w:spacing w:val="-14"/>
              <w:sz w:val="28"/>
              <w:szCs w:val="28"/>
            </w:rPr>
            <w:t>2</w:t>
          </w:r>
          <w:r>
            <w:rPr>
              <w:rFonts w:ascii="仿宋" w:hAnsi="仿宋" w:eastAsia="仿宋" w:cs="仿宋"/>
              <w:spacing w:val="9"/>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30B2DC04">
          <w:pPr>
            <w:tabs>
              <w:tab w:val="right" w:leader="dot" w:pos="9185"/>
            </w:tabs>
            <w:spacing w:before="201" w:line="184" w:lineRule="auto"/>
            <w:ind w:left="722"/>
            <w:rPr>
              <w:rFonts w:ascii="仿宋" w:hAnsi="仿宋" w:eastAsia="仿宋" w:cs="仿宋"/>
              <w:sz w:val="28"/>
              <w:szCs w:val="28"/>
            </w:rPr>
          </w:pPr>
          <w:r>
            <w:fldChar w:fldCharType="begin"/>
          </w:r>
          <w:r>
            <w:instrText xml:space="preserve"> HYPERLINK \l "bookmark5" </w:instrText>
          </w:r>
          <w:r>
            <w:fldChar w:fldCharType="separate"/>
          </w:r>
          <w:r>
            <w:rPr>
              <w:rFonts w:ascii="仿宋" w:hAnsi="仿宋" w:eastAsia="仿宋" w:cs="仿宋"/>
              <w:spacing w:val="-2"/>
              <w:sz w:val="28"/>
              <w:szCs w:val="28"/>
            </w:rPr>
            <w:t>2. 枢纽场站建设初成体系</w:t>
          </w:r>
          <w:r>
            <w:rPr>
              <w:rFonts w:ascii="仿宋" w:hAnsi="仿宋" w:eastAsia="仿宋" w:cs="仿宋"/>
              <w:spacing w:val="-117"/>
              <w:sz w:val="28"/>
              <w:szCs w:val="28"/>
            </w:rPr>
            <w:t xml:space="preserve"> </w:t>
          </w:r>
          <w:r>
            <w:rPr>
              <w:rFonts w:ascii="仿宋" w:hAnsi="仿宋" w:eastAsia="仿宋" w:cs="仿宋"/>
              <w:sz w:val="28"/>
              <w:szCs w:val="28"/>
            </w:rPr>
            <w:tab/>
          </w:r>
          <w:r>
            <w:rPr>
              <w:rFonts w:ascii="仿宋" w:hAnsi="仿宋" w:eastAsia="仿宋" w:cs="仿宋"/>
              <w:spacing w:val="-121"/>
              <w:sz w:val="28"/>
              <w:szCs w:val="28"/>
            </w:rPr>
            <w:t xml:space="preserve"> </w:t>
          </w:r>
          <w:r>
            <w:rPr>
              <w:rFonts w:ascii="仿宋" w:hAnsi="仿宋" w:eastAsia="仿宋" w:cs="仿宋"/>
              <w:spacing w:val="-14"/>
              <w:sz w:val="28"/>
              <w:szCs w:val="28"/>
            </w:rPr>
            <w:t>-</w:t>
          </w:r>
          <w:r>
            <w:rPr>
              <w:rFonts w:ascii="仿宋" w:hAnsi="仿宋" w:eastAsia="仿宋" w:cs="仿宋"/>
              <w:spacing w:val="19"/>
              <w:sz w:val="28"/>
              <w:szCs w:val="28"/>
            </w:rPr>
            <w:t xml:space="preserve"> </w:t>
          </w:r>
          <w:r>
            <w:rPr>
              <w:rFonts w:ascii="仿宋" w:hAnsi="仿宋" w:eastAsia="仿宋" w:cs="仿宋"/>
              <w:spacing w:val="-14"/>
              <w:sz w:val="28"/>
              <w:szCs w:val="28"/>
            </w:rPr>
            <w:t>4</w:t>
          </w:r>
          <w:r>
            <w:rPr>
              <w:rFonts w:ascii="仿宋" w:hAnsi="仿宋" w:eastAsia="仿宋" w:cs="仿宋"/>
              <w:spacing w:val="9"/>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435F5C8D">
          <w:pPr>
            <w:tabs>
              <w:tab w:val="right" w:leader="dot" w:pos="9185"/>
            </w:tabs>
            <w:spacing w:before="201" w:line="184" w:lineRule="auto"/>
            <w:ind w:left="733"/>
            <w:rPr>
              <w:rFonts w:ascii="仿宋" w:hAnsi="仿宋" w:eastAsia="仿宋" w:cs="仿宋"/>
              <w:sz w:val="28"/>
              <w:szCs w:val="28"/>
            </w:rPr>
          </w:pPr>
          <w:r>
            <w:fldChar w:fldCharType="begin"/>
          </w:r>
          <w:r>
            <w:instrText xml:space="preserve"> HYPERLINK \l "bookmark6" </w:instrText>
          </w:r>
          <w:r>
            <w:fldChar w:fldCharType="separate"/>
          </w:r>
          <w:r>
            <w:rPr>
              <w:rFonts w:ascii="仿宋" w:hAnsi="仿宋" w:eastAsia="仿宋" w:cs="仿宋"/>
              <w:spacing w:val="-3"/>
              <w:sz w:val="28"/>
              <w:szCs w:val="28"/>
            </w:rPr>
            <w:t>3. 运输服务质量稳步提升</w:t>
          </w:r>
          <w:r>
            <w:rPr>
              <w:rFonts w:ascii="仿宋" w:hAnsi="仿宋" w:eastAsia="仿宋" w:cs="仿宋"/>
              <w:spacing w:val="-115"/>
              <w:sz w:val="28"/>
              <w:szCs w:val="28"/>
            </w:rPr>
            <w:t xml:space="preserve"> </w:t>
          </w:r>
          <w:r>
            <w:rPr>
              <w:rFonts w:ascii="仿宋" w:hAnsi="仿宋" w:eastAsia="仿宋" w:cs="仿宋"/>
              <w:sz w:val="28"/>
              <w:szCs w:val="28"/>
            </w:rPr>
            <w:tab/>
          </w:r>
          <w:r>
            <w:rPr>
              <w:rFonts w:ascii="仿宋" w:hAnsi="仿宋" w:eastAsia="仿宋" w:cs="仿宋"/>
              <w:spacing w:val="-121"/>
              <w:sz w:val="28"/>
              <w:szCs w:val="28"/>
            </w:rPr>
            <w:t xml:space="preserve"> </w:t>
          </w:r>
          <w:r>
            <w:rPr>
              <w:rFonts w:ascii="仿宋" w:hAnsi="仿宋" w:eastAsia="仿宋" w:cs="仿宋"/>
              <w:spacing w:val="-14"/>
              <w:sz w:val="28"/>
              <w:szCs w:val="28"/>
            </w:rPr>
            <w:t>-</w:t>
          </w:r>
          <w:r>
            <w:rPr>
              <w:rFonts w:ascii="仿宋" w:hAnsi="仿宋" w:eastAsia="仿宋" w:cs="仿宋"/>
              <w:spacing w:val="19"/>
              <w:sz w:val="28"/>
              <w:szCs w:val="28"/>
            </w:rPr>
            <w:t xml:space="preserve"> </w:t>
          </w:r>
          <w:r>
            <w:rPr>
              <w:rFonts w:ascii="仿宋" w:hAnsi="仿宋" w:eastAsia="仿宋" w:cs="仿宋"/>
              <w:spacing w:val="-14"/>
              <w:sz w:val="28"/>
              <w:szCs w:val="28"/>
            </w:rPr>
            <w:t>4</w:t>
          </w:r>
          <w:r>
            <w:rPr>
              <w:rFonts w:ascii="仿宋" w:hAnsi="仿宋" w:eastAsia="仿宋" w:cs="仿宋"/>
              <w:spacing w:val="9"/>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3E8EB99E">
          <w:pPr>
            <w:tabs>
              <w:tab w:val="right" w:leader="dot" w:pos="9185"/>
            </w:tabs>
            <w:spacing w:before="201" w:line="184" w:lineRule="auto"/>
            <w:ind w:left="720"/>
            <w:rPr>
              <w:rFonts w:ascii="仿宋" w:hAnsi="仿宋" w:eastAsia="仿宋" w:cs="仿宋"/>
              <w:sz w:val="28"/>
              <w:szCs w:val="28"/>
            </w:rPr>
          </w:pPr>
          <w:r>
            <w:fldChar w:fldCharType="begin"/>
          </w:r>
          <w:r>
            <w:instrText xml:space="preserve"> HYPERLINK \l "bookmark7" </w:instrText>
          </w:r>
          <w:r>
            <w:fldChar w:fldCharType="separate"/>
          </w:r>
          <w:r>
            <w:rPr>
              <w:rFonts w:ascii="仿宋" w:hAnsi="仿宋" w:eastAsia="仿宋" w:cs="仿宋"/>
              <w:spacing w:val="-2"/>
              <w:sz w:val="28"/>
              <w:szCs w:val="28"/>
            </w:rPr>
            <w:t>4. 智慧交通建设积极推进</w:t>
          </w:r>
          <w:r>
            <w:rPr>
              <w:rFonts w:ascii="仿宋" w:hAnsi="仿宋" w:eastAsia="仿宋" w:cs="仿宋"/>
              <w:spacing w:val="-116"/>
              <w:sz w:val="28"/>
              <w:szCs w:val="28"/>
            </w:rPr>
            <w:t xml:space="preserve"> </w:t>
          </w:r>
          <w:r>
            <w:rPr>
              <w:rFonts w:ascii="仿宋" w:hAnsi="仿宋" w:eastAsia="仿宋" w:cs="仿宋"/>
              <w:sz w:val="28"/>
              <w:szCs w:val="28"/>
            </w:rPr>
            <w:tab/>
          </w:r>
          <w:r>
            <w:rPr>
              <w:rFonts w:ascii="仿宋" w:hAnsi="仿宋" w:eastAsia="仿宋" w:cs="仿宋"/>
              <w:spacing w:val="-122"/>
              <w:sz w:val="28"/>
              <w:szCs w:val="28"/>
            </w:rPr>
            <w:t xml:space="preserve"> </w:t>
          </w:r>
          <w:r>
            <w:rPr>
              <w:rFonts w:ascii="仿宋" w:hAnsi="仿宋" w:eastAsia="仿宋" w:cs="仿宋"/>
              <w:spacing w:val="-16"/>
              <w:sz w:val="28"/>
              <w:szCs w:val="28"/>
            </w:rPr>
            <w:t>-</w:t>
          </w:r>
          <w:r>
            <w:rPr>
              <w:rFonts w:ascii="仿宋" w:hAnsi="仿宋" w:eastAsia="仿宋" w:cs="仿宋"/>
              <w:spacing w:val="23"/>
              <w:sz w:val="28"/>
              <w:szCs w:val="28"/>
            </w:rPr>
            <w:t xml:space="preserve"> </w:t>
          </w:r>
          <w:r>
            <w:rPr>
              <w:rFonts w:ascii="仿宋" w:hAnsi="仿宋" w:eastAsia="仿宋" w:cs="仿宋"/>
              <w:spacing w:val="-15"/>
              <w:sz w:val="28"/>
              <w:szCs w:val="28"/>
            </w:rPr>
            <w:t>5</w:t>
          </w:r>
          <w:r>
            <w:rPr>
              <w:rFonts w:ascii="仿宋" w:hAnsi="仿宋" w:eastAsia="仿宋" w:cs="仿宋"/>
              <w:spacing w:val="9"/>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24BDFEEA">
          <w:pPr>
            <w:tabs>
              <w:tab w:val="right" w:leader="dot" w:pos="9185"/>
            </w:tabs>
            <w:spacing w:before="201" w:line="184" w:lineRule="auto"/>
            <w:ind w:left="725"/>
            <w:rPr>
              <w:rFonts w:ascii="仿宋" w:hAnsi="仿宋" w:eastAsia="仿宋" w:cs="仿宋"/>
              <w:sz w:val="28"/>
              <w:szCs w:val="28"/>
            </w:rPr>
          </w:pPr>
          <w:r>
            <w:fldChar w:fldCharType="begin"/>
          </w:r>
          <w:r>
            <w:instrText xml:space="preserve"> HYPERLINK \l "bookmark8" </w:instrText>
          </w:r>
          <w:r>
            <w:fldChar w:fldCharType="separate"/>
          </w:r>
          <w:r>
            <w:rPr>
              <w:rFonts w:ascii="仿宋" w:hAnsi="仿宋" w:eastAsia="仿宋" w:cs="仿宋"/>
              <w:spacing w:val="-2"/>
              <w:sz w:val="28"/>
              <w:szCs w:val="28"/>
            </w:rPr>
            <w:t>5. 安全保障能力不断增强</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21"/>
              <w:sz w:val="28"/>
              <w:szCs w:val="28"/>
            </w:rPr>
            <w:t xml:space="preserve"> </w:t>
          </w:r>
          <w:r>
            <w:rPr>
              <w:rFonts w:ascii="仿宋" w:hAnsi="仿宋" w:eastAsia="仿宋" w:cs="仿宋"/>
              <w:spacing w:val="-16"/>
              <w:sz w:val="28"/>
              <w:szCs w:val="28"/>
            </w:rPr>
            <w:t>-</w:t>
          </w:r>
          <w:r>
            <w:rPr>
              <w:rFonts w:ascii="仿宋" w:hAnsi="仿宋" w:eastAsia="仿宋" w:cs="仿宋"/>
              <w:spacing w:val="22"/>
              <w:sz w:val="28"/>
              <w:szCs w:val="28"/>
            </w:rPr>
            <w:t xml:space="preserve"> </w:t>
          </w:r>
          <w:r>
            <w:rPr>
              <w:rFonts w:ascii="仿宋" w:hAnsi="仿宋" w:eastAsia="仿宋" w:cs="仿宋"/>
              <w:spacing w:val="-15"/>
              <w:sz w:val="28"/>
              <w:szCs w:val="28"/>
            </w:rPr>
            <w:t>6</w:t>
          </w:r>
          <w:r>
            <w:rPr>
              <w:rFonts w:ascii="仿宋" w:hAnsi="仿宋" w:eastAsia="仿宋" w:cs="仿宋"/>
              <w:spacing w:val="9"/>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7156380E">
          <w:pPr>
            <w:tabs>
              <w:tab w:val="right" w:leader="dot" w:pos="9185"/>
            </w:tabs>
            <w:spacing w:before="201" w:line="184" w:lineRule="auto"/>
            <w:ind w:left="724"/>
            <w:rPr>
              <w:rFonts w:ascii="仿宋" w:hAnsi="仿宋" w:eastAsia="仿宋" w:cs="仿宋"/>
              <w:sz w:val="28"/>
              <w:szCs w:val="28"/>
            </w:rPr>
          </w:pPr>
          <w:r>
            <w:fldChar w:fldCharType="begin"/>
          </w:r>
          <w:r>
            <w:instrText xml:space="preserve"> HYPERLINK \l "bookmark9" </w:instrText>
          </w:r>
          <w:r>
            <w:fldChar w:fldCharType="separate"/>
          </w:r>
          <w:r>
            <w:rPr>
              <w:rFonts w:ascii="仿宋" w:hAnsi="仿宋" w:eastAsia="仿宋" w:cs="仿宋"/>
              <w:spacing w:val="-2"/>
              <w:sz w:val="28"/>
              <w:szCs w:val="28"/>
            </w:rPr>
            <w:t>6. 绿色交通发展有序推进</w:t>
          </w:r>
          <w:r>
            <w:rPr>
              <w:rFonts w:ascii="仿宋" w:hAnsi="仿宋" w:eastAsia="仿宋" w:cs="仿宋"/>
              <w:spacing w:val="-119"/>
              <w:sz w:val="28"/>
              <w:szCs w:val="28"/>
            </w:rPr>
            <w:t xml:space="preserve"> </w:t>
          </w:r>
          <w:r>
            <w:rPr>
              <w:rFonts w:ascii="仿宋" w:hAnsi="仿宋" w:eastAsia="仿宋" w:cs="仿宋"/>
              <w:sz w:val="28"/>
              <w:szCs w:val="28"/>
            </w:rPr>
            <w:tab/>
          </w:r>
          <w:r>
            <w:rPr>
              <w:rFonts w:ascii="仿宋" w:hAnsi="仿宋" w:eastAsia="仿宋" w:cs="仿宋"/>
              <w:spacing w:val="-121"/>
              <w:sz w:val="28"/>
              <w:szCs w:val="28"/>
            </w:rPr>
            <w:t xml:space="preserve"> </w:t>
          </w:r>
          <w:r>
            <w:rPr>
              <w:rFonts w:ascii="仿宋" w:hAnsi="仿宋" w:eastAsia="仿宋" w:cs="仿宋"/>
              <w:spacing w:val="-16"/>
              <w:sz w:val="28"/>
              <w:szCs w:val="28"/>
            </w:rPr>
            <w:t>-</w:t>
          </w:r>
          <w:r>
            <w:rPr>
              <w:rFonts w:ascii="仿宋" w:hAnsi="仿宋" w:eastAsia="仿宋" w:cs="仿宋"/>
              <w:spacing w:val="22"/>
              <w:sz w:val="28"/>
              <w:szCs w:val="28"/>
            </w:rPr>
            <w:t xml:space="preserve"> </w:t>
          </w:r>
          <w:r>
            <w:rPr>
              <w:rFonts w:ascii="仿宋" w:hAnsi="仿宋" w:eastAsia="仿宋" w:cs="仿宋"/>
              <w:spacing w:val="-15"/>
              <w:sz w:val="28"/>
              <w:szCs w:val="28"/>
            </w:rPr>
            <w:t>6</w:t>
          </w:r>
          <w:r>
            <w:rPr>
              <w:rFonts w:ascii="仿宋" w:hAnsi="仿宋" w:eastAsia="仿宋" w:cs="仿宋"/>
              <w:spacing w:val="9"/>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25362A54">
          <w:pPr>
            <w:tabs>
              <w:tab w:val="right" w:leader="dot" w:pos="9185"/>
            </w:tabs>
            <w:spacing w:before="200" w:line="184" w:lineRule="auto"/>
            <w:ind w:left="724"/>
            <w:rPr>
              <w:rFonts w:ascii="仿宋" w:hAnsi="仿宋" w:eastAsia="仿宋" w:cs="仿宋"/>
              <w:sz w:val="28"/>
              <w:szCs w:val="28"/>
            </w:rPr>
          </w:pPr>
          <w:r>
            <w:fldChar w:fldCharType="begin"/>
          </w:r>
          <w:r>
            <w:instrText xml:space="preserve"> HYPERLINK \l "bookmark10" </w:instrText>
          </w:r>
          <w:r>
            <w:fldChar w:fldCharType="separate"/>
          </w:r>
          <w:r>
            <w:rPr>
              <w:rFonts w:ascii="仿宋" w:hAnsi="仿宋" w:eastAsia="仿宋" w:cs="仿宋"/>
              <w:spacing w:val="-2"/>
              <w:sz w:val="28"/>
              <w:szCs w:val="28"/>
            </w:rPr>
            <w:t>7. 行业治理迈上新的台阶</w:t>
          </w:r>
          <w:r>
            <w:rPr>
              <w:rFonts w:ascii="仿宋" w:hAnsi="仿宋" w:eastAsia="仿宋" w:cs="仿宋"/>
              <w:spacing w:val="-119"/>
              <w:sz w:val="28"/>
              <w:szCs w:val="28"/>
            </w:rPr>
            <w:t xml:space="preserve"> </w:t>
          </w:r>
          <w:r>
            <w:rPr>
              <w:rFonts w:ascii="仿宋" w:hAnsi="仿宋" w:eastAsia="仿宋" w:cs="仿宋"/>
              <w:sz w:val="28"/>
              <w:szCs w:val="28"/>
            </w:rPr>
            <w:tab/>
          </w:r>
          <w:r>
            <w:rPr>
              <w:rFonts w:ascii="仿宋" w:hAnsi="仿宋" w:eastAsia="仿宋" w:cs="仿宋"/>
              <w:spacing w:val="-121"/>
              <w:sz w:val="28"/>
              <w:szCs w:val="28"/>
            </w:rPr>
            <w:t xml:space="preserve"> </w:t>
          </w:r>
          <w:r>
            <w:rPr>
              <w:rFonts w:ascii="仿宋" w:hAnsi="仿宋" w:eastAsia="仿宋" w:cs="仿宋"/>
              <w:spacing w:val="-16"/>
              <w:sz w:val="28"/>
              <w:szCs w:val="28"/>
            </w:rPr>
            <w:t>-</w:t>
          </w:r>
          <w:r>
            <w:rPr>
              <w:rFonts w:ascii="仿宋" w:hAnsi="仿宋" w:eastAsia="仿宋" w:cs="仿宋"/>
              <w:spacing w:val="22"/>
              <w:sz w:val="28"/>
              <w:szCs w:val="28"/>
            </w:rPr>
            <w:t xml:space="preserve"> </w:t>
          </w:r>
          <w:r>
            <w:rPr>
              <w:rFonts w:ascii="仿宋" w:hAnsi="仿宋" w:eastAsia="仿宋" w:cs="仿宋"/>
              <w:spacing w:val="-15"/>
              <w:sz w:val="28"/>
              <w:szCs w:val="28"/>
            </w:rPr>
            <w:t>7</w:t>
          </w:r>
          <w:r>
            <w:rPr>
              <w:rFonts w:ascii="仿宋" w:hAnsi="仿宋" w:eastAsia="仿宋" w:cs="仿宋"/>
              <w:spacing w:val="9"/>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38D62B42">
          <w:pPr>
            <w:tabs>
              <w:tab w:val="right" w:leader="dot" w:pos="9185"/>
            </w:tabs>
            <w:spacing w:before="233" w:line="184" w:lineRule="auto"/>
            <w:ind w:left="211"/>
            <w:rPr>
              <w:rFonts w:ascii="仿宋" w:hAnsi="仿宋" w:eastAsia="仿宋" w:cs="仿宋"/>
              <w:sz w:val="28"/>
              <w:szCs w:val="28"/>
            </w:rPr>
          </w:pPr>
          <w:r>
            <w:fldChar w:fldCharType="begin"/>
          </w:r>
          <w:r>
            <w:instrText xml:space="preserve"> HYPERLINK \l "bookmark11" </w:instrText>
          </w:r>
          <w:r>
            <w:fldChar w:fldCharType="separate"/>
          </w:r>
          <w:r>
            <w:rPr>
              <w:rFonts w:ascii="仿宋" w:hAnsi="仿宋" w:eastAsia="仿宋" w:cs="仿宋"/>
              <w:spacing w:val="-10"/>
              <w:sz w:val="28"/>
              <w:szCs w:val="28"/>
            </w:rPr>
            <w:t>（</w:t>
          </w:r>
          <w:r>
            <w:rPr>
              <w:rFonts w:ascii="仿宋" w:hAnsi="仿宋" w:eastAsia="仿宋" w:cs="仿宋"/>
              <w:spacing w:val="-71"/>
              <w:sz w:val="28"/>
              <w:szCs w:val="28"/>
            </w:rPr>
            <w:t xml:space="preserve"> </w:t>
          </w:r>
          <w:r>
            <w:rPr>
              <w:rFonts w:ascii="仿宋" w:hAnsi="仿宋" w:eastAsia="仿宋" w:cs="仿宋"/>
              <w:spacing w:val="-10"/>
              <w:sz w:val="28"/>
              <w:szCs w:val="28"/>
            </w:rPr>
            <w:t>二）存在问题</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1"/>
              <w:sz w:val="28"/>
              <w:szCs w:val="28"/>
            </w:rPr>
            <w:t>-</w:t>
          </w:r>
          <w:r>
            <w:rPr>
              <w:rFonts w:ascii="仿宋" w:hAnsi="仿宋" w:eastAsia="仿宋" w:cs="仿宋"/>
              <w:spacing w:val="29"/>
              <w:sz w:val="28"/>
              <w:szCs w:val="28"/>
            </w:rPr>
            <w:t xml:space="preserve"> </w:t>
          </w:r>
          <w:r>
            <w:rPr>
              <w:rFonts w:ascii="仿宋" w:hAnsi="仿宋" w:eastAsia="仿宋" w:cs="仿宋"/>
              <w:spacing w:val="-11"/>
              <w:sz w:val="28"/>
              <w:szCs w:val="28"/>
            </w:rPr>
            <w:t>10</w:t>
          </w:r>
          <w:r>
            <w:rPr>
              <w:rFonts w:ascii="仿宋" w:hAnsi="仿宋" w:eastAsia="仿宋" w:cs="仿宋"/>
              <w:spacing w:val="7"/>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1A949468">
          <w:pPr>
            <w:tabs>
              <w:tab w:val="right" w:leader="dot" w:pos="9185"/>
            </w:tabs>
            <w:spacing w:before="240" w:line="188" w:lineRule="auto"/>
            <w:ind w:left="14"/>
            <w:rPr>
              <w:rFonts w:ascii="仿宋" w:hAnsi="仿宋" w:eastAsia="仿宋" w:cs="仿宋"/>
              <w:sz w:val="28"/>
              <w:szCs w:val="28"/>
            </w:rPr>
          </w:pPr>
          <w:r>
            <w:fldChar w:fldCharType="begin"/>
          </w:r>
          <w:r>
            <w:instrText xml:space="preserve"> HYPERLINK \l "bookmark12" </w:instrText>
          </w:r>
          <w:r>
            <w:fldChar w:fldCharType="separate"/>
          </w:r>
          <w:r>
            <w:rPr>
              <w:rFonts w:ascii="黑体" w:hAnsi="黑体" w:eastAsia="黑体" w:cs="黑体"/>
              <w:spacing w:val="-3"/>
              <w:sz w:val="28"/>
              <w:szCs w:val="28"/>
            </w:rPr>
            <w:t>二、形势研判</w:t>
          </w:r>
          <w:r>
            <w:rPr>
              <w:rFonts w:ascii="黑体" w:hAnsi="黑体" w:eastAsia="黑体" w:cs="黑体"/>
              <w:sz w:val="28"/>
              <w:szCs w:val="28"/>
            </w:rPr>
            <w:tab/>
          </w:r>
          <w:r>
            <w:rPr>
              <w:rFonts w:ascii="黑体" w:hAnsi="黑体" w:eastAsia="黑体" w:cs="黑体"/>
              <w:spacing w:val="-96"/>
              <w:sz w:val="28"/>
              <w:szCs w:val="28"/>
            </w:rPr>
            <w:t xml:space="preserve"> </w:t>
          </w:r>
          <w:r>
            <w:rPr>
              <w:rFonts w:ascii="仿宋" w:hAnsi="仿宋" w:eastAsia="仿宋" w:cs="仿宋"/>
              <w:b/>
              <w:bCs/>
              <w:spacing w:val="-15"/>
              <w:sz w:val="28"/>
              <w:szCs w:val="28"/>
            </w:rPr>
            <w:t>-</w:t>
          </w:r>
          <w:r>
            <w:rPr>
              <w:rFonts w:ascii="仿宋" w:hAnsi="仿宋" w:eastAsia="仿宋" w:cs="仿宋"/>
              <w:spacing w:val="29"/>
              <w:sz w:val="28"/>
              <w:szCs w:val="28"/>
            </w:rPr>
            <w:t xml:space="preserve"> </w:t>
          </w:r>
          <w:r>
            <w:rPr>
              <w:rFonts w:ascii="仿宋" w:hAnsi="仿宋" w:eastAsia="仿宋" w:cs="仿宋"/>
              <w:b/>
              <w:bCs/>
              <w:spacing w:val="-15"/>
              <w:sz w:val="28"/>
              <w:szCs w:val="28"/>
            </w:rPr>
            <w:t>13</w:t>
          </w:r>
          <w:r>
            <w:rPr>
              <w:rFonts w:ascii="仿宋" w:hAnsi="仿宋" w:eastAsia="仿宋" w:cs="仿宋"/>
              <w:spacing w:val="11"/>
              <w:sz w:val="28"/>
              <w:szCs w:val="28"/>
            </w:rPr>
            <w:t xml:space="preserve"> </w:t>
          </w:r>
          <w:r>
            <w:rPr>
              <w:rFonts w:ascii="仿宋" w:hAnsi="仿宋" w:eastAsia="仿宋" w:cs="仿宋"/>
              <w:b/>
              <w:bCs/>
              <w:spacing w:val="-11"/>
              <w:sz w:val="28"/>
              <w:szCs w:val="28"/>
            </w:rPr>
            <w:t>-</w:t>
          </w:r>
          <w:r>
            <w:rPr>
              <w:rFonts w:ascii="仿宋" w:hAnsi="仿宋" w:eastAsia="仿宋" w:cs="仿宋"/>
              <w:b/>
              <w:bCs/>
              <w:spacing w:val="-11"/>
              <w:sz w:val="28"/>
              <w:szCs w:val="28"/>
            </w:rPr>
            <w:fldChar w:fldCharType="end"/>
          </w:r>
        </w:p>
        <w:p w14:paraId="77ABFC44">
          <w:pPr>
            <w:tabs>
              <w:tab w:val="right" w:leader="dot" w:pos="9185"/>
            </w:tabs>
            <w:spacing w:before="235" w:line="184" w:lineRule="auto"/>
            <w:ind w:left="211"/>
            <w:rPr>
              <w:rFonts w:ascii="仿宋" w:hAnsi="仿宋" w:eastAsia="仿宋" w:cs="仿宋"/>
              <w:sz w:val="28"/>
              <w:szCs w:val="28"/>
            </w:rPr>
          </w:pPr>
          <w:r>
            <w:fldChar w:fldCharType="begin"/>
          </w:r>
          <w:r>
            <w:instrText xml:space="preserve"> HYPERLINK \l "bookmark13" </w:instrText>
          </w:r>
          <w:r>
            <w:fldChar w:fldCharType="separate"/>
          </w:r>
          <w:r>
            <w:rPr>
              <w:rFonts w:ascii="仿宋" w:hAnsi="仿宋" w:eastAsia="仿宋" w:cs="仿宋"/>
              <w:spacing w:val="-10"/>
              <w:sz w:val="28"/>
              <w:szCs w:val="28"/>
            </w:rPr>
            <w:t>（</w:t>
          </w:r>
          <w:r>
            <w:rPr>
              <w:rFonts w:ascii="仿宋" w:hAnsi="仿宋" w:eastAsia="仿宋" w:cs="仿宋"/>
              <w:spacing w:val="-71"/>
              <w:sz w:val="28"/>
              <w:szCs w:val="28"/>
            </w:rPr>
            <w:t xml:space="preserve"> </w:t>
          </w:r>
          <w:r>
            <w:rPr>
              <w:rFonts w:ascii="仿宋" w:hAnsi="仿宋" w:eastAsia="仿宋" w:cs="仿宋"/>
              <w:spacing w:val="-10"/>
              <w:sz w:val="28"/>
              <w:szCs w:val="28"/>
            </w:rPr>
            <w:t>一）形势要求</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1"/>
              <w:sz w:val="28"/>
              <w:szCs w:val="28"/>
            </w:rPr>
            <w:t>-</w:t>
          </w:r>
          <w:r>
            <w:rPr>
              <w:rFonts w:ascii="仿宋" w:hAnsi="仿宋" w:eastAsia="仿宋" w:cs="仿宋"/>
              <w:spacing w:val="29"/>
              <w:sz w:val="28"/>
              <w:szCs w:val="28"/>
            </w:rPr>
            <w:t xml:space="preserve"> </w:t>
          </w:r>
          <w:r>
            <w:rPr>
              <w:rFonts w:ascii="仿宋" w:hAnsi="仿宋" w:eastAsia="仿宋" w:cs="仿宋"/>
              <w:spacing w:val="-11"/>
              <w:sz w:val="28"/>
              <w:szCs w:val="28"/>
            </w:rPr>
            <w:t>13</w:t>
          </w:r>
          <w:r>
            <w:rPr>
              <w:rFonts w:ascii="仿宋" w:hAnsi="仿宋" w:eastAsia="仿宋" w:cs="仿宋"/>
              <w:spacing w:val="7"/>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7E84EC30">
          <w:pPr>
            <w:tabs>
              <w:tab w:val="right" w:leader="dot" w:pos="9185"/>
            </w:tabs>
            <w:spacing w:before="241" w:line="184" w:lineRule="auto"/>
            <w:ind w:left="211"/>
            <w:rPr>
              <w:rFonts w:ascii="仿宋" w:hAnsi="仿宋" w:eastAsia="仿宋" w:cs="仿宋"/>
              <w:sz w:val="28"/>
              <w:szCs w:val="28"/>
            </w:rPr>
          </w:pPr>
          <w:r>
            <w:fldChar w:fldCharType="begin"/>
          </w:r>
          <w:r>
            <w:instrText xml:space="preserve"> HYPERLINK \l "bookmark14" </w:instrText>
          </w:r>
          <w:r>
            <w:fldChar w:fldCharType="separate"/>
          </w:r>
          <w:r>
            <w:rPr>
              <w:rFonts w:ascii="仿宋" w:hAnsi="仿宋" w:eastAsia="仿宋" w:cs="仿宋"/>
              <w:spacing w:val="-10"/>
              <w:sz w:val="28"/>
              <w:szCs w:val="28"/>
            </w:rPr>
            <w:t>（</w:t>
          </w:r>
          <w:r>
            <w:rPr>
              <w:rFonts w:ascii="仿宋" w:hAnsi="仿宋" w:eastAsia="仿宋" w:cs="仿宋"/>
              <w:spacing w:val="-71"/>
              <w:sz w:val="28"/>
              <w:szCs w:val="28"/>
            </w:rPr>
            <w:t xml:space="preserve"> </w:t>
          </w:r>
          <w:r>
            <w:rPr>
              <w:rFonts w:ascii="仿宋" w:hAnsi="仿宋" w:eastAsia="仿宋" w:cs="仿宋"/>
              <w:spacing w:val="-10"/>
              <w:sz w:val="28"/>
              <w:szCs w:val="28"/>
            </w:rPr>
            <w:t>二）面临挑战</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1"/>
              <w:sz w:val="28"/>
              <w:szCs w:val="28"/>
            </w:rPr>
            <w:t>-</w:t>
          </w:r>
          <w:r>
            <w:rPr>
              <w:rFonts w:ascii="仿宋" w:hAnsi="仿宋" w:eastAsia="仿宋" w:cs="仿宋"/>
              <w:spacing w:val="29"/>
              <w:sz w:val="28"/>
              <w:szCs w:val="28"/>
            </w:rPr>
            <w:t xml:space="preserve"> </w:t>
          </w:r>
          <w:r>
            <w:rPr>
              <w:rFonts w:ascii="仿宋" w:hAnsi="仿宋" w:eastAsia="仿宋" w:cs="仿宋"/>
              <w:spacing w:val="-11"/>
              <w:sz w:val="28"/>
              <w:szCs w:val="28"/>
            </w:rPr>
            <w:t>16</w:t>
          </w:r>
          <w:r>
            <w:rPr>
              <w:rFonts w:ascii="仿宋" w:hAnsi="仿宋" w:eastAsia="仿宋" w:cs="仿宋"/>
              <w:spacing w:val="7"/>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777EEE9B">
          <w:pPr>
            <w:tabs>
              <w:tab w:val="right" w:leader="dot" w:pos="9185"/>
            </w:tabs>
            <w:spacing w:before="242" w:line="184" w:lineRule="auto"/>
            <w:ind w:left="211"/>
            <w:rPr>
              <w:rFonts w:ascii="仿宋" w:hAnsi="仿宋" w:eastAsia="仿宋" w:cs="仿宋"/>
              <w:sz w:val="28"/>
              <w:szCs w:val="28"/>
            </w:rPr>
          </w:pPr>
          <w:r>
            <w:fldChar w:fldCharType="begin"/>
          </w:r>
          <w:r>
            <w:instrText xml:space="preserve"> HYPERLINK \l "bookmark15" </w:instrText>
          </w:r>
          <w:r>
            <w:fldChar w:fldCharType="separate"/>
          </w:r>
          <w:r>
            <w:rPr>
              <w:rFonts w:ascii="仿宋" w:hAnsi="仿宋" w:eastAsia="仿宋" w:cs="仿宋"/>
              <w:spacing w:val="-9"/>
              <w:sz w:val="28"/>
              <w:szCs w:val="28"/>
            </w:rPr>
            <w:t>（</w:t>
          </w:r>
          <w:r>
            <w:rPr>
              <w:rFonts w:ascii="仿宋" w:hAnsi="仿宋" w:eastAsia="仿宋" w:cs="仿宋"/>
              <w:spacing w:val="-68"/>
              <w:sz w:val="28"/>
              <w:szCs w:val="28"/>
            </w:rPr>
            <w:t xml:space="preserve"> </w:t>
          </w:r>
          <w:r>
            <w:rPr>
              <w:rFonts w:ascii="仿宋" w:hAnsi="仿宋" w:eastAsia="仿宋" w:cs="仿宋"/>
              <w:spacing w:val="-9"/>
              <w:sz w:val="28"/>
              <w:szCs w:val="28"/>
            </w:rPr>
            <w:t>三）阶段性特征</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104"/>
              <w:sz w:val="28"/>
              <w:szCs w:val="28"/>
            </w:rPr>
            <w:t xml:space="preserve"> </w:t>
          </w:r>
          <w:r>
            <w:rPr>
              <w:rFonts w:ascii="仿宋" w:hAnsi="仿宋" w:eastAsia="仿宋" w:cs="仿宋"/>
              <w:spacing w:val="-11"/>
              <w:sz w:val="28"/>
              <w:szCs w:val="28"/>
            </w:rPr>
            <w:t>-</w:t>
          </w:r>
          <w:r>
            <w:rPr>
              <w:rFonts w:ascii="仿宋" w:hAnsi="仿宋" w:eastAsia="仿宋" w:cs="仿宋"/>
              <w:spacing w:val="29"/>
              <w:sz w:val="28"/>
              <w:szCs w:val="28"/>
            </w:rPr>
            <w:t xml:space="preserve"> </w:t>
          </w:r>
          <w:r>
            <w:rPr>
              <w:rFonts w:ascii="仿宋" w:hAnsi="仿宋" w:eastAsia="仿宋" w:cs="仿宋"/>
              <w:spacing w:val="-11"/>
              <w:sz w:val="28"/>
              <w:szCs w:val="28"/>
            </w:rPr>
            <w:t>17</w:t>
          </w:r>
          <w:r>
            <w:rPr>
              <w:rFonts w:ascii="仿宋" w:hAnsi="仿宋" w:eastAsia="仿宋" w:cs="仿宋"/>
              <w:spacing w:val="7"/>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5202137B">
          <w:pPr>
            <w:tabs>
              <w:tab w:val="right" w:leader="dot" w:pos="9185"/>
            </w:tabs>
            <w:spacing w:before="238" w:line="188" w:lineRule="auto"/>
            <w:ind w:left="15"/>
            <w:rPr>
              <w:rFonts w:ascii="仿宋" w:hAnsi="仿宋" w:eastAsia="仿宋" w:cs="仿宋"/>
              <w:sz w:val="28"/>
              <w:szCs w:val="28"/>
            </w:rPr>
          </w:pPr>
          <w:r>
            <w:fldChar w:fldCharType="begin"/>
          </w:r>
          <w:r>
            <w:instrText xml:space="preserve"> HYPERLINK \l "bookmark16" </w:instrText>
          </w:r>
          <w:r>
            <w:fldChar w:fldCharType="separate"/>
          </w:r>
          <w:r>
            <w:rPr>
              <w:rFonts w:ascii="黑体" w:hAnsi="黑体" w:eastAsia="黑体" w:cs="黑体"/>
              <w:spacing w:val="-3"/>
              <w:sz w:val="28"/>
              <w:szCs w:val="28"/>
            </w:rPr>
            <w:t>三、总体要求</w:t>
          </w:r>
          <w:r>
            <w:rPr>
              <w:rFonts w:ascii="黑体" w:hAnsi="黑体" w:eastAsia="黑体" w:cs="黑体"/>
              <w:sz w:val="28"/>
              <w:szCs w:val="28"/>
            </w:rPr>
            <w:tab/>
          </w:r>
          <w:r>
            <w:rPr>
              <w:rFonts w:ascii="黑体" w:hAnsi="黑体" w:eastAsia="黑体" w:cs="黑体"/>
              <w:spacing w:val="-96"/>
              <w:sz w:val="28"/>
              <w:szCs w:val="28"/>
            </w:rPr>
            <w:t xml:space="preserve"> </w:t>
          </w:r>
          <w:r>
            <w:rPr>
              <w:rFonts w:ascii="仿宋" w:hAnsi="仿宋" w:eastAsia="仿宋" w:cs="仿宋"/>
              <w:b/>
              <w:bCs/>
              <w:spacing w:val="-15"/>
              <w:sz w:val="28"/>
              <w:szCs w:val="28"/>
            </w:rPr>
            <w:t>-</w:t>
          </w:r>
          <w:r>
            <w:rPr>
              <w:rFonts w:ascii="仿宋" w:hAnsi="仿宋" w:eastAsia="仿宋" w:cs="仿宋"/>
              <w:spacing w:val="29"/>
              <w:sz w:val="28"/>
              <w:szCs w:val="28"/>
            </w:rPr>
            <w:t xml:space="preserve"> </w:t>
          </w:r>
          <w:r>
            <w:rPr>
              <w:rFonts w:ascii="仿宋" w:hAnsi="仿宋" w:eastAsia="仿宋" w:cs="仿宋"/>
              <w:b/>
              <w:bCs/>
              <w:spacing w:val="-15"/>
              <w:sz w:val="28"/>
              <w:szCs w:val="28"/>
            </w:rPr>
            <w:t>18</w:t>
          </w:r>
          <w:r>
            <w:rPr>
              <w:rFonts w:ascii="仿宋" w:hAnsi="仿宋" w:eastAsia="仿宋" w:cs="仿宋"/>
              <w:spacing w:val="11"/>
              <w:sz w:val="28"/>
              <w:szCs w:val="28"/>
            </w:rPr>
            <w:t xml:space="preserve"> </w:t>
          </w:r>
          <w:r>
            <w:rPr>
              <w:rFonts w:ascii="仿宋" w:hAnsi="仿宋" w:eastAsia="仿宋" w:cs="仿宋"/>
              <w:b/>
              <w:bCs/>
              <w:spacing w:val="-11"/>
              <w:sz w:val="28"/>
              <w:szCs w:val="28"/>
            </w:rPr>
            <w:t>-</w:t>
          </w:r>
          <w:r>
            <w:rPr>
              <w:rFonts w:ascii="仿宋" w:hAnsi="仿宋" w:eastAsia="仿宋" w:cs="仿宋"/>
              <w:b/>
              <w:bCs/>
              <w:spacing w:val="-11"/>
              <w:sz w:val="28"/>
              <w:szCs w:val="28"/>
            </w:rPr>
            <w:fldChar w:fldCharType="end"/>
          </w:r>
        </w:p>
        <w:p w14:paraId="4598E180">
          <w:pPr>
            <w:tabs>
              <w:tab w:val="right" w:leader="dot" w:pos="9185"/>
            </w:tabs>
            <w:spacing w:before="237" w:line="184" w:lineRule="auto"/>
            <w:ind w:left="211"/>
            <w:rPr>
              <w:rFonts w:ascii="仿宋" w:hAnsi="仿宋" w:eastAsia="仿宋" w:cs="仿宋"/>
              <w:sz w:val="28"/>
              <w:szCs w:val="28"/>
            </w:rPr>
          </w:pPr>
          <w:r>
            <w:fldChar w:fldCharType="begin"/>
          </w:r>
          <w:r>
            <w:instrText xml:space="preserve"> HYPERLINK \l "bookmark17" </w:instrText>
          </w:r>
          <w:r>
            <w:fldChar w:fldCharType="separate"/>
          </w:r>
          <w:r>
            <w:rPr>
              <w:rFonts w:ascii="仿宋" w:hAnsi="仿宋" w:eastAsia="仿宋" w:cs="仿宋"/>
              <w:spacing w:val="-10"/>
              <w:sz w:val="28"/>
              <w:szCs w:val="28"/>
            </w:rPr>
            <w:t>（</w:t>
          </w:r>
          <w:r>
            <w:rPr>
              <w:rFonts w:ascii="仿宋" w:hAnsi="仿宋" w:eastAsia="仿宋" w:cs="仿宋"/>
              <w:spacing w:val="-71"/>
              <w:sz w:val="28"/>
              <w:szCs w:val="28"/>
            </w:rPr>
            <w:t xml:space="preserve"> </w:t>
          </w:r>
          <w:r>
            <w:rPr>
              <w:rFonts w:ascii="仿宋" w:hAnsi="仿宋" w:eastAsia="仿宋" w:cs="仿宋"/>
              <w:spacing w:val="-10"/>
              <w:sz w:val="28"/>
              <w:szCs w:val="28"/>
            </w:rPr>
            <w:t>一）指导思想</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1"/>
              <w:sz w:val="28"/>
              <w:szCs w:val="28"/>
            </w:rPr>
            <w:t>-</w:t>
          </w:r>
          <w:r>
            <w:rPr>
              <w:rFonts w:ascii="仿宋" w:hAnsi="仿宋" w:eastAsia="仿宋" w:cs="仿宋"/>
              <w:spacing w:val="29"/>
              <w:sz w:val="28"/>
              <w:szCs w:val="28"/>
            </w:rPr>
            <w:t xml:space="preserve"> </w:t>
          </w:r>
          <w:r>
            <w:rPr>
              <w:rFonts w:ascii="仿宋" w:hAnsi="仿宋" w:eastAsia="仿宋" w:cs="仿宋"/>
              <w:spacing w:val="-11"/>
              <w:sz w:val="28"/>
              <w:szCs w:val="28"/>
            </w:rPr>
            <w:t>18</w:t>
          </w:r>
          <w:r>
            <w:rPr>
              <w:rFonts w:ascii="仿宋" w:hAnsi="仿宋" w:eastAsia="仿宋" w:cs="仿宋"/>
              <w:spacing w:val="7"/>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0A487B15">
          <w:pPr>
            <w:tabs>
              <w:tab w:val="right" w:leader="dot" w:pos="9185"/>
            </w:tabs>
            <w:spacing w:before="242" w:line="184" w:lineRule="auto"/>
            <w:ind w:left="211"/>
            <w:rPr>
              <w:rFonts w:ascii="仿宋" w:hAnsi="仿宋" w:eastAsia="仿宋" w:cs="仿宋"/>
              <w:sz w:val="28"/>
              <w:szCs w:val="28"/>
            </w:rPr>
          </w:pPr>
          <w:r>
            <w:fldChar w:fldCharType="begin"/>
          </w:r>
          <w:r>
            <w:instrText xml:space="preserve"> HYPERLINK \l "bookmark18" </w:instrText>
          </w:r>
          <w:r>
            <w:fldChar w:fldCharType="separate"/>
          </w:r>
          <w:r>
            <w:rPr>
              <w:rFonts w:ascii="仿宋" w:hAnsi="仿宋" w:eastAsia="仿宋" w:cs="仿宋"/>
              <w:spacing w:val="-10"/>
              <w:sz w:val="28"/>
              <w:szCs w:val="28"/>
            </w:rPr>
            <w:t>（</w:t>
          </w:r>
          <w:r>
            <w:rPr>
              <w:rFonts w:ascii="仿宋" w:hAnsi="仿宋" w:eastAsia="仿宋" w:cs="仿宋"/>
              <w:spacing w:val="-71"/>
              <w:sz w:val="28"/>
              <w:szCs w:val="28"/>
            </w:rPr>
            <w:t xml:space="preserve"> </w:t>
          </w:r>
          <w:r>
            <w:rPr>
              <w:rFonts w:ascii="仿宋" w:hAnsi="仿宋" w:eastAsia="仿宋" w:cs="仿宋"/>
              <w:spacing w:val="-10"/>
              <w:sz w:val="28"/>
              <w:szCs w:val="28"/>
            </w:rPr>
            <w:t>二）基本原则</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1"/>
              <w:sz w:val="28"/>
              <w:szCs w:val="28"/>
            </w:rPr>
            <w:t>-</w:t>
          </w:r>
          <w:r>
            <w:rPr>
              <w:rFonts w:ascii="仿宋" w:hAnsi="仿宋" w:eastAsia="仿宋" w:cs="仿宋"/>
              <w:spacing w:val="29"/>
              <w:sz w:val="28"/>
              <w:szCs w:val="28"/>
            </w:rPr>
            <w:t xml:space="preserve"> </w:t>
          </w:r>
          <w:r>
            <w:rPr>
              <w:rFonts w:ascii="仿宋" w:hAnsi="仿宋" w:eastAsia="仿宋" w:cs="仿宋"/>
              <w:spacing w:val="-11"/>
              <w:sz w:val="28"/>
              <w:szCs w:val="28"/>
            </w:rPr>
            <w:t>18</w:t>
          </w:r>
          <w:r>
            <w:rPr>
              <w:rFonts w:ascii="仿宋" w:hAnsi="仿宋" w:eastAsia="仿宋" w:cs="仿宋"/>
              <w:spacing w:val="7"/>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603556B7">
          <w:pPr>
            <w:tabs>
              <w:tab w:val="right" w:leader="dot" w:pos="9185"/>
            </w:tabs>
            <w:spacing w:before="239" w:line="184" w:lineRule="auto"/>
            <w:ind w:left="211"/>
            <w:rPr>
              <w:rFonts w:ascii="仿宋" w:hAnsi="仿宋" w:eastAsia="仿宋" w:cs="仿宋"/>
              <w:sz w:val="28"/>
              <w:szCs w:val="28"/>
            </w:rPr>
          </w:pPr>
          <w:r>
            <w:fldChar w:fldCharType="begin"/>
          </w:r>
          <w:r>
            <w:instrText xml:space="preserve"> HYPERLINK \l "bookmark19" </w:instrText>
          </w:r>
          <w:r>
            <w:fldChar w:fldCharType="separate"/>
          </w:r>
          <w:r>
            <w:rPr>
              <w:rFonts w:ascii="仿宋" w:hAnsi="仿宋" w:eastAsia="仿宋" w:cs="仿宋"/>
              <w:spacing w:val="-10"/>
              <w:sz w:val="28"/>
              <w:szCs w:val="28"/>
            </w:rPr>
            <w:t>（</w:t>
          </w:r>
          <w:r>
            <w:rPr>
              <w:rFonts w:ascii="仿宋" w:hAnsi="仿宋" w:eastAsia="仿宋" w:cs="仿宋"/>
              <w:spacing w:val="-71"/>
              <w:sz w:val="28"/>
              <w:szCs w:val="28"/>
            </w:rPr>
            <w:t xml:space="preserve"> </w:t>
          </w:r>
          <w:r>
            <w:rPr>
              <w:rFonts w:ascii="仿宋" w:hAnsi="仿宋" w:eastAsia="仿宋" w:cs="仿宋"/>
              <w:spacing w:val="-10"/>
              <w:sz w:val="28"/>
              <w:szCs w:val="28"/>
            </w:rPr>
            <w:t>三）战略定位</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1"/>
              <w:sz w:val="28"/>
              <w:szCs w:val="28"/>
            </w:rPr>
            <w:t>-</w:t>
          </w:r>
          <w:r>
            <w:rPr>
              <w:rFonts w:ascii="仿宋" w:hAnsi="仿宋" w:eastAsia="仿宋" w:cs="仿宋"/>
              <w:spacing w:val="29"/>
              <w:sz w:val="28"/>
              <w:szCs w:val="28"/>
            </w:rPr>
            <w:t xml:space="preserve"> </w:t>
          </w:r>
          <w:r>
            <w:rPr>
              <w:rFonts w:ascii="仿宋" w:hAnsi="仿宋" w:eastAsia="仿宋" w:cs="仿宋"/>
              <w:spacing w:val="-11"/>
              <w:sz w:val="28"/>
              <w:szCs w:val="28"/>
            </w:rPr>
            <w:t>19</w:t>
          </w:r>
          <w:r>
            <w:rPr>
              <w:rFonts w:ascii="仿宋" w:hAnsi="仿宋" w:eastAsia="仿宋" w:cs="仿宋"/>
              <w:spacing w:val="7"/>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1C1809AC">
          <w:pPr>
            <w:tabs>
              <w:tab w:val="right" w:leader="dot" w:pos="9185"/>
            </w:tabs>
            <w:spacing w:before="242" w:line="184" w:lineRule="auto"/>
            <w:ind w:left="211"/>
            <w:rPr>
              <w:rFonts w:ascii="仿宋" w:hAnsi="仿宋" w:eastAsia="仿宋" w:cs="仿宋"/>
              <w:sz w:val="28"/>
              <w:szCs w:val="28"/>
            </w:rPr>
          </w:pPr>
          <w:r>
            <w:fldChar w:fldCharType="begin"/>
          </w:r>
          <w:r>
            <w:instrText xml:space="preserve"> HYPERLINK \l "bookmark20" </w:instrText>
          </w:r>
          <w:r>
            <w:fldChar w:fldCharType="separate"/>
          </w:r>
          <w:r>
            <w:rPr>
              <w:rFonts w:ascii="仿宋" w:hAnsi="仿宋" w:eastAsia="仿宋" w:cs="仿宋"/>
              <w:spacing w:val="-12"/>
              <w:sz w:val="28"/>
              <w:szCs w:val="28"/>
            </w:rPr>
            <w:t>（</w:t>
          </w:r>
          <w:r>
            <w:rPr>
              <w:rFonts w:ascii="仿宋" w:hAnsi="仿宋" w:eastAsia="仿宋" w:cs="仿宋"/>
              <w:spacing w:val="-57"/>
              <w:sz w:val="28"/>
              <w:szCs w:val="28"/>
            </w:rPr>
            <w:t xml:space="preserve"> </w:t>
          </w:r>
          <w:r>
            <w:rPr>
              <w:rFonts w:ascii="仿宋" w:hAnsi="仿宋" w:eastAsia="仿宋" w:cs="仿宋"/>
              <w:spacing w:val="-12"/>
              <w:sz w:val="28"/>
              <w:szCs w:val="28"/>
            </w:rPr>
            <w:t>四）发展目标</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96"/>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20</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620D4DDC">
          <w:pPr>
            <w:tabs>
              <w:tab w:val="right" w:leader="dot" w:pos="9185"/>
            </w:tabs>
            <w:spacing w:before="208" w:line="184" w:lineRule="auto"/>
            <w:ind w:left="728"/>
            <w:rPr>
              <w:rFonts w:ascii="仿宋" w:hAnsi="仿宋" w:eastAsia="仿宋" w:cs="仿宋"/>
              <w:sz w:val="28"/>
              <w:szCs w:val="28"/>
            </w:rPr>
          </w:pPr>
          <w:r>
            <w:fldChar w:fldCharType="begin"/>
          </w:r>
          <w:r>
            <w:instrText xml:space="preserve"> HYPERLINK \l "bookmark21" </w:instrText>
          </w:r>
          <w:r>
            <w:fldChar w:fldCharType="separate"/>
          </w:r>
          <w:r>
            <w:rPr>
              <w:rFonts w:ascii="仿宋" w:hAnsi="仿宋" w:eastAsia="仿宋" w:cs="仿宋"/>
              <w:spacing w:val="-10"/>
              <w:sz w:val="28"/>
              <w:szCs w:val="28"/>
            </w:rPr>
            <w:t>1.</w:t>
          </w:r>
          <w:r>
            <w:rPr>
              <w:rFonts w:ascii="仿宋" w:hAnsi="仿宋" w:eastAsia="仿宋" w:cs="仿宋"/>
              <w:spacing w:val="31"/>
              <w:sz w:val="28"/>
              <w:szCs w:val="28"/>
            </w:rPr>
            <w:t xml:space="preserve"> </w:t>
          </w:r>
          <w:r>
            <w:rPr>
              <w:rFonts w:ascii="仿宋" w:hAnsi="仿宋" w:eastAsia="仿宋" w:cs="仿宋"/>
              <w:spacing w:val="-10"/>
              <w:sz w:val="28"/>
              <w:szCs w:val="28"/>
            </w:rPr>
            <w:t>总体目标</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20</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2147E0E3">
          <w:pPr>
            <w:tabs>
              <w:tab w:val="right" w:leader="dot" w:pos="9185"/>
            </w:tabs>
            <w:spacing w:before="201" w:line="184" w:lineRule="auto"/>
            <w:ind w:left="722"/>
            <w:rPr>
              <w:rFonts w:ascii="仿宋" w:hAnsi="仿宋" w:eastAsia="仿宋" w:cs="仿宋"/>
              <w:sz w:val="28"/>
              <w:szCs w:val="28"/>
            </w:rPr>
          </w:pPr>
          <w:r>
            <w:fldChar w:fldCharType="begin"/>
          </w:r>
          <w:r>
            <w:instrText xml:space="preserve"> HYPERLINK \l "bookmark22" </w:instrText>
          </w:r>
          <w:r>
            <w:fldChar w:fldCharType="separate"/>
          </w:r>
          <w:r>
            <w:rPr>
              <w:rFonts w:ascii="仿宋" w:hAnsi="仿宋" w:eastAsia="仿宋" w:cs="仿宋"/>
              <w:spacing w:val="-7"/>
              <w:sz w:val="28"/>
              <w:szCs w:val="28"/>
            </w:rPr>
            <w:t>2.</w:t>
          </w:r>
          <w:r>
            <w:rPr>
              <w:rFonts w:ascii="仿宋" w:hAnsi="仿宋" w:eastAsia="仿宋" w:cs="仿宋"/>
              <w:spacing w:val="20"/>
              <w:sz w:val="28"/>
              <w:szCs w:val="28"/>
            </w:rPr>
            <w:t xml:space="preserve"> </w:t>
          </w:r>
          <w:r>
            <w:rPr>
              <w:rFonts w:ascii="仿宋" w:hAnsi="仿宋" w:eastAsia="仿宋" w:cs="仿宋"/>
              <w:spacing w:val="-7"/>
              <w:sz w:val="28"/>
              <w:szCs w:val="28"/>
            </w:rPr>
            <w:t>具体目标</w:t>
          </w:r>
          <w:r>
            <w:rPr>
              <w:rFonts w:ascii="仿宋" w:hAnsi="仿宋" w:eastAsia="仿宋" w:cs="仿宋"/>
              <w:spacing w:val="-121"/>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21</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0DC3FA98">
          <w:pPr>
            <w:tabs>
              <w:tab w:val="right" w:leader="dot" w:pos="9185"/>
            </w:tabs>
            <w:spacing w:before="233" w:line="188" w:lineRule="auto"/>
            <w:ind w:left="26"/>
            <w:rPr>
              <w:rFonts w:ascii="仿宋" w:hAnsi="仿宋" w:eastAsia="仿宋" w:cs="仿宋"/>
              <w:sz w:val="28"/>
              <w:szCs w:val="28"/>
            </w:rPr>
          </w:pPr>
          <w:r>
            <w:fldChar w:fldCharType="begin"/>
          </w:r>
          <w:r>
            <w:instrText xml:space="preserve"> HYPERLINK \l "bookmark23" </w:instrText>
          </w:r>
          <w:r>
            <w:fldChar w:fldCharType="separate"/>
          </w:r>
          <w:r>
            <w:rPr>
              <w:rFonts w:ascii="黑体" w:hAnsi="黑体" w:eastAsia="黑体" w:cs="黑体"/>
              <w:spacing w:val="-5"/>
              <w:sz w:val="28"/>
              <w:szCs w:val="28"/>
            </w:rPr>
            <w:t>四、重点任务</w:t>
          </w:r>
          <w:r>
            <w:rPr>
              <w:rFonts w:ascii="黑体" w:hAnsi="黑体" w:eastAsia="黑体" w:cs="黑体"/>
              <w:sz w:val="28"/>
              <w:szCs w:val="28"/>
            </w:rPr>
            <w:tab/>
          </w:r>
          <w:r>
            <w:rPr>
              <w:rFonts w:ascii="黑体" w:hAnsi="黑体" w:eastAsia="黑体" w:cs="黑体"/>
              <w:spacing w:val="-93"/>
              <w:sz w:val="28"/>
              <w:szCs w:val="28"/>
            </w:rPr>
            <w:t xml:space="preserve"> </w:t>
          </w:r>
          <w:r>
            <w:rPr>
              <w:rFonts w:ascii="仿宋" w:hAnsi="仿宋" w:eastAsia="仿宋" w:cs="仿宋"/>
              <w:b/>
              <w:bCs/>
              <w:spacing w:val="-14"/>
              <w:sz w:val="28"/>
              <w:szCs w:val="28"/>
            </w:rPr>
            <w:t>-</w:t>
          </w:r>
          <w:r>
            <w:rPr>
              <w:rFonts w:ascii="仿宋" w:hAnsi="仿宋" w:eastAsia="仿宋" w:cs="仿宋"/>
              <w:spacing w:val="22"/>
              <w:sz w:val="28"/>
              <w:szCs w:val="28"/>
            </w:rPr>
            <w:t xml:space="preserve"> </w:t>
          </w:r>
          <w:r>
            <w:rPr>
              <w:rFonts w:ascii="仿宋" w:hAnsi="仿宋" w:eastAsia="仿宋" w:cs="仿宋"/>
              <w:b/>
              <w:bCs/>
              <w:spacing w:val="-14"/>
              <w:sz w:val="28"/>
              <w:szCs w:val="28"/>
            </w:rPr>
            <w:t>2</w:t>
          </w:r>
          <w:r>
            <w:rPr>
              <w:rFonts w:ascii="仿宋" w:hAnsi="仿宋" w:eastAsia="仿宋" w:cs="仿宋"/>
              <w:b/>
              <w:bCs/>
              <w:spacing w:val="-13"/>
              <w:sz w:val="28"/>
              <w:szCs w:val="28"/>
            </w:rPr>
            <w:t>5</w:t>
          </w:r>
          <w:r>
            <w:rPr>
              <w:rFonts w:ascii="仿宋" w:hAnsi="仿宋" w:eastAsia="仿宋" w:cs="仿宋"/>
              <w:spacing w:val="11"/>
              <w:sz w:val="28"/>
              <w:szCs w:val="28"/>
            </w:rPr>
            <w:t xml:space="preserve"> </w:t>
          </w:r>
          <w:r>
            <w:rPr>
              <w:rFonts w:ascii="仿宋" w:hAnsi="仿宋" w:eastAsia="仿宋" w:cs="仿宋"/>
              <w:b/>
              <w:bCs/>
              <w:spacing w:val="-11"/>
              <w:sz w:val="28"/>
              <w:szCs w:val="28"/>
            </w:rPr>
            <w:t>-</w:t>
          </w:r>
          <w:r>
            <w:rPr>
              <w:rFonts w:ascii="仿宋" w:hAnsi="仿宋" w:eastAsia="仿宋" w:cs="仿宋"/>
              <w:b/>
              <w:bCs/>
              <w:spacing w:val="-11"/>
              <w:sz w:val="28"/>
              <w:szCs w:val="28"/>
            </w:rPr>
            <w:fldChar w:fldCharType="end"/>
          </w:r>
        </w:p>
        <w:p w14:paraId="6B30C358">
          <w:pPr>
            <w:tabs>
              <w:tab w:val="right" w:leader="dot" w:pos="9185"/>
            </w:tabs>
            <w:spacing w:before="235" w:line="184" w:lineRule="auto"/>
            <w:ind w:left="211"/>
            <w:rPr>
              <w:rFonts w:ascii="仿宋" w:hAnsi="仿宋" w:eastAsia="仿宋" w:cs="仿宋"/>
              <w:sz w:val="28"/>
              <w:szCs w:val="28"/>
            </w:rPr>
          </w:pPr>
          <w:r>
            <w:fldChar w:fldCharType="begin"/>
          </w:r>
          <w:r>
            <w:instrText xml:space="preserve"> HYPERLINK \l "bookmark24" </w:instrText>
          </w:r>
          <w:r>
            <w:fldChar w:fldCharType="separate"/>
          </w:r>
          <w:r>
            <w:rPr>
              <w:rFonts w:ascii="仿宋" w:hAnsi="仿宋" w:eastAsia="仿宋" w:cs="仿宋"/>
              <w:spacing w:val="-6"/>
              <w:sz w:val="28"/>
              <w:szCs w:val="28"/>
            </w:rPr>
            <w:t>（</w:t>
          </w:r>
          <w:r>
            <w:rPr>
              <w:rFonts w:ascii="仿宋" w:hAnsi="仿宋" w:eastAsia="仿宋" w:cs="仿宋"/>
              <w:spacing w:val="-63"/>
              <w:sz w:val="28"/>
              <w:szCs w:val="28"/>
            </w:rPr>
            <w:t xml:space="preserve"> </w:t>
          </w:r>
          <w:r>
            <w:rPr>
              <w:rFonts w:ascii="仿宋" w:hAnsi="仿宋" w:eastAsia="仿宋" w:cs="仿宋"/>
              <w:spacing w:val="-6"/>
              <w:sz w:val="28"/>
              <w:szCs w:val="28"/>
            </w:rPr>
            <w:t>一）推进综合交通网络建设</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120"/>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25</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4841A6BD">
          <w:pPr>
            <w:tabs>
              <w:tab w:val="right" w:leader="dot" w:pos="9185"/>
            </w:tabs>
            <w:spacing w:before="210" w:line="184" w:lineRule="auto"/>
            <w:ind w:left="728"/>
            <w:rPr>
              <w:rFonts w:ascii="仿宋" w:hAnsi="仿宋" w:eastAsia="仿宋" w:cs="仿宋"/>
              <w:sz w:val="28"/>
              <w:szCs w:val="28"/>
            </w:rPr>
          </w:pPr>
          <w:r>
            <w:fldChar w:fldCharType="begin"/>
          </w:r>
          <w:r>
            <w:instrText xml:space="preserve"> HYPERLINK \l "bookmark25" </w:instrText>
          </w:r>
          <w:r>
            <w:fldChar w:fldCharType="separate"/>
          </w:r>
          <w:r>
            <w:rPr>
              <w:rFonts w:ascii="仿宋" w:hAnsi="仿宋" w:eastAsia="仿宋" w:cs="仿宋"/>
              <w:spacing w:val="-2"/>
              <w:sz w:val="28"/>
              <w:szCs w:val="28"/>
            </w:rPr>
            <w:t>1. 建设高品质的快速交通网</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125"/>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25</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79ED8E82">
          <w:pPr>
            <w:tabs>
              <w:tab w:val="right" w:leader="dot" w:pos="9185"/>
            </w:tabs>
            <w:spacing w:before="200" w:line="219" w:lineRule="auto"/>
            <w:ind w:left="722"/>
            <w:rPr>
              <w:rFonts w:ascii="仿宋" w:hAnsi="仿宋" w:eastAsia="仿宋" w:cs="仿宋"/>
              <w:sz w:val="28"/>
              <w:szCs w:val="28"/>
            </w:rPr>
          </w:pPr>
          <w:r>
            <w:fldChar w:fldCharType="begin"/>
          </w:r>
          <w:r>
            <w:instrText xml:space="preserve"> HYPERLINK \l "bookmark26" </w:instrText>
          </w:r>
          <w:r>
            <w:fldChar w:fldCharType="separate"/>
          </w:r>
          <w:r>
            <w:rPr>
              <w:rFonts w:ascii="仿宋" w:hAnsi="仿宋" w:eastAsia="仿宋" w:cs="仿宋"/>
              <w:spacing w:val="-2"/>
              <w:sz w:val="28"/>
              <w:szCs w:val="28"/>
            </w:rPr>
            <w:t>2. 建设高效率的普速干线网</w:t>
          </w:r>
          <w:r>
            <w:rPr>
              <w:rFonts w:ascii="仿宋" w:hAnsi="仿宋" w:eastAsia="仿宋" w:cs="仿宋"/>
              <w:spacing w:val="-116"/>
              <w:sz w:val="28"/>
              <w:szCs w:val="28"/>
            </w:rPr>
            <w:t xml:space="preserve"> </w:t>
          </w:r>
          <w:r>
            <w:rPr>
              <w:rFonts w:ascii="仿宋" w:hAnsi="仿宋" w:eastAsia="仿宋" w:cs="仿宋"/>
              <w:sz w:val="28"/>
              <w:szCs w:val="28"/>
            </w:rPr>
            <w:tab/>
          </w:r>
          <w:r>
            <w:rPr>
              <w:rFonts w:ascii="仿宋" w:hAnsi="仿宋" w:eastAsia="仿宋" w:cs="仿宋"/>
              <w:spacing w:val="-125"/>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27</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sdtContent>
    </w:sdt>
    <w:p w14:paraId="0D879385">
      <w:pPr>
        <w:spacing w:line="219" w:lineRule="auto"/>
        <w:rPr>
          <w:rFonts w:ascii="仿宋" w:hAnsi="仿宋" w:eastAsia="仿宋" w:cs="仿宋"/>
          <w:sz w:val="28"/>
          <w:szCs w:val="28"/>
        </w:rPr>
        <w:sectPr>
          <w:headerReference r:id="rId7" w:type="default"/>
          <w:footerReference r:id="rId8" w:type="default"/>
          <w:pgSz w:w="11906" w:h="16839"/>
          <w:pgMar w:top="1222" w:right="1133" w:bottom="1096" w:left="1587" w:header="885" w:footer="936" w:gutter="0"/>
          <w:cols w:space="720" w:num="1"/>
        </w:sectPr>
      </w:pPr>
    </w:p>
    <w:p w14:paraId="66920CC6">
      <w:pPr>
        <w:pStyle w:val="2"/>
        <w:spacing w:line="246" w:lineRule="auto"/>
      </w:pPr>
    </w:p>
    <w:sdt>
      <w:sdtPr>
        <w:rPr>
          <w:rFonts w:ascii="仿宋" w:hAnsi="仿宋" w:eastAsia="仿宋" w:cs="仿宋"/>
          <w:sz w:val="28"/>
          <w:szCs w:val="28"/>
        </w:rPr>
        <w:id w:val="147452958"/>
        <w:docPartObj>
          <w:docPartGallery w:val="Table of Contents"/>
          <w:docPartUnique/>
        </w:docPartObj>
      </w:sdtPr>
      <w:sdtEndPr>
        <w:rPr>
          <w:rFonts w:ascii="仿宋" w:hAnsi="仿宋" w:eastAsia="仿宋" w:cs="仿宋"/>
          <w:sz w:val="28"/>
          <w:szCs w:val="28"/>
        </w:rPr>
      </w:sdtEndPr>
      <w:sdtContent>
        <w:p w14:paraId="446B8209">
          <w:pPr>
            <w:tabs>
              <w:tab w:val="right" w:leader="dot" w:pos="9184"/>
            </w:tabs>
            <w:spacing w:before="91" w:line="184" w:lineRule="auto"/>
            <w:ind w:left="732"/>
            <w:rPr>
              <w:rFonts w:ascii="仿宋" w:hAnsi="仿宋" w:eastAsia="仿宋" w:cs="仿宋"/>
              <w:sz w:val="28"/>
              <w:szCs w:val="28"/>
            </w:rPr>
          </w:pPr>
          <w:r>
            <w:fldChar w:fldCharType="begin"/>
          </w:r>
          <w:r>
            <w:instrText xml:space="preserve"> HYPERLINK \l "bookmark27" </w:instrText>
          </w:r>
          <w:r>
            <w:fldChar w:fldCharType="separate"/>
          </w:r>
          <w:r>
            <w:rPr>
              <w:rFonts w:ascii="仿宋" w:hAnsi="仿宋" w:eastAsia="仿宋" w:cs="仿宋"/>
              <w:spacing w:val="-3"/>
              <w:sz w:val="28"/>
              <w:szCs w:val="28"/>
            </w:rPr>
            <w:t>3. 建设广覆盖的基础服务网</w:t>
          </w:r>
          <w:r>
            <w:rPr>
              <w:rFonts w:ascii="仿宋" w:hAnsi="仿宋" w:eastAsia="仿宋" w:cs="仿宋"/>
              <w:spacing w:val="-113"/>
              <w:sz w:val="28"/>
              <w:szCs w:val="28"/>
            </w:rPr>
            <w:t xml:space="preserve"> </w:t>
          </w:r>
          <w:r>
            <w:rPr>
              <w:rFonts w:ascii="仿宋" w:hAnsi="仿宋" w:eastAsia="仿宋" w:cs="仿宋"/>
              <w:sz w:val="28"/>
              <w:szCs w:val="28"/>
            </w:rPr>
            <w:tab/>
          </w:r>
          <w:r>
            <w:rPr>
              <w:rFonts w:ascii="仿宋" w:hAnsi="仿宋" w:eastAsia="仿宋" w:cs="仿宋"/>
              <w:spacing w:val="-123"/>
              <w:sz w:val="28"/>
              <w:szCs w:val="28"/>
            </w:rPr>
            <w:t xml:space="preserve"> </w:t>
          </w:r>
          <w:r>
            <w:rPr>
              <w:rFonts w:ascii="仿宋" w:hAnsi="仿宋" w:eastAsia="仿宋" w:cs="仿宋"/>
              <w:spacing w:val="-10"/>
              <w:sz w:val="28"/>
              <w:szCs w:val="28"/>
            </w:rPr>
            <w:t>-</w:t>
          </w:r>
          <w:r>
            <w:rPr>
              <w:rFonts w:ascii="仿宋" w:hAnsi="仿宋" w:eastAsia="仿宋" w:cs="仿宋"/>
              <w:spacing w:val="20"/>
              <w:sz w:val="28"/>
              <w:szCs w:val="28"/>
            </w:rPr>
            <w:t xml:space="preserve"> </w:t>
          </w:r>
          <w:r>
            <w:rPr>
              <w:rFonts w:ascii="仿宋" w:hAnsi="仿宋" w:eastAsia="仿宋" w:cs="仿宋"/>
              <w:spacing w:val="-10"/>
              <w:sz w:val="28"/>
              <w:szCs w:val="28"/>
            </w:rPr>
            <w:t>29</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4183FEA4">
          <w:pPr>
            <w:tabs>
              <w:tab w:val="right" w:leader="dot" w:pos="9184"/>
            </w:tabs>
            <w:spacing w:before="200" w:line="184" w:lineRule="auto"/>
            <w:ind w:left="720"/>
            <w:rPr>
              <w:rFonts w:ascii="仿宋" w:hAnsi="仿宋" w:eastAsia="仿宋" w:cs="仿宋"/>
              <w:sz w:val="28"/>
              <w:szCs w:val="28"/>
            </w:rPr>
          </w:pPr>
          <w:r>
            <w:fldChar w:fldCharType="begin"/>
          </w:r>
          <w:r>
            <w:instrText xml:space="preserve"> HYPERLINK \l "bookmark28" </w:instrText>
          </w:r>
          <w:r>
            <w:fldChar w:fldCharType="separate"/>
          </w:r>
          <w:r>
            <w:rPr>
              <w:rFonts w:ascii="仿宋" w:hAnsi="仿宋" w:eastAsia="仿宋" w:cs="仿宋"/>
              <w:spacing w:val="-2"/>
              <w:sz w:val="28"/>
              <w:szCs w:val="28"/>
            </w:rPr>
            <w:t>4. 全面提升服务区建管运水平</w:t>
          </w:r>
          <w:r>
            <w:rPr>
              <w:rFonts w:ascii="仿宋" w:hAnsi="仿宋" w:eastAsia="仿宋" w:cs="仿宋"/>
              <w:spacing w:val="-112"/>
              <w:sz w:val="28"/>
              <w:szCs w:val="28"/>
            </w:rPr>
            <w:t xml:space="preserve"> </w:t>
          </w:r>
          <w:r>
            <w:rPr>
              <w:rFonts w:ascii="仿宋" w:hAnsi="仿宋" w:eastAsia="仿宋" w:cs="仿宋"/>
              <w:sz w:val="28"/>
              <w:szCs w:val="28"/>
            </w:rPr>
            <w:tab/>
          </w:r>
          <w:r>
            <w:rPr>
              <w:rFonts w:ascii="仿宋" w:hAnsi="仿宋" w:eastAsia="仿宋" w:cs="仿宋"/>
              <w:spacing w:val="-130"/>
              <w:sz w:val="28"/>
              <w:szCs w:val="28"/>
            </w:rPr>
            <w:t xml:space="preserve"> </w:t>
          </w:r>
          <w:r>
            <w:rPr>
              <w:rFonts w:ascii="仿宋" w:hAnsi="仿宋" w:eastAsia="仿宋" w:cs="仿宋"/>
              <w:spacing w:val="-13"/>
              <w:sz w:val="28"/>
              <w:szCs w:val="28"/>
            </w:rPr>
            <w:t>-</w:t>
          </w:r>
          <w:r>
            <w:rPr>
              <w:rFonts w:ascii="仿宋" w:hAnsi="仿宋" w:eastAsia="仿宋" w:cs="仿宋"/>
              <w:spacing w:val="31"/>
              <w:sz w:val="28"/>
              <w:szCs w:val="28"/>
            </w:rPr>
            <w:t xml:space="preserve"> </w:t>
          </w:r>
          <w:r>
            <w:rPr>
              <w:rFonts w:ascii="仿宋" w:hAnsi="仿宋" w:eastAsia="仿宋" w:cs="仿宋"/>
              <w:spacing w:val="-12"/>
              <w:sz w:val="28"/>
              <w:szCs w:val="28"/>
            </w:rPr>
            <w:t>31</w:t>
          </w:r>
          <w:r>
            <w:rPr>
              <w:rFonts w:ascii="仿宋" w:hAnsi="仿宋" w:eastAsia="仿宋" w:cs="仿宋"/>
              <w:spacing w:val="6"/>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4A97B5F4">
          <w:pPr>
            <w:tabs>
              <w:tab w:val="right" w:leader="dot" w:pos="9184"/>
            </w:tabs>
            <w:spacing w:before="234" w:line="184" w:lineRule="auto"/>
            <w:ind w:left="210"/>
            <w:rPr>
              <w:rFonts w:ascii="仿宋" w:hAnsi="仿宋" w:eastAsia="仿宋" w:cs="仿宋"/>
              <w:sz w:val="28"/>
              <w:szCs w:val="28"/>
            </w:rPr>
          </w:pPr>
          <w:r>
            <w:fldChar w:fldCharType="begin"/>
          </w:r>
          <w:r>
            <w:instrText xml:space="preserve"> HYPERLINK \l "bookmark29" </w:instrText>
          </w:r>
          <w:r>
            <w:fldChar w:fldCharType="separate"/>
          </w:r>
          <w:r>
            <w:rPr>
              <w:rFonts w:ascii="仿宋" w:hAnsi="仿宋" w:eastAsia="仿宋" w:cs="仿宋"/>
              <w:spacing w:val="-5"/>
              <w:sz w:val="28"/>
              <w:szCs w:val="28"/>
            </w:rPr>
            <w:t>（</w:t>
          </w:r>
          <w:r>
            <w:rPr>
              <w:rFonts w:ascii="仿宋" w:hAnsi="仿宋" w:eastAsia="仿宋" w:cs="仿宋"/>
              <w:spacing w:val="-76"/>
              <w:sz w:val="28"/>
              <w:szCs w:val="28"/>
            </w:rPr>
            <w:t xml:space="preserve"> </w:t>
          </w:r>
          <w:r>
            <w:rPr>
              <w:rFonts w:ascii="仿宋" w:hAnsi="仿宋" w:eastAsia="仿宋" w:cs="仿宋"/>
              <w:spacing w:val="-5"/>
              <w:sz w:val="28"/>
              <w:szCs w:val="28"/>
            </w:rPr>
            <w:t>二）构建综合交通枢纽体系</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23"/>
              <w:sz w:val="28"/>
              <w:szCs w:val="28"/>
            </w:rPr>
            <w:t xml:space="preserve"> </w:t>
          </w:r>
          <w:r>
            <w:rPr>
              <w:rFonts w:ascii="仿宋" w:hAnsi="仿宋" w:eastAsia="仿宋" w:cs="仿宋"/>
              <w:spacing w:val="-13"/>
              <w:sz w:val="28"/>
              <w:szCs w:val="28"/>
            </w:rPr>
            <w:t>-</w:t>
          </w:r>
          <w:r>
            <w:rPr>
              <w:rFonts w:ascii="仿宋" w:hAnsi="仿宋" w:eastAsia="仿宋" w:cs="仿宋"/>
              <w:spacing w:val="31"/>
              <w:sz w:val="28"/>
              <w:szCs w:val="28"/>
            </w:rPr>
            <w:t xml:space="preserve"> </w:t>
          </w:r>
          <w:r>
            <w:rPr>
              <w:rFonts w:ascii="仿宋" w:hAnsi="仿宋" w:eastAsia="仿宋" w:cs="仿宋"/>
              <w:spacing w:val="-12"/>
              <w:sz w:val="28"/>
              <w:szCs w:val="28"/>
            </w:rPr>
            <w:t>32</w:t>
          </w:r>
          <w:r>
            <w:rPr>
              <w:rFonts w:ascii="仿宋" w:hAnsi="仿宋" w:eastAsia="仿宋" w:cs="仿宋"/>
              <w:spacing w:val="6"/>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2B99369C">
          <w:pPr>
            <w:tabs>
              <w:tab w:val="right" w:leader="dot" w:pos="9184"/>
            </w:tabs>
            <w:spacing w:before="208" w:line="184" w:lineRule="auto"/>
            <w:ind w:left="728"/>
            <w:rPr>
              <w:rFonts w:ascii="仿宋" w:hAnsi="仿宋" w:eastAsia="仿宋" w:cs="仿宋"/>
              <w:sz w:val="28"/>
              <w:szCs w:val="28"/>
            </w:rPr>
          </w:pPr>
          <w:r>
            <w:fldChar w:fldCharType="begin"/>
          </w:r>
          <w:r>
            <w:instrText xml:space="preserve"> HYPERLINK \l "bookmark30" </w:instrText>
          </w:r>
          <w:r>
            <w:fldChar w:fldCharType="separate"/>
          </w:r>
          <w:r>
            <w:rPr>
              <w:rFonts w:ascii="仿宋" w:hAnsi="仿宋" w:eastAsia="仿宋" w:cs="仿宋"/>
              <w:spacing w:val="-2"/>
              <w:sz w:val="28"/>
              <w:szCs w:val="28"/>
            </w:rPr>
            <w:t>1. 推进综合客运枢纽场站建设</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30"/>
              <w:sz w:val="28"/>
              <w:szCs w:val="28"/>
            </w:rPr>
            <w:t xml:space="preserve"> </w:t>
          </w:r>
          <w:r>
            <w:rPr>
              <w:rFonts w:ascii="仿宋" w:hAnsi="仿宋" w:eastAsia="仿宋" w:cs="仿宋"/>
              <w:spacing w:val="-13"/>
              <w:sz w:val="28"/>
              <w:szCs w:val="28"/>
            </w:rPr>
            <w:t>-</w:t>
          </w:r>
          <w:r>
            <w:rPr>
              <w:rFonts w:ascii="仿宋" w:hAnsi="仿宋" w:eastAsia="仿宋" w:cs="仿宋"/>
              <w:spacing w:val="31"/>
              <w:sz w:val="28"/>
              <w:szCs w:val="28"/>
            </w:rPr>
            <w:t xml:space="preserve"> </w:t>
          </w:r>
          <w:r>
            <w:rPr>
              <w:rFonts w:ascii="仿宋" w:hAnsi="仿宋" w:eastAsia="仿宋" w:cs="仿宋"/>
              <w:spacing w:val="-12"/>
              <w:sz w:val="28"/>
              <w:szCs w:val="28"/>
            </w:rPr>
            <w:t>32</w:t>
          </w:r>
          <w:r>
            <w:rPr>
              <w:rFonts w:ascii="仿宋" w:hAnsi="仿宋" w:eastAsia="仿宋" w:cs="仿宋"/>
              <w:spacing w:val="6"/>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3DAC7DE7">
          <w:pPr>
            <w:tabs>
              <w:tab w:val="right" w:leader="dot" w:pos="9184"/>
            </w:tabs>
            <w:spacing w:before="200" w:line="184" w:lineRule="auto"/>
            <w:ind w:left="721"/>
            <w:rPr>
              <w:rFonts w:ascii="仿宋" w:hAnsi="仿宋" w:eastAsia="仿宋" w:cs="仿宋"/>
              <w:sz w:val="28"/>
              <w:szCs w:val="28"/>
            </w:rPr>
          </w:pPr>
          <w:r>
            <w:fldChar w:fldCharType="begin"/>
          </w:r>
          <w:r>
            <w:instrText xml:space="preserve"> HYPERLINK \l "bookmark31" </w:instrText>
          </w:r>
          <w:r>
            <w:fldChar w:fldCharType="separate"/>
          </w:r>
          <w:r>
            <w:rPr>
              <w:rFonts w:ascii="仿宋" w:hAnsi="仿宋" w:eastAsia="仿宋" w:cs="仿宋"/>
              <w:spacing w:val="-1"/>
              <w:sz w:val="28"/>
              <w:szCs w:val="28"/>
            </w:rPr>
            <w:t>2. 推进综合货运枢纽场站（物流园区）</w:t>
          </w:r>
          <w:r>
            <w:rPr>
              <w:rFonts w:ascii="仿宋" w:hAnsi="仿宋" w:eastAsia="仿宋" w:cs="仿宋"/>
              <w:spacing w:val="-2"/>
              <w:sz w:val="28"/>
              <w:szCs w:val="28"/>
            </w:rPr>
            <w:t>建设</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85"/>
              <w:sz w:val="28"/>
              <w:szCs w:val="28"/>
            </w:rPr>
            <w:t xml:space="preserve"> </w:t>
          </w:r>
          <w:r>
            <w:rPr>
              <w:rFonts w:ascii="仿宋" w:hAnsi="仿宋" w:eastAsia="仿宋" w:cs="仿宋"/>
              <w:spacing w:val="-13"/>
              <w:sz w:val="28"/>
              <w:szCs w:val="28"/>
            </w:rPr>
            <w:t>-</w:t>
          </w:r>
          <w:r>
            <w:rPr>
              <w:rFonts w:ascii="仿宋" w:hAnsi="仿宋" w:eastAsia="仿宋" w:cs="仿宋"/>
              <w:spacing w:val="31"/>
              <w:sz w:val="28"/>
              <w:szCs w:val="28"/>
            </w:rPr>
            <w:t xml:space="preserve"> </w:t>
          </w:r>
          <w:r>
            <w:rPr>
              <w:rFonts w:ascii="仿宋" w:hAnsi="仿宋" w:eastAsia="仿宋" w:cs="仿宋"/>
              <w:spacing w:val="-12"/>
              <w:sz w:val="28"/>
              <w:szCs w:val="28"/>
            </w:rPr>
            <w:t>33</w:t>
          </w:r>
          <w:r>
            <w:rPr>
              <w:rFonts w:ascii="仿宋" w:hAnsi="仿宋" w:eastAsia="仿宋" w:cs="仿宋"/>
              <w:spacing w:val="6"/>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184447EE">
          <w:pPr>
            <w:tabs>
              <w:tab w:val="right" w:leader="dot" w:pos="9184"/>
            </w:tabs>
            <w:spacing w:before="232" w:line="184" w:lineRule="auto"/>
            <w:ind w:left="210"/>
            <w:rPr>
              <w:rFonts w:ascii="仿宋" w:hAnsi="仿宋" w:eastAsia="仿宋" w:cs="仿宋"/>
              <w:sz w:val="28"/>
              <w:szCs w:val="28"/>
            </w:rPr>
          </w:pPr>
          <w:r>
            <w:fldChar w:fldCharType="begin"/>
          </w:r>
          <w:r>
            <w:instrText xml:space="preserve"> HYPERLINK \l "bookmark32" </w:instrText>
          </w:r>
          <w:r>
            <w:fldChar w:fldCharType="separate"/>
          </w:r>
          <w:r>
            <w:rPr>
              <w:rFonts w:ascii="仿宋" w:hAnsi="仿宋" w:eastAsia="仿宋" w:cs="仿宋"/>
              <w:spacing w:val="-6"/>
              <w:sz w:val="28"/>
              <w:szCs w:val="28"/>
            </w:rPr>
            <w:t>（</w:t>
          </w:r>
          <w:r>
            <w:rPr>
              <w:rFonts w:ascii="仿宋" w:hAnsi="仿宋" w:eastAsia="仿宋" w:cs="仿宋"/>
              <w:spacing w:val="-63"/>
              <w:sz w:val="28"/>
              <w:szCs w:val="28"/>
            </w:rPr>
            <w:t xml:space="preserve"> </w:t>
          </w:r>
          <w:r>
            <w:rPr>
              <w:rFonts w:ascii="仿宋" w:hAnsi="仿宋" w:eastAsia="仿宋" w:cs="仿宋"/>
              <w:spacing w:val="-6"/>
              <w:sz w:val="28"/>
              <w:szCs w:val="28"/>
            </w:rPr>
            <w:t>三）提升综合运输服务品质</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23"/>
              <w:sz w:val="28"/>
              <w:szCs w:val="28"/>
            </w:rPr>
            <w:t xml:space="preserve"> </w:t>
          </w:r>
          <w:r>
            <w:rPr>
              <w:rFonts w:ascii="仿宋" w:hAnsi="仿宋" w:eastAsia="仿宋" w:cs="仿宋"/>
              <w:spacing w:val="-13"/>
              <w:sz w:val="28"/>
              <w:szCs w:val="28"/>
            </w:rPr>
            <w:t>-</w:t>
          </w:r>
          <w:r>
            <w:rPr>
              <w:rFonts w:ascii="仿宋" w:hAnsi="仿宋" w:eastAsia="仿宋" w:cs="仿宋"/>
              <w:spacing w:val="31"/>
              <w:sz w:val="28"/>
              <w:szCs w:val="28"/>
            </w:rPr>
            <w:t xml:space="preserve"> </w:t>
          </w:r>
          <w:r>
            <w:rPr>
              <w:rFonts w:ascii="仿宋" w:hAnsi="仿宋" w:eastAsia="仿宋" w:cs="仿宋"/>
              <w:spacing w:val="-12"/>
              <w:sz w:val="28"/>
              <w:szCs w:val="28"/>
            </w:rPr>
            <w:t>35</w:t>
          </w:r>
          <w:r>
            <w:rPr>
              <w:rFonts w:ascii="仿宋" w:hAnsi="仿宋" w:eastAsia="仿宋" w:cs="仿宋"/>
              <w:spacing w:val="6"/>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73626A28">
          <w:pPr>
            <w:tabs>
              <w:tab w:val="right" w:leader="dot" w:pos="9184"/>
            </w:tabs>
            <w:spacing w:before="211" w:line="184" w:lineRule="auto"/>
            <w:ind w:left="728"/>
            <w:rPr>
              <w:rFonts w:ascii="仿宋" w:hAnsi="仿宋" w:eastAsia="仿宋" w:cs="仿宋"/>
              <w:sz w:val="28"/>
              <w:szCs w:val="28"/>
            </w:rPr>
          </w:pPr>
          <w:r>
            <w:fldChar w:fldCharType="begin"/>
          </w:r>
          <w:r>
            <w:instrText xml:space="preserve"> HYPERLINK \l "bookmark33" </w:instrText>
          </w:r>
          <w:r>
            <w:fldChar w:fldCharType="separate"/>
          </w:r>
          <w:r>
            <w:rPr>
              <w:rFonts w:ascii="仿宋" w:hAnsi="仿宋" w:eastAsia="仿宋" w:cs="仿宋"/>
              <w:spacing w:val="-2"/>
              <w:sz w:val="28"/>
              <w:szCs w:val="28"/>
            </w:rPr>
            <w:t>1. 提升客运出行服务品质，实现公共服务均等化</w:t>
          </w:r>
          <w:r>
            <w:rPr>
              <w:rFonts w:ascii="仿宋" w:hAnsi="仿宋" w:eastAsia="仿宋" w:cs="仿宋"/>
              <w:spacing w:val="-105"/>
              <w:sz w:val="28"/>
              <w:szCs w:val="28"/>
            </w:rPr>
            <w:t xml:space="preserve"> </w:t>
          </w:r>
          <w:r>
            <w:rPr>
              <w:rFonts w:ascii="仿宋" w:hAnsi="仿宋" w:eastAsia="仿宋" w:cs="仿宋"/>
              <w:sz w:val="28"/>
              <w:szCs w:val="28"/>
            </w:rPr>
            <w:tab/>
          </w:r>
          <w:r>
            <w:rPr>
              <w:rFonts w:ascii="仿宋" w:hAnsi="仿宋" w:eastAsia="仿宋" w:cs="仿宋"/>
              <w:spacing w:val="-93"/>
              <w:sz w:val="28"/>
              <w:szCs w:val="28"/>
            </w:rPr>
            <w:t xml:space="preserve"> </w:t>
          </w:r>
          <w:r>
            <w:rPr>
              <w:rFonts w:ascii="仿宋" w:hAnsi="仿宋" w:eastAsia="仿宋" w:cs="仿宋"/>
              <w:spacing w:val="-13"/>
              <w:sz w:val="28"/>
              <w:szCs w:val="28"/>
            </w:rPr>
            <w:t>-</w:t>
          </w:r>
          <w:r>
            <w:rPr>
              <w:rFonts w:ascii="仿宋" w:hAnsi="仿宋" w:eastAsia="仿宋" w:cs="仿宋"/>
              <w:spacing w:val="31"/>
              <w:sz w:val="28"/>
              <w:szCs w:val="28"/>
            </w:rPr>
            <w:t xml:space="preserve"> </w:t>
          </w:r>
          <w:r>
            <w:rPr>
              <w:rFonts w:ascii="仿宋" w:hAnsi="仿宋" w:eastAsia="仿宋" w:cs="仿宋"/>
              <w:spacing w:val="-12"/>
              <w:sz w:val="28"/>
              <w:szCs w:val="28"/>
            </w:rPr>
            <w:t>35</w:t>
          </w:r>
          <w:r>
            <w:rPr>
              <w:rFonts w:ascii="仿宋" w:hAnsi="仿宋" w:eastAsia="仿宋" w:cs="仿宋"/>
              <w:spacing w:val="6"/>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7DF69425">
          <w:pPr>
            <w:tabs>
              <w:tab w:val="right" w:leader="dot" w:pos="9184"/>
            </w:tabs>
            <w:spacing w:before="201" w:line="184" w:lineRule="auto"/>
            <w:ind w:left="721"/>
            <w:rPr>
              <w:rFonts w:ascii="仿宋" w:hAnsi="仿宋" w:eastAsia="仿宋" w:cs="仿宋"/>
              <w:sz w:val="28"/>
              <w:szCs w:val="28"/>
            </w:rPr>
          </w:pPr>
          <w:r>
            <w:fldChar w:fldCharType="begin"/>
          </w:r>
          <w:r>
            <w:instrText xml:space="preserve"> HYPERLINK \l "bookmark34" </w:instrText>
          </w:r>
          <w:r>
            <w:fldChar w:fldCharType="separate"/>
          </w:r>
          <w:r>
            <w:rPr>
              <w:rFonts w:ascii="仿宋" w:hAnsi="仿宋" w:eastAsia="仿宋" w:cs="仿宋"/>
              <w:spacing w:val="-1"/>
              <w:sz w:val="28"/>
              <w:szCs w:val="28"/>
            </w:rPr>
            <w:t>2. 打造绿色高效物流系统，提升货运服务水平</w:t>
          </w:r>
          <w:r>
            <w:rPr>
              <w:rFonts w:ascii="仿宋" w:hAnsi="仿宋" w:eastAsia="仿宋" w:cs="仿宋"/>
              <w:spacing w:val="-121"/>
              <w:sz w:val="28"/>
              <w:szCs w:val="28"/>
            </w:rPr>
            <w:t xml:space="preserve"> </w:t>
          </w:r>
          <w:r>
            <w:rPr>
              <w:rFonts w:ascii="仿宋" w:hAnsi="仿宋" w:eastAsia="仿宋" w:cs="仿宋"/>
              <w:sz w:val="28"/>
              <w:szCs w:val="28"/>
            </w:rPr>
            <w:tab/>
          </w:r>
          <w:r>
            <w:rPr>
              <w:rFonts w:ascii="仿宋" w:hAnsi="仿宋" w:eastAsia="仿宋" w:cs="仿宋"/>
              <w:spacing w:val="-90"/>
              <w:sz w:val="28"/>
              <w:szCs w:val="28"/>
            </w:rPr>
            <w:t xml:space="preserve"> </w:t>
          </w:r>
          <w:r>
            <w:rPr>
              <w:rFonts w:ascii="仿宋" w:hAnsi="仿宋" w:eastAsia="仿宋" w:cs="仿宋"/>
              <w:spacing w:val="-13"/>
              <w:sz w:val="28"/>
              <w:szCs w:val="28"/>
            </w:rPr>
            <w:t>-</w:t>
          </w:r>
          <w:r>
            <w:rPr>
              <w:rFonts w:ascii="仿宋" w:hAnsi="仿宋" w:eastAsia="仿宋" w:cs="仿宋"/>
              <w:spacing w:val="31"/>
              <w:sz w:val="28"/>
              <w:szCs w:val="28"/>
            </w:rPr>
            <w:t xml:space="preserve"> </w:t>
          </w:r>
          <w:r>
            <w:rPr>
              <w:rFonts w:ascii="仿宋" w:hAnsi="仿宋" w:eastAsia="仿宋" w:cs="仿宋"/>
              <w:spacing w:val="-12"/>
              <w:sz w:val="28"/>
              <w:szCs w:val="28"/>
            </w:rPr>
            <w:t>39</w:t>
          </w:r>
          <w:r>
            <w:rPr>
              <w:rFonts w:ascii="仿宋" w:hAnsi="仿宋" w:eastAsia="仿宋" w:cs="仿宋"/>
              <w:spacing w:val="6"/>
              <w:sz w:val="28"/>
              <w:szCs w:val="28"/>
            </w:rPr>
            <w:t xml:space="preserve"> </w:t>
          </w:r>
          <w:r>
            <w:rPr>
              <w:rFonts w:ascii="仿宋" w:hAnsi="仿宋" w:eastAsia="仿宋" w:cs="仿宋"/>
              <w:spacing w:val="-11"/>
              <w:sz w:val="28"/>
              <w:szCs w:val="28"/>
            </w:rPr>
            <w:t>-</w:t>
          </w:r>
          <w:r>
            <w:rPr>
              <w:rFonts w:ascii="仿宋" w:hAnsi="仿宋" w:eastAsia="仿宋" w:cs="仿宋"/>
              <w:spacing w:val="-11"/>
              <w:sz w:val="28"/>
              <w:szCs w:val="28"/>
            </w:rPr>
            <w:fldChar w:fldCharType="end"/>
          </w:r>
        </w:p>
        <w:p w14:paraId="7CB894D9">
          <w:pPr>
            <w:tabs>
              <w:tab w:val="right" w:leader="dot" w:pos="9184"/>
            </w:tabs>
            <w:spacing w:before="201" w:line="184" w:lineRule="auto"/>
            <w:ind w:left="732"/>
            <w:rPr>
              <w:rFonts w:ascii="仿宋" w:hAnsi="仿宋" w:eastAsia="仿宋" w:cs="仿宋"/>
              <w:sz w:val="28"/>
              <w:szCs w:val="28"/>
            </w:rPr>
          </w:pPr>
          <w:r>
            <w:fldChar w:fldCharType="begin"/>
          </w:r>
          <w:r>
            <w:instrText xml:space="preserve"> HYPERLINK \l "bookmark35" </w:instrText>
          </w:r>
          <w:r>
            <w:fldChar w:fldCharType="separate"/>
          </w:r>
          <w:r>
            <w:rPr>
              <w:rFonts w:ascii="仿宋" w:hAnsi="仿宋" w:eastAsia="仿宋" w:cs="仿宋"/>
              <w:spacing w:val="-2"/>
              <w:sz w:val="28"/>
              <w:szCs w:val="28"/>
            </w:rPr>
            <w:t>3. 深化建设邮政设施网络，推进服务扩容增效</w:t>
          </w:r>
          <w:r>
            <w:rPr>
              <w:rFonts w:ascii="仿宋" w:hAnsi="仿宋" w:eastAsia="仿宋" w:cs="仿宋"/>
              <w:spacing w:val="-110"/>
              <w:sz w:val="28"/>
              <w:szCs w:val="28"/>
            </w:rPr>
            <w:t xml:space="preserve"> </w:t>
          </w:r>
          <w:r>
            <w:rPr>
              <w:rFonts w:ascii="仿宋" w:hAnsi="仿宋" w:eastAsia="仿宋" w:cs="仿宋"/>
              <w:sz w:val="28"/>
              <w:szCs w:val="28"/>
            </w:rPr>
            <w:tab/>
          </w:r>
          <w:r>
            <w:rPr>
              <w:rFonts w:ascii="仿宋" w:hAnsi="仿宋" w:eastAsia="仿宋" w:cs="仿宋"/>
              <w:spacing w:val="-90"/>
              <w:sz w:val="28"/>
              <w:szCs w:val="28"/>
            </w:rPr>
            <w:t xml:space="preserve"> </w:t>
          </w:r>
          <w:r>
            <w:rPr>
              <w:rFonts w:ascii="仿宋" w:hAnsi="仿宋" w:eastAsia="仿宋" w:cs="仿宋"/>
              <w:spacing w:val="-9"/>
              <w:sz w:val="28"/>
              <w:szCs w:val="28"/>
            </w:rPr>
            <w:t>-</w:t>
          </w:r>
          <w:r>
            <w:rPr>
              <w:rFonts w:ascii="仿宋" w:hAnsi="仿宋" w:eastAsia="仿宋" w:cs="仿宋"/>
              <w:spacing w:val="19"/>
              <w:sz w:val="28"/>
              <w:szCs w:val="28"/>
            </w:rPr>
            <w:t xml:space="preserve"> </w:t>
          </w:r>
          <w:r>
            <w:rPr>
              <w:rFonts w:ascii="仿宋" w:hAnsi="仿宋" w:eastAsia="仿宋" w:cs="仿宋"/>
              <w:spacing w:val="-9"/>
              <w:sz w:val="28"/>
              <w:szCs w:val="28"/>
            </w:rPr>
            <w:t>41</w:t>
          </w:r>
          <w:r>
            <w:rPr>
              <w:rFonts w:ascii="仿宋" w:hAnsi="仿宋" w:eastAsia="仿宋" w:cs="仿宋"/>
              <w:spacing w:val="6"/>
              <w:sz w:val="28"/>
              <w:szCs w:val="28"/>
            </w:rPr>
            <w:t xml:space="preserve"> </w:t>
          </w:r>
          <w:r>
            <w:rPr>
              <w:rFonts w:ascii="仿宋" w:hAnsi="仿宋" w:eastAsia="仿宋" w:cs="仿宋"/>
              <w:spacing w:val="-9"/>
              <w:sz w:val="28"/>
              <w:szCs w:val="28"/>
            </w:rPr>
            <w:t>-</w:t>
          </w:r>
          <w:r>
            <w:rPr>
              <w:rFonts w:ascii="仿宋" w:hAnsi="仿宋" w:eastAsia="仿宋" w:cs="仿宋"/>
              <w:spacing w:val="-9"/>
              <w:sz w:val="28"/>
              <w:szCs w:val="28"/>
            </w:rPr>
            <w:fldChar w:fldCharType="end"/>
          </w:r>
        </w:p>
        <w:p w14:paraId="48DFD772">
          <w:pPr>
            <w:tabs>
              <w:tab w:val="right" w:leader="dot" w:pos="9184"/>
            </w:tabs>
            <w:spacing w:before="201" w:line="184" w:lineRule="auto"/>
            <w:ind w:left="720"/>
            <w:rPr>
              <w:rFonts w:ascii="仿宋" w:hAnsi="仿宋" w:eastAsia="仿宋" w:cs="仿宋"/>
              <w:sz w:val="28"/>
              <w:szCs w:val="28"/>
            </w:rPr>
          </w:pPr>
          <w:r>
            <w:fldChar w:fldCharType="begin"/>
          </w:r>
          <w:r>
            <w:instrText xml:space="preserve"> HYPERLINK \l "bookmark36" </w:instrText>
          </w:r>
          <w:r>
            <w:fldChar w:fldCharType="separate"/>
          </w:r>
          <w:r>
            <w:rPr>
              <w:rFonts w:ascii="仿宋" w:hAnsi="仿宋" w:eastAsia="仿宋" w:cs="仿宋"/>
              <w:spacing w:val="-1"/>
              <w:sz w:val="28"/>
              <w:szCs w:val="28"/>
            </w:rPr>
            <w:t>4. 探索发展新业态新模式，促进运输行业升级</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90"/>
              <w:sz w:val="28"/>
              <w:szCs w:val="28"/>
            </w:rPr>
            <w:t xml:space="preserve"> </w:t>
          </w:r>
          <w:r>
            <w:rPr>
              <w:rFonts w:ascii="仿宋" w:hAnsi="仿宋" w:eastAsia="仿宋" w:cs="仿宋"/>
              <w:spacing w:val="-9"/>
              <w:sz w:val="28"/>
              <w:szCs w:val="28"/>
            </w:rPr>
            <w:t>-</w:t>
          </w:r>
          <w:r>
            <w:rPr>
              <w:rFonts w:ascii="仿宋" w:hAnsi="仿宋" w:eastAsia="仿宋" w:cs="仿宋"/>
              <w:spacing w:val="19"/>
              <w:sz w:val="28"/>
              <w:szCs w:val="28"/>
            </w:rPr>
            <w:t xml:space="preserve"> </w:t>
          </w:r>
          <w:r>
            <w:rPr>
              <w:rFonts w:ascii="仿宋" w:hAnsi="仿宋" w:eastAsia="仿宋" w:cs="仿宋"/>
              <w:spacing w:val="-9"/>
              <w:sz w:val="28"/>
              <w:szCs w:val="28"/>
            </w:rPr>
            <w:t>45</w:t>
          </w:r>
          <w:r>
            <w:rPr>
              <w:rFonts w:ascii="仿宋" w:hAnsi="仿宋" w:eastAsia="仿宋" w:cs="仿宋"/>
              <w:spacing w:val="6"/>
              <w:sz w:val="28"/>
              <w:szCs w:val="28"/>
            </w:rPr>
            <w:t xml:space="preserve"> </w:t>
          </w:r>
          <w:r>
            <w:rPr>
              <w:rFonts w:ascii="仿宋" w:hAnsi="仿宋" w:eastAsia="仿宋" w:cs="仿宋"/>
              <w:spacing w:val="-9"/>
              <w:sz w:val="28"/>
              <w:szCs w:val="28"/>
            </w:rPr>
            <w:t>-</w:t>
          </w:r>
          <w:r>
            <w:rPr>
              <w:rFonts w:ascii="仿宋" w:hAnsi="仿宋" w:eastAsia="仿宋" w:cs="仿宋"/>
              <w:spacing w:val="-9"/>
              <w:sz w:val="28"/>
              <w:szCs w:val="28"/>
            </w:rPr>
            <w:fldChar w:fldCharType="end"/>
          </w:r>
        </w:p>
        <w:p w14:paraId="4601B3D1">
          <w:pPr>
            <w:tabs>
              <w:tab w:val="right" w:leader="dot" w:pos="9184"/>
            </w:tabs>
            <w:spacing w:before="229" w:line="186" w:lineRule="auto"/>
            <w:ind w:left="210"/>
            <w:rPr>
              <w:rFonts w:ascii="仿宋" w:hAnsi="仿宋" w:eastAsia="仿宋" w:cs="仿宋"/>
              <w:sz w:val="28"/>
              <w:szCs w:val="28"/>
            </w:rPr>
          </w:pPr>
          <w:r>
            <w:fldChar w:fldCharType="begin"/>
          </w:r>
          <w:r>
            <w:instrText xml:space="preserve"> HYPERLINK \l "bookmark37" </w:instrText>
          </w:r>
          <w:r>
            <w:fldChar w:fldCharType="separate"/>
          </w:r>
          <w:r>
            <w:rPr>
              <w:rFonts w:ascii="仿宋" w:hAnsi="仿宋" w:eastAsia="仿宋" w:cs="仿宋"/>
              <w:spacing w:val="-7"/>
              <w:sz w:val="28"/>
              <w:szCs w:val="28"/>
            </w:rPr>
            <w:t>（</w:t>
          </w:r>
          <w:r>
            <w:rPr>
              <w:rFonts w:ascii="仿宋" w:hAnsi="仿宋" w:eastAsia="仿宋" w:cs="仿宋"/>
              <w:spacing w:val="-50"/>
              <w:sz w:val="28"/>
              <w:szCs w:val="28"/>
            </w:rPr>
            <w:t xml:space="preserve"> </w:t>
          </w:r>
          <w:r>
            <w:rPr>
              <w:rFonts w:ascii="仿宋" w:hAnsi="仿宋" w:eastAsia="仿宋" w:cs="仿宋"/>
              <w:spacing w:val="-7"/>
              <w:sz w:val="28"/>
              <w:szCs w:val="28"/>
            </w:rPr>
            <w:t>四）强化智慧交通创新引领</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23"/>
              <w:sz w:val="28"/>
              <w:szCs w:val="28"/>
            </w:rPr>
            <w:t xml:space="preserve"> </w:t>
          </w:r>
          <w:r>
            <w:rPr>
              <w:rFonts w:ascii="仿宋" w:hAnsi="仿宋" w:eastAsia="仿宋" w:cs="仿宋"/>
              <w:spacing w:val="-9"/>
              <w:sz w:val="28"/>
              <w:szCs w:val="28"/>
            </w:rPr>
            <w:t>-</w:t>
          </w:r>
          <w:r>
            <w:rPr>
              <w:rFonts w:ascii="仿宋" w:hAnsi="仿宋" w:eastAsia="仿宋" w:cs="仿宋"/>
              <w:spacing w:val="19"/>
              <w:sz w:val="28"/>
              <w:szCs w:val="28"/>
            </w:rPr>
            <w:t xml:space="preserve"> </w:t>
          </w:r>
          <w:r>
            <w:rPr>
              <w:rFonts w:ascii="仿宋" w:hAnsi="仿宋" w:eastAsia="仿宋" w:cs="仿宋"/>
              <w:spacing w:val="-9"/>
              <w:sz w:val="28"/>
              <w:szCs w:val="28"/>
            </w:rPr>
            <w:t>46</w:t>
          </w:r>
          <w:r>
            <w:rPr>
              <w:rFonts w:ascii="仿宋" w:hAnsi="仿宋" w:eastAsia="仿宋" w:cs="仿宋"/>
              <w:spacing w:val="6"/>
              <w:sz w:val="28"/>
              <w:szCs w:val="28"/>
            </w:rPr>
            <w:t xml:space="preserve"> </w:t>
          </w:r>
          <w:r>
            <w:rPr>
              <w:rFonts w:ascii="仿宋" w:hAnsi="仿宋" w:eastAsia="仿宋" w:cs="仿宋"/>
              <w:spacing w:val="-9"/>
              <w:sz w:val="28"/>
              <w:szCs w:val="28"/>
            </w:rPr>
            <w:t>-</w:t>
          </w:r>
          <w:r>
            <w:rPr>
              <w:rFonts w:ascii="仿宋" w:hAnsi="仿宋" w:eastAsia="仿宋" w:cs="仿宋"/>
              <w:spacing w:val="-9"/>
              <w:sz w:val="28"/>
              <w:szCs w:val="28"/>
            </w:rPr>
            <w:fldChar w:fldCharType="end"/>
          </w:r>
        </w:p>
        <w:p w14:paraId="1814A4F6">
          <w:pPr>
            <w:tabs>
              <w:tab w:val="right" w:leader="dot" w:pos="9184"/>
            </w:tabs>
            <w:spacing w:before="242" w:line="184" w:lineRule="auto"/>
            <w:ind w:left="210"/>
            <w:rPr>
              <w:rFonts w:ascii="仿宋" w:hAnsi="仿宋" w:eastAsia="仿宋" w:cs="仿宋"/>
              <w:sz w:val="28"/>
              <w:szCs w:val="28"/>
            </w:rPr>
          </w:pPr>
          <w:r>
            <w:fldChar w:fldCharType="begin"/>
          </w:r>
          <w:r>
            <w:instrText xml:space="preserve"> HYPERLINK \l "bookmark38" </w:instrText>
          </w:r>
          <w:r>
            <w:fldChar w:fldCharType="separate"/>
          </w:r>
          <w:r>
            <w:rPr>
              <w:rFonts w:ascii="仿宋" w:hAnsi="仿宋" w:eastAsia="仿宋" w:cs="仿宋"/>
              <w:spacing w:val="-5"/>
              <w:sz w:val="28"/>
              <w:szCs w:val="28"/>
            </w:rPr>
            <w:t>（</w:t>
          </w:r>
          <w:r>
            <w:rPr>
              <w:rFonts w:ascii="仿宋" w:hAnsi="仿宋" w:eastAsia="仿宋" w:cs="仿宋"/>
              <w:spacing w:val="-76"/>
              <w:sz w:val="28"/>
              <w:szCs w:val="28"/>
            </w:rPr>
            <w:t xml:space="preserve"> </w:t>
          </w:r>
          <w:r>
            <w:rPr>
              <w:rFonts w:ascii="仿宋" w:hAnsi="仿宋" w:eastAsia="仿宋" w:cs="仿宋"/>
              <w:spacing w:val="-5"/>
              <w:sz w:val="28"/>
              <w:szCs w:val="28"/>
            </w:rPr>
            <w:t>五）提高安全应急保障能力</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23"/>
              <w:sz w:val="28"/>
              <w:szCs w:val="28"/>
            </w:rPr>
            <w:t xml:space="preserve"> </w:t>
          </w:r>
          <w:r>
            <w:rPr>
              <w:rFonts w:ascii="仿宋" w:hAnsi="仿宋" w:eastAsia="仿宋" w:cs="仿宋"/>
              <w:spacing w:val="-9"/>
              <w:sz w:val="28"/>
              <w:szCs w:val="28"/>
            </w:rPr>
            <w:t>-</w:t>
          </w:r>
          <w:r>
            <w:rPr>
              <w:rFonts w:ascii="仿宋" w:hAnsi="仿宋" w:eastAsia="仿宋" w:cs="仿宋"/>
              <w:spacing w:val="19"/>
              <w:sz w:val="28"/>
              <w:szCs w:val="28"/>
            </w:rPr>
            <w:t xml:space="preserve"> </w:t>
          </w:r>
          <w:r>
            <w:rPr>
              <w:rFonts w:ascii="仿宋" w:hAnsi="仿宋" w:eastAsia="仿宋" w:cs="仿宋"/>
              <w:spacing w:val="-9"/>
              <w:sz w:val="28"/>
              <w:szCs w:val="28"/>
            </w:rPr>
            <w:t>48</w:t>
          </w:r>
          <w:r>
            <w:rPr>
              <w:rFonts w:ascii="仿宋" w:hAnsi="仿宋" w:eastAsia="仿宋" w:cs="仿宋"/>
              <w:spacing w:val="6"/>
              <w:sz w:val="28"/>
              <w:szCs w:val="28"/>
            </w:rPr>
            <w:t xml:space="preserve"> </w:t>
          </w:r>
          <w:r>
            <w:rPr>
              <w:rFonts w:ascii="仿宋" w:hAnsi="仿宋" w:eastAsia="仿宋" w:cs="仿宋"/>
              <w:spacing w:val="-9"/>
              <w:sz w:val="28"/>
              <w:szCs w:val="28"/>
            </w:rPr>
            <w:t>-</w:t>
          </w:r>
          <w:r>
            <w:rPr>
              <w:rFonts w:ascii="仿宋" w:hAnsi="仿宋" w:eastAsia="仿宋" w:cs="仿宋"/>
              <w:spacing w:val="-9"/>
              <w:sz w:val="28"/>
              <w:szCs w:val="28"/>
            </w:rPr>
            <w:fldChar w:fldCharType="end"/>
          </w:r>
        </w:p>
        <w:p w14:paraId="17B3A136">
          <w:pPr>
            <w:tabs>
              <w:tab w:val="right" w:leader="dot" w:pos="9184"/>
            </w:tabs>
            <w:spacing w:before="239" w:line="184" w:lineRule="auto"/>
            <w:ind w:left="210"/>
            <w:rPr>
              <w:rFonts w:ascii="仿宋" w:hAnsi="仿宋" w:eastAsia="仿宋" w:cs="仿宋"/>
              <w:sz w:val="28"/>
              <w:szCs w:val="28"/>
            </w:rPr>
          </w:pPr>
          <w:r>
            <w:fldChar w:fldCharType="begin"/>
          </w:r>
          <w:r>
            <w:instrText xml:space="preserve"> HYPERLINK \l "bookmark39" </w:instrText>
          </w:r>
          <w:r>
            <w:fldChar w:fldCharType="separate"/>
          </w:r>
          <w:r>
            <w:rPr>
              <w:rFonts w:ascii="仿宋" w:hAnsi="仿宋" w:eastAsia="仿宋" w:cs="仿宋"/>
              <w:spacing w:val="-5"/>
              <w:sz w:val="28"/>
              <w:szCs w:val="28"/>
            </w:rPr>
            <w:t>（</w:t>
          </w:r>
          <w:r>
            <w:rPr>
              <w:rFonts w:ascii="仿宋" w:hAnsi="仿宋" w:eastAsia="仿宋" w:cs="仿宋"/>
              <w:spacing w:val="-76"/>
              <w:sz w:val="28"/>
              <w:szCs w:val="28"/>
            </w:rPr>
            <w:t xml:space="preserve"> </w:t>
          </w:r>
          <w:r>
            <w:rPr>
              <w:rFonts w:ascii="仿宋" w:hAnsi="仿宋" w:eastAsia="仿宋" w:cs="仿宋"/>
              <w:spacing w:val="-5"/>
              <w:sz w:val="28"/>
              <w:szCs w:val="28"/>
            </w:rPr>
            <w:t>六）促进绿色低碳转型发展</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23"/>
              <w:sz w:val="28"/>
              <w:szCs w:val="28"/>
            </w:rPr>
            <w:t xml:space="preserve"> </w:t>
          </w:r>
          <w:r>
            <w:rPr>
              <w:rFonts w:ascii="仿宋" w:hAnsi="仿宋" w:eastAsia="仿宋" w:cs="仿宋"/>
              <w:spacing w:val="-9"/>
              <w:sz w:val="28"/>
              <w:szCs w:val="28"/>
            </w:rPr>
            <w:t>-</w:t>
          </w:r>
          <w:r>
            <w:rPr>
              <w:rFonts w:ascii="仿宋" w:hAnsi="仿宋" w:eastAsia="仿宋" w:cs="仿宋"/>
              <w:spacing w:val="19"/>
              <w:sz w:val="28"/>
              <w:szCs w:val="28"/>
            </w:rPr>
            <w:t xml:space="preserve"> </w:t>
          </w:r>
          <w:r>
            <w:rPr>
              <w:rFonts w:ascii="仿宋" w:hAnsi="仿宋" w:eastAsia="仿宋" w:cs="仿宋"/>
              <w:spacing w:val="-9"/>
              <w:sz w:val="28"/>
              <w:szCs w:val="28"/>
            </w:rPr>
            <w:t>49</w:t>
          </w:r>
          <w:r>
            <w:rPr>
              <w:rFonts w:ascii="仿宋" w:hAnsi="仿宋" w:eastAsia="仿宋" w:cs="仿宋"/>
              <w:spacing w:val="6"/>
              <w:sz w:val="28"/>
              <w:szCs w:val="28"/>
            </w:rPr>
            <w:t xml:space="preserve"> </w:t>
          </w:r>
          <w:r>
            <w:rPr>
              <w:rFonts w:ascii="仿宋" w:hAnsi="仿宋" w:eastAsia="仿宋" w:cs="仿宋"/>
              <w:spacing w:val="-9"/>
              <w:sz w:val="28"/>
              <w:szCs w:val="28"/>
            </w:rPr>
            <w:t>-</w:t>
          </w:r>
          <w:r>
            <w:rPr>
              <w:rFonts w:ascii="仿宋" w:hAnsi="仿宋" w:eastAsia="仿宋" w:cs="仿宋"/>
              <w:spacing w:val="-9"/>
              <w:sz w:val="28"/>
              <w:szCs w:val="28"/>
            </w:rPr>
            <w:fldChar w:fldCharType="end"/>
          </w:r>
        </w:p>
        <w:p w14:paraId="12864637">
          <w:pPr>
            <w:tabs>
              <w:tab w:val="right" w:leader="dot" w:pos="9184"/>
            </w:tabs>
            <w:spacing w:before="242" w:line="184" w:lineRule="auto"/>
            <w:ind w:left="210"/>
            <w:rPr>
              <w:rFonts w:ascii="仿宋" w:hAnsi="仿宋" w:eastAsia="仿宋" w:cs="仿宋"/>
              <w:sz w:val="28"/>
              <w:szCs w:val="28"/>
            </w:rPr>
          </w:pPr>
          <w:r>
            <w:fldChar w:fldCharType="begin"/>
          </w:r>
          <w:r>
            <w:instrText xml:space="preserve"> HYPERLINK \l "bookmark40" </w:instrText>
          </w:r>
          <w:r>
            <w:fldChar w:fldCharType="separate"/>
          </w:r>
          <w:r>
            <w:rPr>
              <w:rFonts w:ascii="仿宋" w:hAnsi="仿宋" w:eastAsia="仿宋" w:cs="仿宋"/>
              <w:sz w:val="28"/>
              <w:szCs w:val="28"/>
            </w:rPr>
            <w:t>（七）推进行业治理能力现代化</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125"/>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52</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0BB28BEB">
          <w:pPr>
            <w:tabs>
              <w:tab w:val="right" w:leader="dot" w:pos="9184"/>
            </w:tabs>
            <w:spacing w:before="208" w:line="184" w:lineRule="auto"/>
            <w:ind w:left="728"/>
            <w:rPr>
              <w:rFonts w:ascii="仿宋" w:hAnsi="仿宋" w:eastAsia="仿宋" w:cs="仿宋"/>
              <w:sz w:val="28"/>
              <w:szCs w:val="28"/>
            </w:rPr>
          </w:pPr>
          <w:r>
            <w:fldChar w:fldCharType="begin"/>
          </w:r>
          <w:r>
            <w:instrText xml:space="preserve"> HYPERLINK \l "bookmark41" </w:instrText>
          </w:r>
          <w:r>
            <w:fldChar w:fldCharType="separate"/>
          </w:r>
          <w:r>
            <w:rPr>
              <w:rFonts w:ascii="仿宋" w:hAnsi="仿宋" w:eastAsia="仿宋" w:cs="仿宋"/>
              <w:spacing w:val="-2"/>
              <w:sz w:val="28"/>
              <w:szCs w:val="28"/>
            </w:rPr>
            <w:t>1. 加强党的领导和党风廉政建设</w:t>
          </w:r>
          <w:r>
            <w:rPr>
              <w:rFonts w:ascii="仿宋" w:hAnsi="仿宋" w:eastAsia="仿宋" w:cs="仿宋"/>
              <w:spacing w:val="-117"/>
              <w:sz w:val="28"/>
              <w:szCs w:val="28"/>
            </w:rPr>
            <w:t xml:space="preserve"> </w:t>
          </w:r>
          <w:r>
            <w:rPr>
              <w:rFonts w:ascii="仿宋" w:hAnsi="仿宋" w:eastAsia="仿宋" w:cs="仿宋"/>
              <w:sz w:val="28"/>
              <w:szCs w:val="28"/>
            </w:rPr>
            <w:tab/>
          </w:r>
          <w:r>
            <w:rPr>
              <w:rFonts w:ascii="仿宋" w:hAnsi="仿宋" w:eastAsia="仿宋" w:cs="仿宋"/>
              <w:spacing w:val="-66"/>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52</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182AF6DD">
          <w:pPr>
            <w:tabs>
              <w:tab w:val="right" w:leader="dot" w:pos="9184"/>
            </w:tabs>
            <w:spacing w:before="201" w:line="184" w:lineRule="auto"/>
            <w:ind w:left="721"/>
            <w:rPr>
              <w:rFonts w:ascii="仿宋" w:hAnsi="仿宋" w:eastAsia="仿宋" w:cs="仿宋"/>
              <w:sz w:val="28"/>
              <w:szCs w:val="28"/>
            </w:rPr>
          </w:pPr>
          <w:r>
            <w:fldChar w:fldCharType="begin"/>
          </w:r>
          <w:r>
            <w:instrText xml:space="preserve"> HYPERLINK \l "bookmark42" </w:instrText>
          </w:r>
          <w:r>
            <w:fldChar w:fldCharType="separate"/>
          </w:r>
          <w:r>
            <w:rPr>
              <w:rFonts w:ascii="仿宋" w:hAnsi="仿宋" w:eastAsia="仿宋" w:cs="仿宋"/>
              <w:spacing w:val="-2"/>
              <w:sz w:val="28"/>
              <w:szCs w:val="28"/>
            </w:rPr>
            <w:t>2. 加强交通运输综合执法管理</w:t>
          </w:r>
          <w:r>
            <w:rPr>
              <w:rFonts w:ascii="仿宋" w:hAnsi="仿宋" w:eastAsia="仿宋" w:cs="仿宋"/>
              <w:spacing w:val="-113"/>
              <w:sz w:val="28"/>
              <w:szCs w:val="28"/>
            </w:rPr>
            <w:t xml:space="preserve"> </w:t>
          </w:r>
          <w:r>
            <w:rPr>
              <w:rFonts w:ascii="仿宋" w:hAnsi="仿宋" w:eastAsia="仿宋" w:cs="仿宋"/>
              <w:sz w:val="28"/>
              <w:szCs w:val="28"/>
            </w:rPr>
            <w:tab/>
          </w:r>
          <w:r>
            <w:rPr>
              <w:rFonts w:ascii="仿宋" w:hAnsi="仿宋" w:eastAsia="仿宋" w:cs="仿宋"/>
              <w:spacing w:val="-130"/>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52</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2C68D102">
          <w:pPr>
            <w:tabs>
              <w:tab w:val="right" w:leader="dot" w:pos="9184"/>
            </w:tabs>
            <w:spacing w:before="201" w:line="184" w:lineRule="auto"/>
            <w:ind w:left="732"/>
            <w:rPr>
              <w:rFonts w:ascii="仿宋" w:hAnsi="仿宋" w:eastAsia="仿宋" w:cs="仿宋"/>
              <w:sz w:val="28"/>
              <w:szCs w:val="28"/>
            </w:rPr>
          </w:pPr>
          <w:r>
            <w:fldChar w:fldCharType="begin"/>
          </w:r>
          <w:r>
            <w:instrText xml:space="preserve"> HYPERLINK \l "bookmark43" </w:instrText>
          </w:r>
          <w:r>
            <w:fldChar w:fldCharType="separate"/>
          </w:r>
          <w:r>
            <w:rPr>
              <w:rFonts w:ascii="仿宋" w:hAnsi="仿宋" w:eastAsia="仿宋" w:cs="仿宋"/>
              <w:spacing w:val="-3"/>
              <w:sz w:val="28"/>
              <w:szCs w:val="28"/>
            </w:rPr>
            <w:t>3. 加强公路超限治理</w:t>
          </w:r>
          <w:r>
            <w:rPr>
              <w:rFonts w:ascii="仿宋" w:hAnsi="仿宋" w:eastAsia="仿宋" w:cs="仿宋"/>
              <w:spacing w:val="-122"/>
              <w:sz w:val="28"/>
              <w:szCs w:val="28"/>
            </w:rPr>
            <w:t xml:space="preserve"> </w:t>
          </w:r>
          <w:r>
            <w:rPr>
              <w:rFonts w:ascii="仿宋" w:hAnsi="仿宋" w:eastAsia="仿宋" w:cs="仿宋"/>
              <w:sz w:val="28"/>
              <w:szCs w:val="28"/>
            </w:rPr>
            <w:tab/>
          </w:r>
          <w:r>
            <w:rPr>
              <w:rFonts w:ascii="仿宋" w:hAnsi="仿宋" w:eastAsia="仿宋" w:cs="仿宋"/>
              <w:spacing w:val="-114"/>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54</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676BDF8B">
          <w:pPr>
            <w:tabs>
              <w:tab w:val="right" w:leader="dot" w:pos="9184"/>
            </w:tabs>
            <w:spacing w:before="201" w:line="184" w:lineRule="auto"/>
            <w:ind w:left="720"/>
            <w:rPr>
              <w:rFonts w:ascii="仿宋" w:hAnsi="仿宋" w:eastAsia="仿宋" w:cs="仿宋"/>
              <w:sz w:val="28"/>
              <w:szCs w:val="28"/>
            </w:rPr>
          </w:pPr>
          <w:r>
            <w:fldChar w:fldCharType="begin"/>
          </w:r>
          <w:r>
            <w:instrText xml:space="preserve"> HYPERLINK \l "bookmark44" </w:instrText>
          </w:r>
          <w:r>
            <w:fldChar w:fldCharType="separate"/>
          </w:r>
          <w:r>
            <w:rPr>
              <w:rFonts w:ascii="仿宋" w:hAnsi="仿宋" w:eastAsia="仿宋" w:cs="仿宋"/>
              <w:spacing w:val="-2"/>
              <w:sz w:val="28"/>
              <w:szCs w:val="28"/>
            </w:rPr>
            <w:t>4. 加强公路养护管理</w:t>
          </w:r>
          <w:r>
            <w:rPr>
              <w:rFonts w:ascii="仿宋" w:hAnsi="仿宋" w:eastAsia="仿宋" w:cs="仿宋"/>
              <w:spacing w:val="-121"/>
              <w:sz w:val="28"/>
              <w:szCs w:val="28"/>
            </w:rPr>
            <w:t xml:space="preserve"> </w:t>
          </w:r>
          <w:r>
            <w:rPr>
              <w:rFonts w:ascii="仿宋" w:hAnsi="仿宋" w:eastAsia="仿宋" w:cs="仿宋"/>
              <w:sz w:val="28"/>
              <w:szCs w:val="28"/>
            </w:rPr>
            <w:tab/>
          </w:r>
          <w:r>
            <w:rPr>
              <w:rFonts w:ascii="仿宋" w:hAnsi="仿宋" w:eastAsia="仿宋" w:cs="仿宋"/>
              <w:spacing w:val="-114"/>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55</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6E06ED19">
          <w:pPr>
            <w:tabs>
              <w:tab w:val="right" w:leader="dot" w:pos="9184"/>
            </w:tabs>
            <w:spacing w:before="200" w:line="184" w:lineRule="auto"/>
            <w:ind w:left="724"/>
            <w:rPr>
              <w:rFonts w:ascii="仿宋" w:hAnsi="仿宋" w:eastAsia="仿宋" w:cs="仿宋"/>
              <w:sz w:val="28"/>
              <w:szCs w:val="28"/>
            </w:rPr>
          </w:pPr>
          <w:r>
            <w:fldChar w:fldCharType="begin"/>
          </w:r>
          <w:r>
            <w:instrText xml:space="preserve"> HYPERLINK \l "bookmark45" </w:instrText>
          </w:r>
          <w:r>
            <w:fldChar w:fldCharType="separate"/>
          </w:r>
          <w:r>
            <w:rPr>
              <w:rFonts w:ascii="仿宋" w:hAnsi="仿宋" w:eastAsia="仿宋" w:cs="仿宋"/>
              <w:spacing w:val="-3"/>
              <w:sz w:val="28"/>
              <w:szCs w:val="28"/>
            </w:rPr>
            <w:t>5. 加强驾维行业管理</w:t>
          </w:r>
          <w:r>
            <w:rPr>
              <w:rFonts w:ascii="仿宋" w:hAnsi="仿宋" w:eastAsia="仿宋" w:cs="仿宋"/>
              <w:spacing w:val="-115"/>
              <w:sz w:val="28"/>
              <w:szCs w:val="28"/>
            </w:rPr>
            <w:t xml:space="preserve"> </w:t>
          </w:r>
          <w:r>
            <w:rPr>
              <w:rFonts w:ascii="仿宋" w:hAnsi="仿宋" w:eastAsia="仿宋" w:cs="仿宋"/>
              <w:sz w:val="28"/>
              <w:szCs w:val="28"/>
            </w:rPr>
            <w:tab/>
          </w:r>
          <w:r>
            <w:rPr>
              <w:rFonts w:ascii="仿宋" w:hAnsi="仿宋" w:eastAsia="仿宋" w:cs="仿宋"/>
              <w:spacing w:val="-114"/>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57</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678A91C6">
          <w:pPr>
            <w:tabs>
              <w:tab w:val="right" w:leader="dot" w:pos="9184"/>
            </w:tabs>
            <w:spacing w:before="201" w:line="184" w:lineRule="auto"/>
            <w:ind w:left="723"/>
            <w:rPr>
              <w:rFonts w:ascii="仿宋" w:hAnsi="仿宋" w:eastAsia="仿宋" w:cs="仿宋"/>
              <w:sz w:val="28"/>
              <w:szCs w:val="28"/>
            </w:rPr>
          </w:pPr>
          <w:r>
            <w:fldChar w:fldCharType="begin"/>
          </w:r>
          <w:r>
            <w:instrText xml:space="preserve"> HYPERLINK \l "bookmark46" </w:instrText>
          </w:r>
          <w:r>
            <w:fldChar w:fldCharType="separate"/>
          </w:r>
          <w:r>
            <w:rPr>
              <w:rFonts w:ascii="仿宋" w:hAnsi="仿宋" w:eastAsia="仿宋" w:cs="仿宋"/>
              <w:spacing w:val="-2"/>
              <w:sz w:val="28"/>
              <w:szCs w:val="28"/>
            </w:rPr>
            <w:t>6. 加强文明交通和市场体系建设</w:t>
          </w:r>
          <w:r>
            <w:rPr>
              <w:rFonts w:ascii="仿宋" w:hAnsi="仿宋" w:eastAsia="仿宋" w:cs="仿宋"/>
              <w:spacing w:val="-113"/>
              <w:sz w:val="28"/>
              <w:szCs w:val="28"/>
            </w:rPr>
            <w:t xml:space="preserve"> </w:t>
          </w:r>
          <w:r>
            <w:rPr>
              <w:rFonts w:ascii="仿宋" w:hAnsi="仿宋" w:eastAsia="仿宋" w:cs="仿宋"/>
              <w:sz w:val="28"/>
              <w:szCs w:val="28"/>
            </w:rPr>
            <w:tab/>
          </w:r>
          <w:r>
            <w:rPr>
              <w:rFonts w:ascii="仿宋" w:hAnsi="仿宋" w:eastAsia="仿宋" w:cs="仿宋"/>
              <w:spacing w:val="-66"/>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57</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11C28EDE">
          <w:pPr>
            <w:tabs>
              <w:tab w:val="right" w:leader="dot" w:pos="9184"/>
            </w:tabs>
            <w:spacing w:before="233" w:line="188" w:lineRule="auto"/>
            <w:ind w:left="17"/>
            <w:rPr>
              <w:rFonts w:ascii="仿宋" w:hAnsi="仿宋" w:eastAsia="仿宋" w:cs="仿宋"/>
              <w:sz w:val="28"/>
              <w:szCs w:val="28"/>
            </w:rPr>
          </w:pPr>
          <w:r>
            <w:fldChar w:fldCharType="begin"/>
          </w:r>
          <w:r>
            <w:instrText xml:space="preserve"> HYPERLINK \l "bookmark47" </w:instrText>
          </w:r>
          <w:r>
            <w:fldChar w:fldCharType="separate"/>
          </w:r>
          <w:r>
            <w:rPr>
              <w:rFonts w:ascii="黑体" w:hAnsi="黑体" w:eastAsia="黑体" w:cs="黑体"/>
              <w:spacing w:val="-4"/>
              <w:sz w:val="28"/>
              <w:szCs w:val="28"/>
            </w:rPr>
            <w:t>五、远景展望</w:t>
          </w:r>
          <w:r>
            <w:rPr>
              <w:rFonts w:ascii="黑体" w:hAnsi="黑体" w:eastAsia="黑体" w:cs="黑体"/>
              <w:sz w:val="28"/>
              <w:szCs w:val="28"/>
            </w:rPr>
            <w:tab/>
          </w:r>
          <w:r>
            <w:rPr>
              <w:rFonts w:ascii="黑体" w:hAnsi="黑体" w:eastAsia="黑体" w:cs="黑体"/>
              <w:spacing w:val="-97"/>
              <w:sz w:val="28"/>
              <w:szCs w:val="28"/>
            </w:rPr>
            <w:t xml:space="preserve"> </w:t>
          </w:r>
          <w:r>
            <w:rPr>
              <w:rFonts w:ascii="仿宋" w:hAnsi="仿宋" w:eastAsia="仿宋" w:cs="仿宋"/>
              <w:b/>
              <w:bCs/>
              <w:spacing w:val="-14"/>
              <w:sz w:val="28"/>
              <w:szCs w:val="28"/>
            </w:rPr>
            <w:t>-</w:t>
          </w:r>
          <w:r>
            <w:rPr>
              <w:rFonts w:ascii="仿宋" w:hAnsi="仿宋" w:eastAsia="仿宋" w:cs="仿宋"/>
              <w:spacing w:val="28"/>
              <w:sz w:val="28"/>
              <w:szCs w:val="28"/>
            </w:rPr>
            <w:t xml:space="preserve"> </w:t>
          </w:r>
          <w:r>
            <w:rPr>
              <w:rFonts w:ascii="仿宋" w:hAnsi="仿宋" w:eastAsia="仿宋" w:cs="仿宋"/>
              <w:b/>
              <w:bCs/>
              <w:spacing w:val="-14"/>
              <w:sz w:val="28"/>
              <w:szCs w:val="28"/>
            </w:rPr>
            <w:t>5</w:t>
          </w:r>
          <w:r>
            <w:rPr>
              <w:rFonts w:ascii="仿宋" w:hAnsi="仿宋" w:eastAsia="仿宋" w:cs="仿宋"/>
              <w:b/>
              <w:bCs/>
              <w:spacing w:val="-13"/>
              <w:sz w:val="28"/>
              <w:szCs w:val="28"/>
            </w:rPr>
            <w:t>8</w:t>
          </w:r>
          <w:r>
            <w:rPr>
              <w:rFonts w:ascii="仿宋" w:hAnsi="仿宋" w:eastAsia="仿宋" w:cs="仿宋"/>
              <w:spacing w:val="9"/>
              <w:sz w:val="28"/>
              <w:szCs w:val="28"/>
            </w:rPr>
            <w:t xml:space="preserve"> </w:t>
          </w:r>
          <w:r>
            <w:rPr>
              <w:rFonts w:ascii="仿宋" w:hAnsi="仿宋" w:eastAsia="仿宋" w:cs="仿宋"/>
              <w:b/>
              <w:bCs/>
              <w:spacing w:val="-11"/>
              <w:sz w:val="28"/>
              <w:szCs w:val="28"/>
            </w:rPr>
            <w:t>-</w:t>
          </w:r>
          <w:r>
            <w:rPr>
              <w:rFonts w:ascii="仿宋" w:hAnsi="仿宋" w:eastAsia="仿宋" w:cs="仿宋"/>
              <w:b/>
              <w:bCs/>
              <w:spacing w:val="-11"/>
              <w:sz w:val="28"/>
              <w:szCs w:val="28"/>
            </w:rPr>
            <w:fldChar w:fldCharType="end"/>
          </w:r>
        </w:p>
        <w:p w14:paraId="0E3F55DB">
          <w:pPr>
            <w:tabs>
              <w:tab w:val="right" w:leader="dot" w:pos="9184"/>
            </w:tabs>
            <w:spacing w:before="235" w:line="184" w:lineRule="auto"/>
            <w:ind w:left="210"/>
            <w:rPr>
              <w:rFonts w:ascii="仿宋" w:hAnsi="仿宋" w:eastAsia="仿宋" w:cs="仿宋"/>
              <w:sz w:val="28"/>
              <w:szCs w:val="28"/>
            </w:rPr>
          </w:pPr>
          <w:r>
            <w:fldChar w:fldCharType="begin"/>
          </w:r>
          <w:r>
            <w:instrText xml:space="preserve"> HYPERLINK \l "bookmark48" </w:instrText>
          </w:r>
          <w:r>
            <w:fldChar w:fldCharType="separate"/>
          </w:r>
          <w:r>
            <w:rPr>
              <w:rFonts w:ascii="仿宋" w:hAnsi="仿宋" w:eastAsia="仿宋" w:cs="仿宋"/>
              <w:sz w:val="28"/>
              <w:szCs w:val="28"/>
            </w:rPr>
            <w:t>（</w:t>
          </w:r>
          <w:r>
            <w:rPr>
              <w:rFonts w:ascii="仿宋" w:hAnsi="仿宋" w:eastAsia="仿宋" w:cs="仿宋"/>
              <w:spacing w:val="-71"/>
              <w:sz w:val="28"/>
              <w:szCs w:val="28"/>
            </w:rPr>
            <w:t xml:space="preserve"> </w:t>
          </w:r>
          <w:r>
            <w:rPr>
              <w:rFonts w:ascii="仿宋" w:hAnsi="仿宋" w:eastAsia="仿宋" w:cs="仿宋"/>
              <w:sz w:val="28"/>
              <w:szCs w:val="28"/>
            </w:rPr>
            <w:t>一）2035年远景目标</w:t>
          </w:r>
          <w:r>
            <w:rPr>
              <w:rFonts w:ascii="仿宋" w:hAnsi="仿宋" w:eastAsia="仿宋" w:cs="仿宋"/>
              <w:spacing w:val="-121"/>
              <w:sz w:val="28"/>
              <w:szCs w:val="28"/>
            </w:rPr>
            <w:t xml:space="preserve"> </w:t>
          </w:r>
          <w:r>
            <w:rPr>
              <w:rFonts w:ascii="仿宋" w:hAnsi="仿宋" w:eastAsia="仿宋" w:cs="仿宋"/>
              <w:sz w:val="28"/>
              <w:szCs w:val="28"/>
            </w:rPr>
            <w:tab/>
          </w:r>
          <w:r>
            <w:rPr>
              <w:rFonts w:ascii="仿宋" w:hAnsi="仿宋" w:eastAsia="仿宋" w:cs="仿宋"/>
              <w:spacing w:val="-111"/>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58</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6ACDC5FF">
          <w:pPr>
            <w:tabs>
              <w:tab w:val="right" w:leader="dot" w:pos="9184"/>
            </w:tabs>
            <w:spacing w:before="242" w:line="184" w:lineRule="auto"/>
            <w:ind w:left="210"/>
            <w:rPr>
              <w:rFonts w:ascii="仿宋" w:hAnsi="仿宋" w:eastAsia="仿宋" w:cs="仿宋"/>
              <w:sz w:val="28"/>
              <w:szCs w:val="28"/>
            </w:rPr>
          </w:pPr>
          <w:r>
            <w:fldChar w:fldCharType="begin"/>
          </w:r>
          <w:r>
            <w:instrText xml:space="preserve"> HYPERLINK \l "bookmark49" </w:instrText>
          </w:r>
          <w:r>
            <w:fldChar w:fldCharType="separate"/>
          </w:r>
          <w:r>
            <w:rPr>
              <w:rFonts w:ascii="仿宋" w:hAnsi="仿宋" w:eastAsia="仿宋" w:cs="仿宋"/>
              <w:spacing w:val="-10"/>
              <w:sz w:val="28"/>
              <w:szCs w:val="28"/>
            </w:rPr>
            <w:t>（</w:t>
          </w:r>
          <w:r>
            <w:rPr>
              <w:rFonts w:ascii="仿宋" w:hAnsi="仿宋" w:eastAsia="仿宋" w:cs="仿宋"/>
              <w:spacing w:val="-71"/>
              <w:sz w:val="28"/>
              <w:szCs w:val="28"/>
            </w:rPr>
            <w:t xml:space="preserve"> </w:t>
          </w:r>
          <w:r>
            <w:rPr>
              <w:rFonts w:ascii="仿宋" w:hAnsi="仿宋" w:eastAsia="仿宋" w:cs="仿宋"/>
              <w:spacing w:val="-10"/>
              <w:sz w:val="28"/>
              <w:szCs w:val="28"/>
            </w:rPr>
            <w:t>二）重点任务</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99"/>
              <w:sz w:val="28"/>
              <w:szCs w:val="28"/>
            </w:rPr>
            <w:t xml:space="preserve"> </w:t>
          </w:r>
          <w:r>
            <w:rPr>
              <w:rFonts w:ascii="仿宋" w:hAnsi="仿宋" w:eastAsia="仿宋" w:cs="仿宋"/>
              <w:spacing w:val="-10"/>
              <w:sz w:val="28"/>
              <w:szCs w:val="28"/>
            </w:rPr>
            <w:t>-</w:t>
          </w:r>
          <w:r>
            <w:rPr>
              <w:rFonts w:ascii="仿宋" w:hAnsi="仿宋" w:eastAsia="仿宋" w:cs="仿宋"/>
              <w:spacing w:val="23"/>
              <w:sz w:val="28"/>
              <w:szCs w:val="28"/>
            </w:rPr>
            <w:t xml:space="preserve"> </w:t>
          </w:r>
          <w:r>
            <w:rPr>
              <w:rFonts w:ascii="仿宋" w:hAnsi="仿宋" w:eastAsia="仿宋" w:cs="仿宋"/>
              <w:spacing w:val="-10"/>
              <w:sz w:val="28"/>
              <w:szCs w:val="28"/>
            </w:rPr>
            <w:t>59</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0BDDD3FF">
          <w:pPr>
            <w:tabs>
              <w:tab w:val="right" w:leader="dot" w:pos="9184"/>
            </w:tabs>
            <w:spacing w:before="240" w:line="188" w:lineRule="auto"/>
            <w:ind w:left="18"/>
            <w:rPr>
              <w:rFonts w:ascii="仿宋" w:hAnsi="仿宋" w:eastAsia="仿宋" w:cs="仿宋"/>
              <w:sz w:val="28"/>
              <w:szCs w:val="28"/>
            </w:rPr>
          </w:pPr>
          <w:r>
            <w:fldChar w:fldCharType="begin"/>
          </w:r>
          <w:r>
            <w:instrText xml:space="preserve"> HYPERLINK \l "bookmark50" </w:instrText>
          </w:r>
          <w:r>
            <w:fldChar w:fldCharType="separate"/>
          </w:r>
          <w:r>
            <w:rPr>
              <w:rFonts w:ascii="黑体" w:hAnsi="黑体" w:eastAsia="黑体" w:cs="黑体"/>
              <w:spacing w:val="-4"/>
              <w:sz w:val="28"/>
              <w:szCs w:val="28"/>
            </w:rPr>
            <w:t>六、保障措施</w:t>
          </w:r>
          <w:r>
            <w:rPr>
              <w:rFonts w:ascii="黑体" w:hAnsi="黑体" w:eastAsia="黑体" w:cs="黑体"/>
              <w:sz w:val="28"/>
              <w:szCs w:val="28"/>
            </w:rPr>
            <w:tab/>
          </w:r>
          <w:r>
            <w:rPr>
              <w:rFonts w:ascii="黑体" w:hAnsi="黑体" w:eastAsia="黑体" w:cs="黑体"/>
              <w:spacing w:val="-96"/>
              <w:sz w:val="28"/>
              <w:szCs w:val="28"/>
            </w:rPr>
            <w:t xml:space="preserve"> </w:t>
          </w:r>
          <w:r>
            <w:rPr>
              <w:rFonts w:ascii="仿宋" w:hAnsi="仿宋" w:eastAsia="仿宋" w:cs="仿宋"/>
              <w:b/>
              <w:bCs/>
              <w:spacing w:val="-14"/>
              <w:sz w:val="28"/>
              <w:szCs w:val="28"/>
            </w:rPr>
            <w:t>-</w:t>
          </w:r>
          <w:r>
            <w:rPr>
              <w:rFonts w:ascii="仿宋" w:hAnsi="仿宋" w:eastAsia="仿宋" w:cs="仿宋"/>
              <w:spacing w:val="27"/>
              <w:sz w:val="28"/>
              <w:szCs w:val="28"/>
            </w:rPr>
            <w:t xml:space="preserve"> </w:t>
          </w:r>
          <w:r>
            <w:rPr>
              <w:rFonts w:ascii="仿宋" w:hAnsi="仿宋" w:eastAsia="仿宋" w:cs="仿宋"/>
              <w:b/>
              <w:bCs/>
              <w:spacing w:val="-14"/>
              <w:sz w:val="28"/>
              <w:szCs w:val="28"/>
            </w:rPr>
            <w:t>6</w:t>
          </w:r>
          <w:r>
            <w:rPr>
              <w:rFonts w:ascii="仿宋" w:hAnsi="仿宋" w:eastAsia="仿宋" w:cs="仿宋"/>
              <w:b/>
              <w:bCs/>
              <w:spacing w:val="-13"/>
              <w:sz w:val="28"/>
              <w:szCs w:val="28"/>
            </w:rPr>
            <w:t>1</w:t>
          </w:r>
          <w:r>
            <w:rPr>
              <w:rFonts w:ascii="仿宋" w:hAnsi="仿宋" w:eastAsia="仿宋" w:cs="仿宋"/>
              <w:spacing w:val="9"/>
              <w:sz w:val="28"/>
              <w:szCs w:val="28"/>
            </w:rPr>
            <w:t xml:space="preserve"> </w:t>
          </w:r>
          <w:r>
            <w:rPr>
              <w:rFonts w:ascii="仿宋" w:hAnsi="仿宋" w:eastAsia="仿宋" w:cs="仿宋"/>
              <w:b/>
              <w:bCs/>
              <w:spacing w:val="-11"/>
              <w:sz w:val="28"/>
              <w:szCs w:val="28"/>
            </w:rPr>
            <w:t>-</w:t>
          </w:r>
          <w:r>
            <w:rPr>
              <w:rFonts w:ascii="仿宋" w:hAnsi="仿宋" w:eastAsia="仿宋" w:cs="仿宋"/>
              <w:b/>
              <w:bCs/>
              <w:spacing w:val="-11"/>
              <w:sz w:val="28"/>
              <w:szCs w:val="28"/>
            </w:rPr>
            <w:fldChar w:fldCharType="end"/>
          </w:r>
        </w:p>
        <w:p w14:paraId="12207990">
          <w:pPr>
            <w:tabs>
              <w:tab w:val="right" w:leader="dot" w:pos="9184"/>
            </w:tabs>
            <w:spacing w:before="235" w:line="184" w:lineRule="auto"/>
            <w:ind w:left="210"/>
            <w:rPr>
              <w:rFonts w:ascii="仿宋" w:hAnsi="仿宋" w:eastAsia="仿宋" w:cs="仿宋"/>
              <w:sz w:val="28"/>
              <w:szCs w:val="28"/>
            </w:rPr>
          </w:pPr>
          <w:r>
            <w:fldChar w:fldCharType="begin"/>
          </w:r>
          <w:r>
            <w:instrText xml:space="preserve"> HYPERLINK \l "bookmark51" </w:instrText>
          </w:r>
          <w:r>
            <w:fldChar w:fldCharType="separate"/>
          </w:r>
          <w:r>
            <w:rPr>
              <w:rFonts w:ascii="仿宋" w:hAnsi="仿宋" w:eastAsia="仿宋" w:cs="仿宋"/>
              <w:spacing w:val="-8"/>
              <w:sz w:val="28"/>
              <w:szCs w:val="28"/>
            </w:rPr>
            <w:t>（</w:t>
          </w:r>
          <w:r>
            <w:rPr>
              <w:rFonts w:ascii="仿宋" w:hAnsi="仿宋" w:eastAsia="仿宋" w:cs="仿宋"/>
              <w:spacing w:val="-70"/>
              <w:sz w:val="28"/>
              <w:szCs w:val="28"/>
            </w:rPr>
            <w:t xml:space="preserve"> </w:t>
          </w:r>
          <w:r>
            <w:rPr>
              <w:rFonts w:ascii="仿宋" w:hAnsi="仿宋" w:eastAsia="仿宋" w:cs="仿宋"/>
              <w:spacing w:val="-8"/>
              <w:sz w:val="28"/>
              <w:szCs w:val="28"/>
            </w:rPr>
            <w:t>一）加强组织管理</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05"/>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61</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4B8ED20D">
          <w:pPr>
            <w:tabs>
              <w:tab w:val="right" w:leader="dot" w:pos="9184"/>
            </w:tabs>
            <w:spacing w:before="242" w:line="184" w:lineRule="auto"/>
            <w:ind w:left="210"/>
            <w:rPr>
              <w:rFonts w:ascii="仿宋" w:hAnsi="仿宋" w:eastAsia="仿宋" w:cs="仿宋"/>
              <w:sz w:val="28"/>
              <w:szCs w:val="28"/>
            </w:rPr>
          </w:pPr>
          <w:r>
            <w:fldChar w:fldCharType="begin"/>
          </w:r>
          <w:r>
            <w:instrText xml:space="preserve"> HYPERLINK \l "bookmark52" </w:instrText>
          </w:r>
          <w:r>
            <w:fldChar w:fldCharType="separate"/>
          </w:r>
          <w:r>
            <w:rPr>
              <w:rFonts w:ascii="仿宋" w:hAnsi="仿宋" w:eastAsia="仿宋" w:cs="仿宋"/>
              <w:spacing w:val="-8"/>
              <w:sz w:val="28"/>
              <w:szCs w:val="28"/>
            </w:rPr>
            <w:t>（</w:t>
          </w:r>
          <w:r>
            <w:rPr>
              <w:rFonts w:ascii="仿宋" w:hAnsi="仿宋" w:eastAsia="仿宋" w:cs="仿宋"/>
              <w:spacing w:val="-70"/>
              <w:sz w:val="28"/>
              <w:szCs w:val="28"/>
            </w:rPr>
            <w:t xml:space="preserve"> </w:t>
          </w:r>
          <w:r>
            <w:rPr>
              <w:rFonts w:ascii="仿宋" w:hAnsi="仿宋" w:eastAsia="仿宋" w:cs="仿宋"/>
              <w:spacing w:val="-8"/>
              <w:sz w:val="28"/>
              <w:szCs w:val="28"/>
            </w:rPr>
            <w:t>二）加强用地保障</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05"/>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61</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636F1772">
          <w:pPr>
            <w:tabs>
              <w:tab w:val="right" w:leader="dot" w:pos="9184"/>
            </w:tabs>
            <w:spacing w:before="241" w:line="184" w:lineRule="auto"/>
            <w:ind w:left="210"/>
            <w:rPr>
              <w:rFonts w:ascii="仿宋" w:hAnsi="仿宋" w:eastAsia="仿宋" w:cs="仿宋"/>
              <w:sz w:val="28"/>
              <w:szCs w:val="28"/>
            </w:rPr>
          </w:pPr>
          <w:r>
            <w:fldChar w:fldCharType="begin"/>
          </w:r>
          <w:r>
            <w:instrText xml:space="preserve"> HYPERLINK \l "bookmark53" </w:instrText>
          </w:r>
          <w:r>
            <w:fldChar w:fldCharType="separate"/>
          </w:r>
          <w:r>
            <w:rPr>
              <w:rFonts w:ascii="仿宋" w:hAnsi="仿宋" w:eastAsia="仿宋" w:cs="仿宋"/>
              <w:spacing w:val="-8"/>
              <w:sz w:val="28"/>
              <w:szCs w:val="28"/>
            </w:rPr>
            <w:t>（</w:t>
          </w:r>
          <w:r>
            <w:rPr>
              <w:rFonts w:ascii="仿宋" w:hAnsi="仿宋" w:eastAsia="仿宋" w:cs="仿宋"/>
              <w:spacing w:val="-70"/>
              <w:sz w:val="28"/>
              <w:szCs w:val="28"/>
            </w:rPr>
            <w:t xml:space="preserve"> </w:t>
          </w:r>
          <w:r>
            <w:rPr>
              <w:rFonts w:ascii="仿宋" w:hAnsi="仿宋" w:eastAsia="仿宋" w:cs="仿宋"/>
              <w:spacing w:val="-8"/>
              <w:sz w:val="28"/>
              <w:szCs w:val="28"/>
            </w:rPr>
            <w:t>三）加强资金保障</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05"/>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62</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5DB7E953">
          <w:pPr>
            <w:tabs>
              <w:tab w:val="right" w:leader="dot" w:pos="9184"/>
            </w:tabs>
            <w:spacing w:before="240" w:line="219" w:lineRule="auto"/>
            <w:ind w:left="210"/>
            <w:rPr>
              <w:rFonts w:ascii="仿宋" w:hAnsi="仿宋" w:eastAsia="仿宋" w:cs="仿宋"/>
              <w:sz w:val="28"/>
              <w:szCs w:val="28"/>
            </w:rPr>
          </w:pPr>
          <w:r>
            <w:fldChar w:fldCharType="begin"/>
          </w:r>
          <w:r>
            <w:instrText xml:space="preserve"> HYPERLINK \l "bookmark54" </w:instrText>
          </w:r>
          <w:r>
            <w:fldChar w:fldCharType="separate"/>
          </w:r>
          <w:r>
            <w:rPr>
              <w:rFonts w:ascii="仿宋" w:hAnsi="仿宋" w:eastAsia="仿宋" w:cs="仿宋"/>
              <w:spacing w:val="-10"/>
              <w:sz w:val="28"/>
              <w:szCs w:val="28"/>
            </w:rPr>
            <w:t>（</w:t>
          </w:r>
          <w:r>
            <w:rPr>
              <w:rFonts w:ascii="仿宋" w:hAnsi="仿宋" w:eastAsia="仿宋" w:cs="仿宋"/>
              <w:spacing w:val="-52"/>
              <w:sz w:val="28"/>
              <w:szCs w:val="28"/>
            </w:rPr>
            <w:t xml:space="preserve"> </w:t>
          </w:r>
          <w:r>
            <w:rPr>
              <w:rFonts w:ascii="仿宋" w:hAnsi="仿宋" w:eastAsia="仿宋" w:cs="仿宋"/>
              <w:spacing w:val="-10"/>
              <w:sz w:val="28"/>
              <w:szCs w:val="28"/>
            </w:rPr>
            <w:t>四）加强项目管理</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05"/>
              <w:sz w:val="28"/>
              <w:szCs w:val="28"/>
            </w:rPr>
            <w:t xml:space="preserve"> </w:t>
          </w:r>
          <w:r>
            <w:rPr>
              <w:rFonts w:ascii="仿宋" w:hAnsi="仿宋" w:eastAsia="仿宋" w:cs="仿宋"/>
              <w:spacing w:val="-10"/>
              <w:sz w:val="28"/>
              <w:szCs w:val="28"/>
            </w:rPr>
            <w:t>-</w:t>
          </w:r>
          <w:r>
            <w:rPr>
              <w:rFonts w:ascii="仿宋" w:hAnsi="仿宋" w:eastAsia="仿宋" w:cs="仿宋"/>
              <w:spacing w:val="22"/>
              <w:sz w:val="28"/>
              <w:szCs w:val="28"/>
            </w:rPr>
            <w:t xml:space="preserve"> </w:t>
          </w:r>
          <w:r>
            <w:rPr>
              <w:rFonts w:ascii="仿宋" w:hAnsi="仿宋" w:eastAsia="仿宋" w:cs="仿宋"/>
              <w:spacing w:val="-10"/>
              <w:sz w:val="28"/>
              <w:szCs w:val="28"/>
            </w:rPr>
            <w:t>62</w:t>
          </w:r>
          <w:r>
            <w:rPr>
              <w:rFonts w:ascii="仿宋" w:hAnsi="仿宋" w:eastAsia="仿宋" w:cs="仿宋"/>
              <w:spacing w:val="6"/>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sdtContent>
    </w:sdt>
    <w:p w14:paraId="6C48EBE3">
      <w:pPr>
        <w:spacing w:line="219" w:lineRule="auto"/>
        <w:rPr>
          <w:rFonts w:ascii="仿宋" w:hAnsi="仿宋" w:eastAsia="仿宋" w:cs="仿宋"/>
          <w:sz w:val="28"/>
          <w:szCs w:val="28"/>
        </w:rPr>
        <w:sectPr>
          <w:headerReference r:id="rId9" w:type="default"/>
          <w:footerReference r:id="rId10" w:type="default"/>
          <w:pgSz w:w="11906" w:h="16839"/>
          <w:pgMar w:top="1222" w:right="1586" w:bottom="1096" w:left="1134" w:header="885" w:footer="936" w:gutter="0"/>
          <w:cols w:space="720" w:num="1"/>
        </w:sectPr>
      </w:pPr>
    </w:p>
    <w:p w14:paraId="13D71410">
      <w:pPr>
        <w:pStyle w:val="2"/>
        <w:spacing w:line="279" w:lineRule="auto"/>
      </w:pPr>
    </w:p>
    <w:sdt>
      <w:sdtPr>
        <w:rPr>
          <w:rFonts w:ascii="仿宋" w:hAnsi="仿宋" w:eastAsia="仿宋" w:cs="仿宋"/>
          <w:sz w:val="28"/>
          <w:szCs w:val="28"/>
        </w:rPr>
        <w:id w:val="147469604"/>
        <w:docPartObj>
          <w:docPartGallery w:val="Table of Contents"/>
          <w:docPartUnique/>
        </w:docPartObj>
      </w:sdtPr>
      <w:sdtEndPr>
        <w:rPr>
          <w:rFonts w:ascii="仿宋" w:hAnsi="仿宋" w:eastAsia="仿宋" w:cs="仿宋"/>
          <w:sz w:val="28"/>
          <w:szCs w:val="28"/>
        </w:rPr>
      </w:sdtEndPr>
      <w:sdtContent>
        <w:p w14:paraId="1E9A1A5F">
          <w:pPr>
            <w:tabs>
              <w:tab w:val="right" w:leader="dot" w:pos="9185"/>
            </w:tabs>
            <w:spacing w:before="91" w:line="184" w:lineRule="auto"/>
            <w:ind w:left="211"/>
            <w:rPr>
              <w:rFonts w:ascii="仿宋" w:hAnsi="仿宋" w:eastAsia="仿宋" w:cs="仿宋"/>
              <w:sz w:val="28"/>
              <w:szCs w:val="28"/>
            </w:rPr>
          </w:pPr>
          <w:r>
            <w:fldChar w:fldCharType="begin"/>
          </w:r>
          <w:r>
            <w:instrText xml:space="preserve"> HYPERLINK \l "bookmark55" </w:instrText>
          </w:r>
          <w:r>
            <w:fldChar w:fldCharType="separate"/>
          </w:r>
          <w:r>
            <w:rPr>
              <w:rFonts w:ascii="仿宋" w:hAnsi="仿宋" w:eastAsia="仿宋" w:cs="仿宋"/>
              <w:spacing w:val="-7"/>
              <w:sz w:val="28"/>
              <w:szCs w:val="28"/>
            </w:rPr>
            <w:t>（</w:t>
          </w:r>
          <w:r>
            <w:rPr>
              <w:rFonts w:ascii="仿宋" w:hAnsi="仿宋" w:eastAsia="仿宋" w:cs="仿宋"/>
              <w:spacing w:val="-79"/>
              <w:sz w:val="28"/>
              <w:szCs w:val="28"/>
            </w:rPr>
            <w:t xml:space="preserve"> </w:t>
          </w:r>
          <w:r>
            <w:rPr>
              <w:rFonts w:ascii="仿宋" w:hAnsi="仿宋" w:eastAsia="仿宋" w:cs="仿宋"/>
              <w:spacing w:val="-7"/>
              <w:sz w:val="28"/>
              <w:szCs w:val="28"/>
            </w:rPr>
            <w:t>五）加强人才培养</w:t>
          </w:r>
          <w:r>
            <w:rPr>
              <w:rFonts w:ascii="仿宋" w:hAnsi="仿宋" w:eastAsia="仿宋" w:cs="仿宋"/>
              <w:spacing w:val="-120"/>
              <w:sz w:val="28"/>
              <w:szCs w:val="28"/>
            </w:rPr>
            <w:t xml:space="preserve"> </w:t>
          </w:r>
          <w:r>
            <w:rPr>
              <w:rFonts w:ascii="仿宋" w:hAnsi="仿宋" w:eastAsia="仿宋" w:cs="仿宋"/>
              <w:sz w:val="28"/>
              <w:szCs w:val="28"/>
            </w:rPr>
            <w:tab/>
          </w:r>
          <w:r>
            <w:rPr>
              <w:rFonts w:ascii="仿宋" w:hAnsi="仿宋" w:eastAsia="仿宋" w:cs="仿宋"/>
              <w:spacing w:val="-107"/>
              <w:sz w:val="28"/>
              <w:szCs w:val="28"/>
            </w:rPr>
            <w:t xml:space="preserve"> </w:t>
          </w:r>
          <w:r>
            <w:rPr>
              <w:rFonts w:ascii="仿宋" w:hAnsi="仿宋" w:eastAsia="仿宋" w:cs="仿宋"/>
              <w:spacing w:val="-10"/>
              <w:sz w:val="28"/>
              <w:szCs w:val="28"/>
            </w:rPr>
            <w:t>-</w:t>
          </w:r>
          <w:r>
            <w:rPr>
              <w:rFonts w:ascii="仿宋" w:hAnsi="仿宋" w:eastAsia="仿宋" w:cs="仿宋"/>
              <w:spacing w:val="24"/>
              <w:sz w:val="28"/>
              <w:szCs w:val="28"/>
            </w:rPr>
            <w:t xml:space="preserve"> </w:t>
          </w:r>
          <w:r>
            <w:rPr>
              <w:rFonts w:ascii="仿宋" w:hAnsi="仿宋" w:eastAsia="仿宋" w:cs="仿宋"/>
              <w:spacing w:val="-10"/>
              <w:sz w:val="28"/>
              <w:szCs w:val="28"/>
            </w:rPr>
            <w:t>63</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3646E7E6">
          <w:pPr>
            <w:tabs>
              <w:tab w:val="right" w:leader="dot" w:pos="9185"/>
            </w:tabs>
            <w:spacing w:before="237" w:line="188" w:lineRule="auto"/>
            <w:ind w:left="9"/>
            <w:rPr>
              <w:rFonts w:ascii="仿宋" w:hAnsi="仿宋" w:eastAsia="仿宋" w:cs="仿宋"/>
              <w:sz w:val="28"/>
              <w:szCs w:val="28"/>
            </w:rPr>
          </w:pPr>
          <w:r>
            <w:fldChar w:fldCharType="begin"/>
          </w:r>
          <w:r>
            <w:instrText xml:space="preserve"> HYPERLINK \l "bookmark56" </w:instrText>
          </w:r>
          <w:r>
            <w:fldChar w:fldCharType="separate"/>
          </w:r>
          <w:r>
            <w:rPr>
              <w:rFonts w:ascii="黑体" w:hAnsi="黑体" w:eastAsia="黑体" w:cs="黑体"/>
              <w:spacing w:val="-2"/>
              <w:sz w:val="28"/>
              <w:szCs w:val="28"/>
            </w:rPr>
            <w:t>七、环境影响及对策</w:t>
          </w:r>
          <w:r>
            <w:rPr>
              <w:rFonts w:ascii="黑体" w:hAnsi="黑体" w:eastAsia="黑体" w:cs="黑体"/>
              <w:sz w:val="28"/>
              <w:szCs w:val="28"/>
            </w:rPr>
            <w:tab/>
          </w:r>
          <w:r>
            <w:rPr>
              <w:rFonts w:ascii="黑体" w:hAnsi="黑体" w:eastAsia="黑体" w:cs="黑体"/>
              <w:spacing w:val="-108"/>
              <w:sz w:val="28"/>
              <w:szCs w:val="28"/>
            </w:rPr>
            <w:t xml:space="preserve"> </w:t>
          </w:r>
          <w:r>
            <w:rPr>
              <w:rFonts w:ascii="仿宋" w:hAnsi="仿宋" w:eastAsia="仿宋" w:cs="仿宋"/>
              <w:b/>
              <w:bCs/>
              <w:spacing w:val="-14"/>
              <w:sz w:val="28"/>
              <w:szCs w:val="28"/>
            </w:rPr>
            <w:t>-</w:t>
          </w:r>
          <w:r>
            <w:rPr>
              <w:rFonts w:ascii="仿宋" w:hAnsi="仿宋" w:eastAsia="仿宋" w:cs="仿宋"/>
              <w:spacing w:val="25"/>
              <w:sz w:val="28"/>
              <w:szCs w:val="28"/>
            </w:rPr>
            <w:t xml:space="preserve"> </w:t>
          </w:r>
          <w:r>
            <w:rPr>
              <w:rFonts w:ascii="仿宋" w:hAnsi="仿宋" w:eastAsia="仿宋" w:cs="仿宋"/>
              <w:b/>
              <w:bCs/>
              <w:spacing w:val="-14"/>
              <w:sz w:val="28"/>
              <w:szCs w:val="28"/>
            </w:rPr>
            <w:t>6</w:t>
          </w:r>
          <w:r>
            <w:rPr>
              <w:rFonts w:ascii="仿宋" w:hAnsi="仿宋" w:eastAsia="仿宋" w:cs="仿宋"/>
              <w:b/>
              <w:bCs/>
              <w:spacing w:val="-13"/>
              <w:sz w:val="28"/>
              <w:szCs w:val="28"/>
            </w:rPr>
            <w:t>3</w:t>
          </w:r>
          <w:r>
            <w:rPr>
              <w:rFonts w:ascii="仿宋" w:hAnsi="仿宋" w:eastAsia="仿宋" w:cs="仿宋"/>
              <w:spacing w:val="11"/>
              <w:sz w:val="28"/>
              <w:szCs w:val="28"/>
            </w:rPr>
            <w:t xml:space="preserve"> </w:t>
          </w:r>
          <w:r>
            <w:rPr>
              <w:rFonts w:ascii="仿宋" w:hAnsi="仿宋" w:eastAsia="仿宋" w:cs="仿宋"/>
              <w:b/>
              <w:bCs/>
              <w:spacing w:val="-11"/>
              <w:sz w:val="28"/>
              <w:szCs w:val="28"/>
            </w:rPr>
            <w:t>-</w:t>
          </w:r>
          <w:r>
            <w:rPr>
              <w:rFonts w:ascii="仿宋" w:hAnsi="仿宋" w:eastAsia="仿宋" w:cs="仿宋"/>
              <w:b/>
              <w:bCs/>
              <w:spacing w:val="-11"/>
              <w:sz w:val="28"/>
              <w:szCs w:val="28"/>
            </w:rPr>
            <w:fldChar w:fldCharType="end"/>
          </w:r>
        </w:p>
        <w:p w14:paraId="692E88F7">
          <w:pPr>
            <w:tabs>
              <w:tab w:val="right" w:leader="dot" w:pos="9185"/>
            </w:tabs>
            <w:spacing w:before="237" w:line="184" w:lineRule="auto"/>
            <w:ind w:left="211"/>
            <w:rPr>
              <w:rFonts w:ascii="仿宋" w:hAnsi="仿宋" w:eastAsia="仿宋" w:cs="仿宋"/>
              <w:sz w:val="28"/>
              <w:szCs w:val="28"/>
            </w:rPr>
          </w:pPr>
          <w:r>
            <w:fldChar w:fldCharType="begin"/>
          </w:r>
          <w:r>
            <w:instrText xml:space="preserve"> HYPERLINK \l "bookmark57" </w:instrText>
          </w:r>
          <w:r>
            <w:fldChar w:fldCharType="separate"/>
          </w:r>
          <w:r>
            <w:rPr>
              <w:rFonts w:ascii="仿宋" w:hAnsi="仿宋" w:eastAsia="仿宋" w:cs="仿宋"/>
              <w:spacing w:val="-6"/>
              <w:sz w:val="28"/>
              <w:szCs w:val="28"/>
            </w:rPr>
            <w:t>（</w:t>
          </w:r>
          <w:r>
            <w:rPr>
              <w:rFonts w:ascii="仿宋" w:hAnsi="仿宋" w:eastAsia="仿宋" w:cs="仿宋"/>
              <w:spacing w:val="-63"/>
              <w:sz w:val="28"/>
              <w:szCs w:val="28"/>
            </w:rPr>
            <w:t xml:space="preserve"> </w:t>
          </w:r>
          <w:r>
            <w:rPr>
              <w:rFonts w:ascii="仿宋" w:hAnsi="仿宋" w:eastAsia="仿宋" w:cs="仿宋"/>
              <w:spacing w:val="-6"/>
              <w:sz w:val="28"/>
              <w:szCs w:val="28"/>
            </w:rPr>
            <w:t>一）规划实施环境影响分析</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122"/>
              <w:sz w:val="28"/>
              <w:szCs w:val="28"/>
            </w:rPr>
            <w:t xml:space="preserve"> </w:t>
          </w:r>
          <w:r>
            <w:rPr>
              <w:rFonts w:ascii="仿宋" w:hAnsi="仿宋" w:eastAsia="仿宋" w:cs="仿宋"/>
              <w:spacing w:val="-10"/>
              <w:sz w:val="28"/>
              <w:szCs w:val="28"/>
            </w:rPr>
            <w:t>-</w:t>
          </w:r>
          <w:r>
            <w:rPr>
              <w:rFonts w:ascii="仿宋" w:hAnsi="仿宋" w:eastAsia="仿宋" w:cs="仿宋"/>
              <w:spacing w:val="24"/>
              <w:sz w:val="28"/>
              <w:szCs w:val="28"/>
            </w:rPr>
            <w:t xml:space="preserve"> </w:t>
          </w:r>
          <w:r>
            <w:rPr>
              <w:rFonts w:ascii="仿宋" w:hAnsi="仿宋" w:eastAsia="仿宋" w:cs="仿宋"/>
              <w:spacing w:val="-10"/>
              <w:sz w:val="28"/>
              <w:szCs w:val="28"/>
            </w:rPr>
            <w:t>63</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16A6DF72">
          <w:pPr>
            <w:tabs>
              <w:tab w:val="right" w:leader="dot" w:pos="9185"/>
            </w:tabs>
            <w:spacing w:before="241" w:line="184" w:lineRule="auto"/>
            <w:ind w:left="211"/>
            <w:rPr>
              <w:rFonts w:ascii="仿宋" w:hAnsi="仿宋" w:eastAsia="仿宋" w:cs="仿宋"/>
              <w:sz w:val="28"/>
              <w:szCs w:val="28"/>
            </w:rPr>
          </w:pPr>
          <w:r>
            <w:fldChar w:fldCharType="begin"/>
          </w:r>
          <w:r>
            <w:instrText xml:space="preserve"> HYPERLINK \l "bookmark58" </w:instrText>
          </w:r>
          <w:r>
            <w:fldChar w:fldCharType="separate"/>
          </w:r>
          <w:r>
            <w:rPr>
              <w:rFonts w:ascii="仿宋" w:hAnsi="仿宋" w:eastAsia="仿宋" w:cs="仿宋"/>
              <w:spacing w:val="-5"/>
              <w:sz w:val="28"/>
              <w:szCs w:val="28"/>
            </w:rPr>
            <w:t>（</w:t>
          </w:r>
          <w:r>
            <w:rPr>
              <w:rFonts w:ascii="仿宋" w:hAnsi="仿宋" w:eastAsia="仿宋" w:cs="仿宋"/>
              <w:spacing w:val="-76"/>
              <w:sz w:val="28"/>
              <w:szCs w:val="28"/>
            </w:rPr>
            <w:t xml:space="preserve"> </w:t>
          </w:r>
          <w:r>
            <w:rPr>
              <w:rFonts w:ascii="仿宋" w:hAnsi="仿宋" w:eastAsia="仿宋" w:cs="仿宋"/>
              <w:spacing w:val="-5"/>
              <w:sz w:val="28"/>
              <w:szCs w:val="28"/>
            </w:rPr>
            <w:t>二）规划实施环境影响评价</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122"/>
              <w:sz w:val="28"/>
              <w:szCs w:val="28"/>
            </w:rPr>
            <w:t xml:space="preserve"> </w:t>
          </w:r>
          <w:r>
            <w:rPr>
              <w:rFonts w:ascii="仿宋" w:hAnsi="仿宋" w:eastAsia="仿宋" w:cs="仿宋"/>
              <w:spacing w:val="-10"/>
              <w:sz w:val="28"/>
              <w:szCs w:val="28"/>
            </w:rPr>
            <w:t>-</w:t>
          </w:r>
          <w:r>
            <w:rPr>
              <w:rFonts w:ascii="仿宋" w:hAnsi="仿宋" w:eastAsia="仿宋" w:cs="仿宋"/>
              <w:spacing w:val="24"/>
              <w:sz w:val="28"/>
              <w:szCs w:val="28"/>
            </w:rPr>
            <w:t xml:space="preserve"> </w:t>
          </w:r>
          <w:r>
            <w:rPr>
              <w:rFonts w:ascii="仿宋" w:hAnsi="仿宋" w:eastAsia="仿宋" w:cs="仿宋"/>
              <w:spacing w:val="-10"/>
              <w:sz w:val="28"/>
              <w:szCs w:val="28"/>
            </w:rPr>
            <w:t>63</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p w14:paraId="2522D023">
          <w:pPr>
            <w:tabs>
              <w:tab w:val="right" w:leader="dot" w:pos="9185"/>
            </w:tabs>
            <w:spacing w:before="238" w:line="218" w:lineRule="auto"/>
            <w:ind w:left="211"/>
            <w:rPr>
              <w:rFonts w:ascii="仿宋" w:hAnsi="仿宋" w:eastAsia="仿宋" w:cs="仿宋"/>
              <w:sz w:val="28"/>
              <w:szCs w:val="28"/>
            </w:rPr>
          </w:pPr>
          <w:r>
            <w:fldChar w:fldCharType="begin"/>
          </w:r>
          <w:r>
            <w:instrText xml:space="preserve"> HYPERLINK \l "bookmark59" </w:instrText>
          </w:r>
          <w:r>
            <w:fldChar w:fldCharType="separate"/>
          </w:r>
          <w:r>
            <w:rPr>
              <w:rFonts w:ascii="仿宋" w:hAnsi="仿宋" w:eastAsia="仿宋" w:cs="仿宋"/>
              <w:spacing w:val="-4"/>
              <w:sz w:val="28"/>
              <w:szCs w:val="28"/>
            </w:rPr>
            <w:t>（</w:t>
          </w:r>
          <w:r>
            <w:rPr>
              <w:rFonts w:ascii="仿宋" w:hAnsi="仿宋" w:eastAsia="仿宋" w:cs="仿宋"/>
              <w:spacing w:val="-72"/>
              <w:sz w:val="28"/>
              <w:szCs w:val="28"/>
            </w:rPr>
            <w:t xml:space="preserve"> </w:t>
          </w:r>
          <w:r>
            <w:rPr>
              <w:rFonts w:ascii="仿宋" w:hAnsi="仿宋" w:eastAsia="仿宋" w:cs="仿宋"/>
              <w:spacing w:val="-4"/>
              <w:sz w:val="28"/>
              <w:szCs w:val="28"/>
            </w:rPr>
            <w:t>三）预防和减缓环境不良影响的措施</w:t>
          </w:r>
          <w:r>
            <w:rPr>
              <w:rFonts w:ascii="仿宋" w:hAnsi="仿宋" w:eastAsia="仿宋" w:cs="仿宋"/>
              <w:spacing w:val="-123"/>
              <w:sz w:val="28"/>
              <w:szCs w:val="28"/>
            </w:rPr>
            <w:t xml:space="preserve"> </w:t>
          </w:r>
          <w:r>
            <w:rPr>
              <w:rFonts w:ascii="仿宋" w:hAnsi="仿宋" w:eastAsia="仿宋" w:cs="仿宋"/>
              <w:sz w:val="28"/>
              <w:szCs w:val="28"/>
            </w:rPr>
            <w:tab/>
          </w:r>
          <w:r>
            <w:rPr>
              <w:rFonts w:ascii="仿宋" w:hAnsi="仿宋" w:eastAsia="仿宋" w:cs="仿宋"/>
              <w:spacing w:val="-70"/>
              <w:sz w:val="28"/>
              <w:szCs w:val="28"/>
            </w:rPr>
            <w:t xml:space="preserve"> </w:t>
          </w:r>
          <w:r>
            <w:rPr>
              <w:rFonts w:ascii="仿宋" w:hAnsi="仿宋" w:eastAsia="仿宋" w:cs="仿宋"/>
              <w:spacing w:val="-10"/>
              <w:sz w:val="28"/>
              <w:szCs w:val="28"/>
            </w:rPr>
            <w:t>-</w:t>
          </w:r>
          <w:r>
            <w:rPr>
              <w:rFonts w:ascii="仿宋" w:hAnsi="仿宋" w:eastAsia="仿宋" w:cs="仿宋"/>
              <w:spacing w:val="24"/>
              <w:sz w:val="28"/>
              <w:szCs w:val="28"/>
            </w:rPr>
            <w:t xml:space="preserve"> </w:t>
          </w:r>
          <w:r>
            <w:rPr>
              <w:rFonts w:ascii="仿宋" w:hAnsi="仿宋" w:eastAsia="仿宋" w:cs="仿宋"/>
              <w:spacing w:val="-10"/>
              <w:sz w:val="28"/>
              <w:szCs w:val="28"/>
            </w:rPr>
            <w:t>65</w:t>
          </w:r>
          <w:r>
            <w:rPr>
              <w:rFonts w:ascii="仿宋" w:hAnsi="仿宋" w:eastAsia="仿宋" w:cs="仿宋"/>
              <w:spacing w:val="7"/>
              <w:sz w:val="28"/>
              <w:szCs w:val="28"/>
            </w:rPr>
            <w:t xml:space="preserve"> </w:t>
          </w:r>
          <w:r>
            <w:rPr>
              <w:rFonts w:ascii="仿宋" w:hAnsi="仿宋" w:eastAsia="仿宋" w:cs="仿宋"/>
              <w:spacing w:val="-10"/>
              <w:sz w:val="28"/>
              <w:szCs w:val="28"/>
            </w:rPr>
            <w:t>-</w:t>
          </w:r>
          <w:r>
            <w:rPr>
              <w:rFonts w:ascii="仿宋" w:hAnsi="仿宋" w:eastAsia="仿宋" w:cs="仿宋"/>
              <w:spacing w:val="-10"/>
              <w:sz w:val="28"/>
              <w:szCs w:val="28"/>
            </w:rPr>
            <w:fldChar w:fldCharType="end"/>
          </w:r>
        </w:p>
      </w:sdtContent>
    </w:sdt>
    <w:p w14:paraId="3E93323A">
      <w:pPr>
        <w:pStyle w:val="2"/>
        <w:spacing w:line="273" w:lineRule="auto"/>
      </w:pPr>
    </w:p>
    <w:p w14:paraId="0A0C750E">
      <w:pPr>
        <w:pStyle w:val="2"/>
        <w:spacing w:line="274" w:lineRule="auto"/>
      </w:pPr>
    </w:p>
    <w:p w14:paraId="684D1ADE">
      <w:pPr>
        <w:pStyle w:val="2"/>
        <w:spacing w:line="274" w:lineRule="auto"/>
      </w:pPr>
    </w:p>
    <w:p w14:paraId="67A1154F">
      <w:pPr>
        <w:pStyle w:val="2"/>
        <w:spacing w:line="274" w:lineRule="auto"/>
      </w:pPr>
    </w:p>
    <w:p w14:paraId="7483E3F2">
      <w:pPr>
        <w:spacing w:before="99" w:line="223" w:lineRule="auto"/>
        <w:ind w:left="27"/>
        <w:rPr>
          <w:rFonts w:ascii="黑体" w:hAnsi="黑体" w:eastAsia="黑体" w:cs="黑体"/>
          <w:sz w:val="30"/>
          <w:szCs w:val="30"/>
        </w:rPr>
      </w:pPr>
      <w:r>
        <w:rPr>
          <w:rFonts w:ascii="黑体" w:hAnsi="黑体" w:eastAsia="黑体" w:cs="黑体"/>
          <w:spacing w:val="-10"/>
          <w:sz w:val="30"/>
          <w:szCs w:val="30"/>
        </w:rPr>
        <w:t>附表：</w:t>
      </w:r>
    </w:p>
    <w:p w14:paraId="17AD8090">
      <w:pPr>
        <w:spacing w:before="281" w:line="218" w:lineRule="auto"/>
        <w:ind w:left="451"/>
        <w:rPr>
          <w:rFonts w:ascii="仿宋" w:hAnsi="仿宋" w:eastAsia="仿宋" w:cs="仿宋"/>
          <w:sz w:val="28"/>
          <w:szCs w:val="28"/>
        </w:rPr>
      </w:pPr>
      <w:r>
        <w:rPr>
          <w:rFonts w:ascii="仿宋" w:hAnsi="仿宋" w:eastAsia="仿宋" w:cs="仿宋"/>
          <w:spacing w:val="-3"/>
          <w:sz w:val="28"/>
          <w:szCs w:val="28"/>
        </w:rPr>
        <w:t>附表</w:t>
      </w:r>
      <w:r>
        <w:rPr>
          <w:rFonts w:ascii="仿宋" w:hAnsi="仿宋" w:eastAsia="仿宋" w:cs="仿宋"/>
          <w:spacing w:val="-42"/>
          <w:sz w:val="28"/>
          <w:szCs w:val="28"/>
        </w:rPr>
        <w:t xml:space="preserve"> </w:t>
      </w:r>
      <w:r>
        <w:rPr>
          <w:rFonts w:ascii="仿宋" w:hAnsi="仿宋" w:eastAsia="仿宋" w:cs="仿宋"/>
          <w:spacing w:val="-3"/>
          <w:sz w:val="28"/>
          <w:szCs w:val="28"/>
        </w:rPr>
        <w:t>1  曲靖市</w:t>
      </w:r>
      <w:r>
        <w:rPr>
          <w:rFonts w:ascii="仿宋" w:hAnsi="仿宋" w:eastAsia="仿宋" w:cs="仿宋"/>
          <w:spacing w:val="-99"/>
          <w:sz w:val="28"/>
          <w:szCs w:val="28"/>
        </w:rPr>
        <w:t xml:space="preserve"> </w:t>
      </w:r>
      <w:r>
        <w:rPr>
          <w:rFonts w:ascii="仿宋" w:hAnsi="仿宋" w:eastAsia="仿宋" w:cs="仿宋"/>
          <w:spacing w:val="-3"/>
          <w:sz w:val="28"/>
          <w:szCs w:val="28"/>
        </w:rPr>
        <w:t>“十四五”交通基础设施重点建设项</w:t>
      </w:r>
      <w:r>
        <w:rPr>
          <w:rFonts w:ascii="仿宋" w:hAnsi="仿宋" w:eastAsia="仿宋" w:cs="仿宋"/>
          <w:spacing w:val="-4"/>
          <w:sz w:val="28"/>
          <w:szCs w:val="28"/>
        </w:rPr>
        <w:t>目及投资一览表</w:t>
      </w:r>
    </w:p>
    <w:p w14:paraId="1ECB309F">
      <w:pPr>
        <w:pStyle w:val="2"/>
        <w:spacing w:line="266" w:lineRule="auto"/>
      </w:pPr>
    </w:p>
    <w:p w14:paraId="2708AB28">
      <w:pPr>
        <w:pStyle w:val="2"/>
        <w:spacing w:line="266" w:lineRule="auto"/>
      </w:pPr>
    </w:p>
    <w:p w14:paraId="6530CDFC">
      <w:pPr>
        <w:pStyle w:val="2"/>
        <w:spacing w:line="266" w:lineRule="auto"/>
      </w:pPr>
    </w:p>
    <w:p w14:paraId="28E92543">
      <w:pPr>
        <w:spacing w:before="98" w:line="222" w:lineRule="auto"/>
        <w:ind w:left="27"/>
        <w:rPr>
          <w:rFonts w:ascii="黑体" w:hAnsi="黑体" w:eastAsia="黑体" w:cs="黑体"/>
          <w:sz w:val="30"/>
          <w:szCs w:val="30"/>
        </w:rPr>
      </w:pPr>
      <w:r>
        <w:rPr>
          <w:rFonts w:ascii="黑体" w:hAnsi="黑体" w:eastAsia="黑体" w:cs="黑体"/>
          <w:spacing w:val="-10"/>
          <w:sz w:val="30"/>
          <w:szCs w:val="30"/>
        </w:rPr>
        <w:t>附图：</w:t>
      </w:r>
    </w:p>
    <w:p w14:paraId="024F4134">
      <w:pPr>
        <w:pStyle w:val="2"/>
        <w:spacing w:line="309" w:lineRule="auto"/>
      </w:pPr>
    </w:p>
    <w:p w14:paraId="34697EC4">
      <w:pPr>
        <w:spacing w:before="91" w:line="218" w:lineRule="auto"/>
        <w:ind w:left="451"/>
        <w:rPr>
          <w:rFonts w:ascii="仿宋" w:hAnsi="仿宋" w:eastAsia="仿宋" w:cs="仿宋"/>
          <w:sz w:val="28"/>
          <w:szCs w:val="28"/>
        </w:rPr>
      </w:pPr>
      <w:r>
        <w:rPr>
          <w:rFonts w:ascii="仿宋" w:hAnsi="仿宋" w:eastAsia="仿宋" w:cs="仿宋"/>
          <w:spacing w:val="-4"/>
          <w:sz w:val="28"/>
          <w:szCs w:val="28"/>
        </w:rPr>
        <w:t>附图</w:t>
      </w:r>
      <w:r>
        <w:rPr>
          <w:rFonts w:ascii="仿宋" w:hAnsi="仿宋" w:eastAsia="仿宋" w:cs="仿宋"/>
          <w:spacing w:val="-42"/>
          <w:sz w:val="28"/>
          <w:szCs w:val="28"/>
        </w:rPr>
        <w:t xml:space="preserve"> </w:t>
      </w:r>
      <w:r>
        <w:rPr>
          <w:rFonts w:ascii="仿宋" w:hAnsi="仿宋" w:eastAsia="仿宋" w:cs="仿宋"/>
          <w:spacing w:val="-4"/>
          <w:sz w:val="28"/>
          <w:szCs w:val="28"/>
        </w:rPr>
        <w:t>1  曲靖市县域高速公路</w:t>
      </w:r>
      <w:r>
        <w:rPr>
          <w:rFonts w:ascii="仿宋" w:hAnsi="仿宋" w:eastAsia="仿宋" w:cs="仿宋"/>
          <w:spacing w:val="-99"/>
          <w:sz w:val="28"/>
          <w:szCs w:val="28"/>
        </w:rPr>
        <w:t xml:space="preserve"> </w:t>
      </w:r>
      <w:r>
        <w:rPr>
          <w:rFonts w:ascii="仿宋" w:hAnsi="仿宋" w:eastAsia="仿宋" w:cs="仿宋"/>
          <w:spacing w:val="-4"/>
          <w:sz w:val="28"/>
          <w:szCs w:val="28"/>
        </w:rPr>
        <w:t>“互联互通”方案规划图</w:t>
      </w:r>
    </w:p>
    <w:p w14:paraId="4CF6AA73">
      <w:pPr>
        <w:spacing w:before="190" w:line="216" w:lineRule="auto"/>
        <w:ind w:left="451"/>
        <w:rPr>
          <w:rFonts w:ascii="仿宋" w:hAnsi="仿宋" w:eastAsia="仿宋" w:cs="仿宋"/>
          <w:sz w:val="28"/>
          <w:szCs w:val="28"/>
        </w:rPr>
      </w:pPr>
      <w:r>
        <w:rPr>
          <w:rFonts w:ascii="仿宋" w:hAnsi="仿宋" w:eastAsia="仿宋" w:cs="仿宋"/>
          <w:spacing w:val="-6"/>
          <w:sz w:val="28"/>
          <w:szCs w:val="28"/>
        </w:rPr>
        <w:t>附图</w:t>
      </w:r>
      <w:r>
        <w:rPr>
          <w:rFonts w:ascii="仿宋" w:hAnsi="仿宋" w:eastAsia="仿宋" w:cs="仿宋"/>
          <w:spacing w:val="-38"/>
          <w:sz w:val="28"/>
          <w:szCs w:val="28"/>
        </w:rPr>
        <w:t xml:space="preserve"> </w:t>
      </w:r>
      <w:r>
        <w:rPr>
          <w:rFonts w:ascii="仿宋" w:hAnsi="仿宋" w:eastAsia="仿宋" w:cs="仿宋"/>
          <w:spacing w:val="-6"/>
          <w:sz w:val="28"/>
          <w:szCs w:val="28"/>
        </w:rPr>
        <w:t>2</w:t>
      </w:r>
      <w:r>
        <w:rPr>
          <w:rFonts w:ascii="仿宋" w:hAnsi="仿宋" w:eastAsia="仿宋" w:cs="仿宋"/>
          <w:spacing w:val="23"/>
          <w:sz w:val="28"/>
          <w:szCs w:val="28"/>
        </w:rPr>
        <w:t xml:space="preserve">  </w:t>
      </w:r>
      <w:r>
        <w:rPr>
          <w:rFonts w:ascii="仿宋" w:hAnsi="仿宋" w:eastAsia="仿宋" w:cs="仿宋"/>
          <w:spacing w:val="-6"/>
          <w:sz w:val="28"/>
          <w:szCs w:val="28"/>
        </w:rPr>
        <w:t>曲靖市高速公路网结构布局规划图</w:t>
      </w:r>
    </w:p>
    <w:p w14:paraId="4AC48EDA">
      <w:pPr>
        <w:spacing w:before="191" w:line="218" w:lineRule="auto"/>
        <w:ind w:left="451"/>
        <w:rPr>
          <w:rFonts w:ascii="仿宋" w:hAnsi="仿宋" w:eastAsia="仿宋" w:cs="仿宋"/>
          <w:sz w:val="28"/>
          <w:szCs w:val="28"/>
        </w:rPr>
      </w:pPr>
      <w:r>
        <w:rPr>
          <w:rFonts w:ascii="仿宋" w:hAnsi="仿宋" w:eastAsia="仿宋" w:cs="仿宋"/>
          <w:spacing w:val="-4"/>
          <w:sz w:val="28"/>
          <w:szCs w:val="28"/>
        </w:rPr>
        <w:t>附图</w:t>
      </w:r>
      <w:r>
        <w:rPr>
          <w:rFonts w:ascii="仿宋" w:hAnsi="仿宋" w:eastAsia="仿宋" w:cs="仿宋"/>
          <w:spacing w:val="-38"/>
          <w:sz w:val="28"/>
          <w:szCs w:val="28"/>
        </w:rPr>
        <w:t xml:space="preserve"> </w:t>
      </w:r>
      <w:r>
        <w:rPr>
          <w:rFonts w:ascii="仿宋" w:hAnsi="仿宋" w:eastAsia="仿宋" w:cs="仿宋"/>
          <w:spacing w:val="-4"/>
          <w:sz w:val="28"/>
          <w:szCs w:val="28"/>
        </w:rPr>
        <w:t>3  曲靖市</w:t>
      </w:r>
      <w:r>
        <w:rPr>
          <w:rFonts w:ascii="仿宋" w:hAnsi="仿宋" w:eastAsia="仿宋" w:cs="仿宋"/>
          <w:spacing w:val="-100"/>
          <w:sz w:val="28"/>
          <w:szCs w:val="28"/>
        </w:rPr>
        <w:t xml:space="preserve"> </w:t>
      </w:r>
      <w:r>
        <w:rPr>
          <w:rFonts w:ascii="仿宋" w:hAnsi="仿宋" w:eastAsia="仿宋" w:cs="仿宋"/>
          <w:spacing w:val="-4"/>
          <w:sz w:val="28"/>
          <w:szCs w:val="28"/>
        </w:rPr>
        <w:t>“十四五”高速公路建设项目规划示意图</w:t>
      </w:r>
    </w:p>
    <w:p w14:paraId="4F2A4E55">
      <w:pPr>
        <w:spacing w:before="190" w:line="218" w:lineRule="auto"/>
        <w:ind w:left="451"/>
        <w:rPr>
          <w:rFonts w:ascii="仿宋" w:hAnsi="仿宋" w:eastAsia="仿宋" w:cs="仿宋"/>
          <w:sz w:val="28"/>
          <w:szCs w:val="28"/>
        </w:rPr>
      </w:pPr>
      <w:r>
        <w:rPr>
          <w:rFonts w:ascii="仿宋" w:hAnsi="仿宋" w:eastAsia="仿宋" w:cs="仿宋"/>
          <w:spacing w:val="-4"/>
          <w:sz w:val="28"/>
          <w:szCs w:val="28"/>
        </w:rPr>
        <w:t>附图</w:t>
      </w:r>
      <w:r>
        <w:rPr>
          <w:rFonts w:ascii="仿宋" w:hAnsi="仿宋" w:eastAsia="仿宋" w:cs="仿宋"/>
          <w:spacing w:val="-39"/>
          <w:sz w:val="28"/>
          <w:szCs w:val="28"/>
        </w:rPr>
        <w:t xml:space="preserve"> </w:t>
      </w:r>
      <w:r>
        <w:rPr>
          <w:rFonts w:ascii="仿宋" w:hAnsi="仿宋" w:eastAsia="仿宋" w:cs="仿宋"/>
          <w:spacing w:val="-4"/>
          <w:sz w:val="28"/>
          <w:szCs w:val="28"/>
        </w:rPr>
        <w:t>4  曲靖市</w:t>
      </w:r>
      <w:r>
        <w:rPr>
          <w:rFonts w:ascii="仿宋" w:hAnsi="仿宋" w:eastAsia="仿宋" w:cs="仿宋"/>
          <w:spacing w:val="-99"/>
          <w:sz w:val="28"/>
          <w:szCs w:val="28"/>
        </w:rPr>
        <w:t xml:space="preserve"> </w:t>
      </w:r>
      <w:r>
        <w:rPr>
          <w:rFonts w:ascii="仿宋" w:hAnsi="仿宋" w:eastAsia="仿宋" w:cs="仿宋"/>
          <w:spacing w:val="-4"/>
          <w:sz w:val="28"/>
          <w:szCs w:val="28"/>
        </w:rPr>
        <w:t>“十四五”普通国道建设项目规划示意图</w:t>
      </w:r>
    </w:p>
    <w:p w14:paraId="3A6CFC79">
      <w:pPr>
        <w:spacing w:before="190" w:line="218" w:lineRule="auto"/>
        <w:ind w:left="451"/>
        <w:rPr>
          <w:rFonts w:ascii="仿宋" w:hAnsi="仿宋" w:eastAsia="仿宋" w:cs="仿宋"/>
          <w:sz w:val="28"/>
          <w:szCs w:val="28"/>
        </w:rPr>
      </w:pPr>
      <w:r>
        <w:rPr>
          <w:rFonts w:ascii="仿宋" w:hAnsi="仿宋" w:eastAsia="仿宋" w:cs="仿宋"/>
          <w:spacing w:val="-3"/>
          <w:sz w:val="28"/>
          <w:szCs w:val="28"/>
        </w:rPr>
        <w:t>附图</w:t>
      </w:r>
      <w:r>
        <w:rPr>
          <w:rFonts w:ascii="仿宋" w:hAnsi="仿宋" w:eastAsia="仿宋" w:cs="仿宋"/>
          <w:spacing w:val="-46"/>
          <w:sz w:val="28"/>
          <w:szCs w:val="28"/>
        </w:rPr>
        <w:t xml:space="preserve"> </w:t>
      </w:r>
      <w:r>
        <w:rPr>
          <w:rFonts w:ascii="仿宋" w:hAnsi="仿宋" w:eastAsia="仿宋" w:cs="仿宋"/>
          <w:spacing w:val="-3"/>
          <w:sz w:val="28"/>
          <w:szCs w:val="28"/>
        </w:rPr>
        <w:t>5  曲靖市</w:t>
      </w:r>
      <w:r>
        <w:rPr>
          <w:rFonts w:ascii="仿宋" w:hAnsi="仿宋" w:eastAsia="仿宋" w:cs="仿宋"/>
          <w:spacing w:val="-99"/>
          <w:sz w:val="28"/>
          <w:szCs w:val="28"/>
        </w:rPr>
        <w:t xml:space="preserve"> </w:t>
      </w:r>
      <w:r>
        <w:rPr>
          <w:rFonts w:ascii="仿宋" w:hAnsi="仿宋" w:eastAsia="仿宋" w:cs="仿宋"/>
          <w:spacing w:val="-3"/>
          <w:sz w:val="28"/>
          <w:szCs w:val="28"/>
        </w:rPr>
        <w:t>“十四五”铁路、机场及港口建设</w:t>
      </w:r>
      <w:r>
        <w:rPr>
          <w:rFonts w:ascii="仿宋" w:hAnsi="仿宋" w:eastAsia="仿宋" w:cs="仿宋"/>
          <w:spacing w:val="-4"/>
          <w:sz w:val="28"/>
          <w:szCs w:val="28"/>
        </w:rPr>
        <w:t>项目规划示意图</w:t>
      </w:r>
    </w:p>
    <w:p w14:paraId="4FE1ED7E">
      <w:pPr>
        <w:spacing w:before="188" w:line="218" w:lineRule="auto"/>
        <w:ind w:left="451"/>
        <w:rPr>
          <w:rFonts w:ascii="仿宋" w:hAnsi="仿宋" w:eastAsia="仿宋" w:cs="仿宋"/>
          <w:sz w:val="28"/>
          <w:szCs w:val="28"/>
        </w:rPr>
      </w:pPr>
      <w:r>
        <w:rPr>
          <w:rFonts w:ascii="仿宋" w:hAnsi="仿宋" w:eastAsia="仿宋" w:cs="仿宋"/>
          <w:spacing w:val="-4"/>
          <w:sz w:val="28"/>
          <w:szCs w:val="28"/>
        </w:rPr>
        <w:t>附图</w:t>
      </w:r>
      <w:r>
        <w:rPr>
          <w:rFonts w:ascii="仿宋" w:hAnsi="仿宋" w:eastAsia="仿宋" w:cs="仿宋"/>
          <w:spacing w:val="-35"/>
          <w:sz w:val="28"/>
          <w:szCs w:val="28"/>
        </w:rPr>
        <w:t xml:space="preserve"> </w:t>
      </w:r>
      <w:r>
        <w:rPr>
          <w:rFonts w:ascii="仿宋" w:hAnsi="仿宋" w:eastAsia="仿宋" w:cs="仿宋"/>
          <w:spacing w:val="-4"/>
          <w:sz w:val="28"/>
          <w:szCs w:val="28"/>
        </w:rPr>
        <w:t>6  曲靖市</w:t>
      </w:r>
      <w:r>
        <w:rPr>
          <w:rFonts w:ascii="仿宋" w:hAnsi="仿宋" w:eastAsia="仿宋" w:cs="仿宋"/>
          <w:spacing w:val="-99"/>
          <w:sz w:val="28"/>
          <w:szCs w:val="28"/>
        </w:rPr>
        <w:t xml:space="preserve"> </w:t>
      </w:r>
      <w:r>
        <w:rPr>
          <w:rFonts w:ascii="仿宋" w:hAnsi="仿宋" w:eastAsia="仿宋" w:cs="仿宋"/>
          <w:spacing w:val="-4"/>
          <w:sz w:val="28"/>
          <w:szCs w:val="28"/>
        </w:rPr>
        <w:t>“十四五”综合枢纽站建设项目规划示意图</w:t>
      </w:r>
    </w:p>
    <w:p w14:paraId="4A21F6C7">
      <w:pPr>
        <w:spacing w:before="190" w:line="216" w:lineRule="auto"/>
        <w:ind w:left="451"/>
        <w:rPr>
          <w:rFonts w:ascii="仿宋" w:hAnsi="仿宋" w:eastAsia="仿宋" w:cs="仿宋"/>
          <w:sz w:val="28"/>
          <w:szCs w:val="28"/>
        </w:rPr>
      </w:pPr>
      <w:r>
        <w:rPr>
          <w:rFonts w:ascii="仿宋" w:hAnsi="仿宋" w:eastAsia="仿宋" w:cs="仿宋"/>
          <w:spacing w:val="-6"/>
          <w:sz w:val="28"/>
          <w:szCs w:val="28"/>
        </w:rPr>
        <w:t>附图</w:t>
      </w:r>
      <w:r>
        <w:rPr>
          <w:rFonts w:ascii="仿宋" w:hAnsi="仿宋" w:eastAsia="仿宋" w:cs="仿宋"/>
          <w:spacing w:val="-45"/>
          <w:sz w:val="28"/>
          <w:szCs w:val="28"/>
        </w:rPr>
        <w:t xml:space="preserve"> </w:t>
      </w:r>
      <w:r>
        <w:rPr>
          <w:rFonts w:ascii="仿宋" w:hAnsi="仿宋" w:eastAsia="仿宋" w:cs="仿宋"/>
          <w:spacing w:val="-6"/>
          <w:sz w:val="28"/>
          <w:szCs w:val="28"/>
        </w:rPr>
        <w:t>7</w:t>
      </w:r>
      <w:r>
        <w:rPr>
          <w:rFonts w:ascii="仿宋" w:hAnsi="仿宋" w:eastAsia="仿宋" w:cs="仿宋"/>
          <w:spacing w:val="23"/>
          <w:sz w:val="28"/>
          <w:szCs w:val="28"/>
        </w:rPr>
        <w:t xml:space="preserve">  </w:t>
      </w:r>
      <w:r>
        <w:rPr>
          <w:rFonts w:ascii="仿宋" w:hAnsi="仿宋" w:eastAsia="仿宋" w:cs="仿宋"/>
          <w:spacing w:val="-6"/>
          <w:sz w:val="28"/>
          <w:szCs w:val="28"/>
        </w:rPr>
        <w:t>曲靖市综合交通体系布局规划图</w:t>
      </w:r>
    </w:p>
    <w:p w14:paraId="6E3749AD">
      <w:pPr>
        <w:spacing w:line="216" w:lineRule="auto"/>
        <w:rPr>
          <w:rFonts w:ascii="仿宋" w:hAnsi="仿宋" w:eastAsia="仿宋" w:cs="仿宋"/>
          <w:sz w:val="28"/>
          <w:szCs w:val="28"/>
        </w:rPr>
        <w:sectPr>
          <w:headerReference r:id="rId11" w:type="default"/>
          <w:footerReference r:id="rId12" w:type="default"/>
          <w:pgSz w:w="11906" w:h="16839"/>
          <w:pgMar w:top="1222" w:right="1133" w:bottom="1096" w:left="1587" w:header="885" w:footer="936" w:gutter="0"/>
          <w:cols w:space="720" w:num="1"/>
        </w:sectPr>
      </w:pPr>
    </w:p>
    <w:p w14:paraId="075AE488">
      <w:pPr>
        <w:pStyle w:val="2"/>
      </w:pPr>
    </w:p>
    <w:p w14:paraId="337659C3">
      <w:pPr>
        <w:sectPr>
          <w:headerReference r:id="rId13" w:type="default"/>
          <w:footerReference r:id="rId14" w:type="default"/>
          <w:pgSz w:w="11906" w:h="16839"/>
          <w:pgMar w:top="0" w:right="0" w:bottom="0" w:left="0" w:header="0" w:footer="0" w:gutter="0"/>
          <w:cols w:space="720" w:num="1"/>
        </w:sectPr>
      </w:pPr>
    </w:p>
    <w:p w14:paraId="035A8553">
      <w:pPr>
        <w:pStyle w:val="2"/>
        <w:spacing w:line="252" w:lineRule="auto"/>
      </w:pPr>
    </w:p>
    <w:p w14:paraId="0EFCEC52">
      <w:pPr>
        <w:spacing w:before="100" w:line="228" w:lineRule="auto"/>
        <w:ind w:left="4123"/>
        <w:outlineLvl w:val="0"/>
        <w:rPr>
          <w:rFonts w:ascii="黑体" w:hAnsi="黑体" w:eastAsia="黑体" w:cs="黑体"/>
          <w:sz w:val="31"/>
          <w:szCs w:val="31"/>
        </w:rPr>
      </w:pPr>
      <w:bookmarkStart w:id="0" w:name="bookmark1"/>
      <w:bookmarkEnd w:id="0"/>
      <w:r>
        <w:rPr>
          <w:rFonts w:ascii="黑体" w:hAnsi="黑体" w:eastAsia="黑体" w:cs="黑体"/>
          <w:b/>
          <w:bCs/>
          <w:spacing w:val="-5"/>
          <w:sz w:val="31"/>
          <w:szCs w:val="31"/>
        </w:rPr>
        <w:t>前</w:t>
      </w:r>
      <w:r>
        <w:rPr>
          <w:rFonts w:ascii="黑体" w:hAnsi="黑体" w:eastAsia="黑体" w:cs="黑体"/>
          <w:spacing w:val="19"/>
          <w:sz w:val="31"/>
          <w:szCs w:val="31"/>
        </w:rPr>
        <w:t xml:space="preserve">  </w:t>
      </w:r>
      <w:r>
        <w:rPr>
          <w:rFonts w:ascii="黑体" w:hAnsi="黑体" w:eastAsia="黑体" w:cs="黑体"/>
          <w:b/>
          <w:bCs/>
          <w:spacing w:val="-5"/>
          <w:sz w:val="31"/>
          <w:szCs w:val="31"/>
        </w:rPr>
        <w:t>言</w:t>
      </w:r>
    </w:p>
    <w:p w14:paraId="1C7B8BD4">
      <w:pPr>
        <w:pStyle w:val="2"/>
        <w:spacing w:line="331" w:lineRule="auto"/>
      </w:pPr>
    </w:p>
    <w:p w14:paraId="1E3A5292">
      <w:pPr>
        <w:spacing w:before="91" w:line="343" w:lineRule="auto"/>
        <w:ind w:right="75" w:firstLine="591"/>
        <w:jc w:val="both"/>
        <w:rPr>
          <w:rFonts w:ascii="仿宋" w:hAnsi="仿宋" w:eastAsia="仿宋" w:cs="仿宋"/>
          <w:sz w:val="28"/>
          <w:szCs w:val="28"/>
        </w:rPr>
      </w:pPr>
      <w:r>
        <w:rPr>
          <w:rFonts w:ascii="仿宋" w:hAnsi="仿宋" w:eastAsia="仿宋" w:cs="仿宋"/>
          <w:spacing w:val="-3"/>
          <w:sz w:val="28"/>
          <w:szCs w:val="28"/>
        </w:rPr>
        <w:t>“十四五”时期是我国开启全面建设社会主义现代化国家新征程、向</w:t>
      </w:r>
      <w:r>
        <w:rPr>
          <w:rFonts w:hint="eastAsia" w:ascii="仿宋" w:hAnsi="仿宋" w:eastAsia="仿宋" w:cs="仿宋"/>
          <w:spacing w:val="-3"/>
          <w:sz w:val="28"/>
          <w:szCs w:val="28"/>
          <w:lang w:eastAsia="zh-CN"/>
        </w:rPr>
        <w:t>第二个百年奋斗目标</w:t>
      </w:r>
      <w:r>
        <w:rPr>
          <w:rFonts w:ascii="仿宋" w:hAnsi="仿宋" w:eastAsia="仿宋" w:cs="仿宋"/>
          <w:spacing w:val="-2"/>
          <w:sz w:val="28"/>
          <w:szCs w:val="28"/>
        </w:rPr>
        <w:t>进军的第一个五年，是全面建设交通强国的开局期，是交</w:t>
      </w:r>
      <w:r>
        <w:rPr>
          <w:rFonts w:ascii="仿宋" w:hAnsi="仿宋" w:eastAsia="仿宋" w:cs="仿宋"/>
          <w:spacing w:val="-3"/>
          <w:sz w:val="28"/>
          <w:szCs w:val="28"/>
        </w:rPr>
        <w:t>通运输由“基本适应”</w:t>
      </w:r>
      <w:r>
        <w:rPr>
          <w:rFonts w:ascii="仿宋" w:hAnsi="仿宋" w:eastAsia="仿宋" w:cs="仿宋"/>
          <w:spacing w:val="-96"/>
          <w:sz w:val="28"/>
          <w:szCs w:val="28"/>
        </w:rPr>
        <w:t xml:space="preserve"> </w:t>
      </w:r>
      <w:r>
        <w:rPr>
          <w:rFonts w:ascii="仿宋" w:hAnsi="仿宋" w:eastAsia="仿宋" w:cs="仿宋"/>
          <w:spacing w:val="-3"/>
          <w:sz w:val="28"/>
          <w:szCs w:val="28"/>
        </w:rPr>
        <w:t>向“提质增效”的转换期，也是贯彻落实习近平总书</w:t>
      </w:r>
      <w:r>
        <w:rPr>
          <w:rFonts w:ascii="仿宋" w:hAnsi="仿宋" w:eastAsia="仿宋" w:cs="仿宋"/>
          <w:spacing w:val="-2"/>
          <w:sz w:val="28"/>
          <w:szCs w:val="28"/>
        </w:rPr>
        <w:t>记提出的把云南建设成为我国面向南亚东南亚辐射中心和省委、省政府提出将曲靖市打造成为“先进制造基地、高端食品基地、城乡融合发展示范区和云南副中心城市”的重要机遇期。曲靖市是全省的交通大市，当前正处于交通基础设施网络完善、运输服务提质升级、从大通道向枢纽节点转型的关键时期，面对新形势、新机遇，新挑战、新任务，为全面推动综合交通运输事业从政治属性向经济属性、市场属性的可持续良性发展，实现交通强市的宏伟目标，继续强有力支撑曲靖市“十四五”经济社会高质量发展，根据《曲</w:t>
      </w:r>
      <w:r>
        <w:rPr>
          <w:rFonts w:ascii="仿宋" w:hAnsi="仿宋" w:eastAsia="仿宋" w:cs="仿宋"/>
          <w:spacing w:val="3"/>
          <w:sz w:val="28"/>
          <w:szCs w:val="28"/>
        </w:rPr>
        <w:t>靖市国民经济和社会发展第十四个五年规划</w:t>
      </w:r>
      <w:r>
        <w:rPr>
          <w:rFonts w:ascii="仿宋" w:hAnsi="仿宋" w:eastAsia="仿宋" w:cs="仿宋"/>
          <w:spacing w:val="2"/>
          <w:sz w:val="28"/>
          <w:szCs w:val="28"/>
        </w:rPr>
        <w:t>和</w:t>
      </w:r>
      <w:r>
        <w:rPr>
          <w:rFonts w:hint="eastAsia" w:ascii="仿宋" w:hAnsi="仿宋" w:eastAsia="仿宋" w:cs="仿宋"/>
          <w:spacing w:val="2"/>
          <w:sz w:val="28"/>
          <w:szCs w:val="28"/>
          <w:lang w:eastAsia="zh-CN"/>
        </w:rPr>
        <w:t>二〇三五年远景目标</w:t>
      </w:r>
      <w:r>
        <w:rPr>
          <w:rFonts w:ascii="仿宋" w:hAnsi="仿宋" w:eastAsia="仿宋" w:cs="仿宋"/>
          <w:spacing w:val="2"/>
          <w:sz w:val="28"/>
          <w:szCs w:val="28"/>
        </w:rPr>
        <w:t>纲要》和</w:t>
      </w:r>
      <w:r>
        <w:rPr>
          <w:rFonts w:ascii="仿宋" w:hAnsi="仿宋" w:eastAsia="仿宋" w:cs="仿宋"/>
          <w:spacing w:val="-2"/>
          <w:sz w:val="28"/>
          <w:szCs w:val="28"/>
        </w:rPr>
        <w:t>《云南省“十四五”综合交通运输发展规划》，以构建现代综合交通运输体系为导向，并以国家《交通强国建设纲要》、《国家综合立体交通网规划纲</w:t>
      </w:r>
      <w:r>
        <w:rPr>
          <w:rFonts w:ascii="仿宋" w:hAnsi="仿宋" w:eastAsia="仿宋" w:cs="仿宋"/>
          <w:spacing w:val="-4"/>
          <w:sz w:val="28"/>
          <w:szCs w:val="28"/>
        </w:rPr>
        <w:t>要》、《</w:t>
      </w:r>
      <w:r>
        <w:rPr>
          <w:rFonts w:ascii="仿宋" w:hAnsi="仿宋" w:eastAsia="仿宋" w:cs="仿宋"/>
          <w:spacing w:val="-60"/>
          <w:sz w:val="28"/>
          <w:szCs w:val="28"/>
        </w:rPr>
        <w:t xml:space="preserve"> </w:t>
      </w:r>
      <w:r>
        <w:rPr>
          <w:rFonts w:ascii="仿宋" w:hAnsi="仿宋" w:eastAsia="仿宋" w:cs="仿宋"/>
          <w:spacing w:val="-4"/>
          <w:sz w:val="28"/>
          <w:szCs w:val="28"/>
        </w:rPr>
        <w:t>“十四五”现代综合交通运输体系发展规划》等相关文件为指导，</w:t>
      </w:r>
      <w:r>
        <w:rPr>
          <w:rFonts w:ascii="仿宋" w:hAnsi="仿宋" w:eastAsia="仿宋" w:cs="仿宋"/>
          <w:spacing w:val="-2"/>
          <w:sz w:val="28"/>
          <w:szCs w:val="28"/>
        </w:rPr>
        <w:t>编制本规划。本规划明确了“十四五”期曲靖市综合交通运输发展的总体思路、发展目标和重点任务，是未来五年推动全市综合交通运输发展的纲领性</w:t>
      </w:r>
      <w:r>
        <w:rPr>
          <w:rFonts w:ascii="仿宋" w:hAnsi="仿宋" w:eastAsia="仿宋" w:cs="仿宋"/>
          <w:sz w:val="28"/>
          <w:szCs w:val="28"/>
        </w:rPr>
        <w:t>文件。</w:t>
      </w:r>
    </w:p>
    <w:p w14:paraId="67CE16A7">
      <w:pPr>
        <w:spacing w:before="2" w:line="344" w:lineRule="auto"/>
        <w:ind w:left="43" w:right="77" w:firstLine="528"/>
        <w:rPr>
          <w:rFonts w:ascii="仿宋" w:hAnsi="仿宋" w:eastAsia="仿宋" w:cs="仿宋"/>
          <w:sz w:val="28"/>
          <w:szCs w:val="28"/>
        </w:rPr>
      </w:pPr>
      <w:r>
        <w:rPr>
          <w:rFonts w:ascii="仿宋" w:hAnsi="仿宋" w:eastAsia="仿宋" w:cs="仿宋"/>
          <w:spacing w:val="-8"/>
          <w:sz w:val="28"/>
          <w:szCs w:val="28"/>
        </w:rPr>
        <w:t>本次规划范围为曲靖市市域范围，包括</w:t>
      </w:r>
      <w:r>
        <w:rPr>
          <w:rFonts w:ascii="仿宋" w:hAnsi="仿宋" w:eastAsia="仿宋" w:cs="仿宋"/>
          <w:spacing w:val="-38"/>
          <w:sz w:val="28"/>
          <w:szCs w:val="28"/>
        </w:rPr>
        <w:t xml:space="preserve"> </w:t>
      </w:r>
      <w:r>
        <w:rPr>
          <w:rFonts w:ascii="仿宋" w:hAnsi="仿宋" w:eastAsia="仿宋" w:cs="仿宋"/>
          <w:spacing w:val="-8"/>
          <w:sz w:val="28"/>
          <w:szCs w:val="28"/>
        </w:rPr>
        <w:t>3 区</w:t>
      </w:r>
      <w:r>
        <w:rPr>
          <w:rFonts w:ascii="仿宋" w:hAnsi="仿宋" w:eastAsia="仿宋" w:cs="仿宋"/>
          <w:spacing w:val="-42"/>
          <w:sz w:val="28"/>
          <w:szCs w:val="28"/>
        </w:rPr>
        <w:t xml:space="preserve"> </w:t>
      </w:r>
      <w:r>
        <w:rPr>
          <w:rFonts w:ascii="仿宋" w:hAnsi="仿宋" w:eastAsia="仿宋" w:cs="仿宋"/>
          <w:spacing w:val="-8"/>
          <w:sz w:val="28"/>
          <w:szCs w:val="28"/>
        </w:rPr>
        <w:t>1</w:t>
      </w:r>
      <w:r>
        <w:rPr>
          <w:rFonts w:ascii="仿宋" w:hAnsi="仿宋" w:eastAsia="仿宋" w:cs="仿宋"/>
          <w:spacing w:val="-46"/>
          <w:sz w:val="28"/>
          <w:szCs w:val="28"/>
        </w:rPr>
        <w:t xml:space="preserve"> </w:t>
      </w:r>
      <w:r>
        <w:rPr>
          <w:rFonts w:ascii="仿宋" w:hAnsi="仿宋" w:eastAsia="仿宋" w:cs="仿宋"/>
          <w:spacing w:val="-8"/>
          <w:sz w:val="28"/>
          <w:szCs w:val="28"/>
        </w:rPr>
        <w:t>市</w:t>
      </w:r>
      <w:r>
        <w:rPr>
          <w:rFonts w:ascii="仿宋" w:hAnsi="仿宋" w:eastAsia="仿宋" w:cs="仿宋"/>
          <w:spacing w:val="-45"/>
          <w:sz w:val="28"/>
          <w:szCs w:val="28"/>
        </w:rPr>
        <w:t xml:space="preserve"> </w:t>
      </w:r>
      <w:r>
        <w:rPr>
          <w:rFonts w:ascii="仿宋" w:hAnsi="仿宋" w:eastAsia="仿宋" w:cs="仿宋"/>
          <w:spacing w:val="-8"/>
          <w:sz w:val="28"/>
          <w:szCs w:val="28"/>
        </w:rPr>
        <w:t>5</w:t>
      </w:r>
      <w:r>
        <w:rPr>
          <w:rFonts w:ascii="仿宋" w:hAnsi="仿宋" w:eastAsia="仿宋" w:cs="仿宋"/>
          <w:spacing w:val="-58"/>
          <w:sz w:val="28"/>
          <w:szCs w:val="28"/>
        </w:rPr>
        <w:t xml:space="preserve"> </w:t>
      </w:r>
      <w:r>
        <w:rPr>
          <w:rFonts w:ascii="仿宋" w:hAnsi="仿宋" w:eastAsia="仿宋" w:cs="仿宋"/>
          <w:spacing w:val="-8"/>
          <w:sz w:val="28"/>
          <w:szCs w:val="28"/>
        </w:rPr>
        <w:t>县；规划期限为</w:t>
      </w:r>
      <w:r>
        <w:rPr>
          <w:rFonts w:ascii="仿宋" w:hAnsi="仿宋" w:eastAsia="仿宋" w:cs="仿宋"/>
          <w:spacing w:val="-9"/>
          <w:sz w:val="28"/>
          <w:szCs w:val="28"/>
        </w:rPr>
        <w:t>“十</w:t>
      </w:r>
      <w:r>
        <w:rPr>
          <w:rFonts w:ascii="仿宋" w:hAnsi="仿宋" w:eastAsia="仿宋" w:cs="仿宋"/>
          <w:spacing w:val="-7"/>
          <w:sz w:val="28"/>
          <w:szCs w:val="28"/>
        </w:rPr>
        <w:t>四五”</w:t>
      </w:r>
      <w:r>
        <w:rPr>
          <w:rFonts w:ascii="仿宋" w:hAnsi="仿宋" w:eastAsia="仿宋" w:cs="仿宋"/>
          <w:spacing w:val="-99"/>
          <w:sz w:val="28"/>
          <w:szCs w:val="28"/>
        </w:rPr>
        <w:t xml:space="preserve"> </w:t>
      </w:r>
      <w:r>
        <w:rPr>
          <w:rFonts w:ascii="仿宋" w:hAnsi="仿宋" w:eastAsia="仿宋" w:cs="仿宋"/>
          <w:spacing w:val="-7"/>
          <w:sz w:val="28"/>
          <w:szCs w:val="28"/>
        </w:rPr>
        <w:t>时期</w:t>
      </w:r>
      <w:r>
        <w:rPr>
          <w:rFonts w:ascii="仿宋" w:hAnsi="仿宋" w:eastAsia="仿宋" w:cs="仿宋"/>
          <w:spacing w:val="-70"/>
          <w:sz w:val="28"/>
          <w:szCs w:val="28"/>
        </w:rPr>
        <w:t xml:space="preserve"> </w:t>
      </w:r>
      <w:r>
        <w:rPr>
          <w:rFonts w:ascii="仿宋" w:hAnsi="仿宋" w:eastAsia="仿宋" w:cs="仿宋"/>
          <w:spacing w:val="-7"/>
          <w:sz w:val="28"/>
          <w:szCs w:val="28"/>
        </w:rPr>
        <w:t>(2021-2025</w:t>
      </w:r>
      <w:r>
        <w:rPr>
          <w:rFonts w:ascii="仿宋" w:hAnsi="仿宋" w:eastAsia="仿宋" w:cs="仿宋"/>
          <w:spacing w:val="-58"/>
          <w:sz w:val="28"/>
          <w:szCs w:val="28"/>
        </w:rPr>
        <w:t xml:space="preserve"> </w:t>
      </w:r>
      <w:r>
        <w:rPr>
          <w:rFonts w:ascii="仿宋" w:hAnsi="仿宋" w:eastAsia="仿宋" w:cs="仿宋"/>
          <w:spacing w:val="-7"/>
          <w:sz w:val="28"/>
          <w:szCs w:val="28"/>
        </w:rPr>
        <w:t>年)，远景展望至</w:t>
      </w:r>
      <w:r>
        <w:rPr>
          <w:rFonts w:ascii="仿宋" w:hAnsi="仿宋" w:eastAsia="仿宋" w:cs="仿宋"/>
          <w:spacing w:val="-48"/>
          <w:sz w:val="28"/>
          <w:szCs w:val="28"/>
        </w:rPr>
        <w:t xml:space="preserve"> </w:t>
      </w:r>
      <w:r>
        <w:rPr>
          <w:rFonts w:ascii="仿宋" w:hAnsi="仿宋" w:eastAsia="仿宋" w:cs="仿宋"/>
          <w:spacing w:val="-7"/>
          <w:sz w:val="28"/>
          <w:szCs w:val="28"/>
        </w:rPr>
        <w:t>2035</w:t>
      </w:r>
      <w:r>
        <w:rPr>
          <w:rFonts w:ascii="仿宋" w:hAnsi="仿宋" w:eastAsia="仿宋" w:cs="仿宋"/>
          <w:spacing w:val="-55"/>
          <w:sz w:val="28"/>
          <w:szCs w:val="28"/>
        </w:rPr>
        <w:t xml:space="preserve"> </w:t>
      </w:r>
      <w:r>
        <w:rPr>
          <w:rFonts w:ascii="仿宋" w:hAnsi="仿宋" w:eastAsia="仿宋" w:cs="仿宋"/>
          <w:spacing w:val="-7"/>
          <w:sz w:val="28"/>
          <w:szCs w:val="28"/>
        </w:rPr>
        <w:t>年。</w:t>
      </w:r>
    </w:p>
    <w:p w14:paraId="49794C34">
      <w:pPr>
        <w:spacing w:line="344" w:lineRule="auto"/>
        <w:rPr>
          <w:rFonts w:ascii="仿宋" w:hAnsi="仿宋" w:eastAsia="仿宋" w:cs="仿宋"/>
          <w:sz w:val="28"/>
          <w:szCs w:val="28"/>
        </w:rPr>
        <w:sectPr>
          <w:headerReference r:id="rId15" w:type="default"/>
          <w:footerReference r:id="rId16" w:type="default"/>
          <w:pgSz w:w="11906" w:h="16839"/>
          <w:pgMar w:top="1222" w:right="1054" w:bottom="1156" w:left="1586" w:header="885" w:footer="920" w:gutter="0"/>
          <w:cols w:space="720" w:num="1"/>
        </w:sectPr>
      </w:pPr>
    </w:p>
    <w:p w14:paraId="7F3D225E">
      <w:pPr>
        <w:pStyle w:val="2"/>
        <w:spacing w:line="252" w:lineRule="auto"/>
      </w:pPr>
    </w:p>
    <w:p w14:paraId="58DBF00E">
      <w:pPr>
        <w:spacing w:before="101" w:line="226" w:lineRule="auto"/>
        <w:ind w:left="657"/>
        <w:outlineLvl w:val="0"/>
        <w:rPr>
          <w:rFonts w:ascii="黑体" w:hAnsi="黑体" w:eastAsia="黑体" w:cs="黑体"/>
          <w:sz w:val="31"/>
          <w:szCs w:val="31"/>
        </w:rPr>
      </w:pPr>
      <w:bookmarkStart w:id="1" w:name="bookmark2"/>
      <w:bookmarkEnd w:id="1"/>
      <w:bookmarkStart w:id="2" w:name="bookmark3"/>
      <w:bookmarkEnd w:id="2"/>
      <w:r>
        <w:rPr>
          <w:rFonts w:ascii="黑体" w:hAnsi="黑体" w:eastAsia="黑体" w:cs="黑体"/>
          <w:b/>
          <w:bCs/>
          <w:spacing w:val="4"/>
          <w:sz w:val="31"/>
          <w:szCs w:val="31"/>
        </w:rPr>
        <w:t>一、发展基础</w:t>
      </w:r>
    </w:p>
    <w:p w14:paraId="465DCB4B">
      <w:pPr>
        <w:pStyle w:val="2"/>
        <w:spacing w:line="266" w:lineRule="auto"/>
      </w:pPr>
    </w:p>
    <w:p w14:paraId="0A371EB3">
      <w:pPr>
        <w:spacing w:before="98" w:line="221" w:lineRule="auto"/>
        <w:ind w:left="635"/>
        <w:outlineLvl w:val="1"/>
        <w:rPr>
          <w:rFonts w:ascii="黑体" w:hAnsi="黑体" w:eastAsia="黑体" w:cs="黑体"/>
          <w:sz w:val="30"/>
          <w:szCs w:val="30"/>
        </w:rPr>
      </w:pPr>
      <w:bookmarkStart w:id="3" w:name="bookmark60"/>
      <w:bookmarkEnd w:id="3"/>
      <w:r>
        <w:rPr>
          <w:rFonts w:ascii="黑体" w:hAnsi="黑体" w:eastAsia="黑体" w:cs="黑体"/>
          <w:spacing w:val="-6"/>
          <w:sz w:val="30"/>
          <w:szCs w:val="30"/>
        </w:rPr>
        <w:t>（一）发展成就</w:t>
      </w:r>
    </w:p>
    <w:p w14:paraId="5A85532F">
      <w:pPr>
        <w:spacing w:before="291" w:line="343" w:lineRule="auto"/>
        <w:ind w:left="9" w:firstLine="595"/>
        <w:jc w:val="both"/>
        <w:rPr>
          <w:rFonts w:ascii="仿宋" w:hAnsi="仿宋" w:eastAsia="仿宋" w:cs="仿宋"/>
          <w:sz w:val="28"/>
          <w:szCs w:val="28"/>
        </w:rPr>
      </w:pPr>
      <w:r>
        <w:rPr>
          <w:rFonts w:ascii="仿宋" w:hAnsi="仿宋" w:eastAsia="仿宋" w:cs="仿宋"/>
          <w:spacing w:val="6"/>
          <w:sz w:val="28"/>
          <w:szCs w:val="28"/>
        </w:rPr>
        <w:t>“十三五”期间，在省委、省政府的坚强领导和深切</w:t>
      </w:r>
      <w:r>
        <w:rPr>
          <w:rFonts w:ascii="仿宋" w:hAnsi="仿宋" w:eastAsia="仿宋" w:cs="仿宋"/>
          <w:spacing w:val="5"/>
          <w:sz w:val="28"/>
          <w:szCs w:val="28"/>
        </w:rPr>
        <w:t>关怀下，在省交</w:t>
      </w:r>
      <w:r>
        <w:rPr>
          <w:rFonts w:ascii="仿宋" w:hAnsi="仿宋" w:eastAsia="仿宋" w:cs="仿宋"/>
          <w:spacing w:val="6"/>
          <w:sz w:val="28"/>
          <w:szCs w:val="28"/>
        </w:rPr>
        <w:t>通运输厅的大力支持和</w:t>
      </w:r>
      <w:r>
        <w:rPr>
          <w:rFonts w:hint="eastAsia" w:ascii="仿宋" w:hAnsi="仿宋" w:eastAsia="仿宋" w:cs="仿宋"/>
          <w:spacing w:val="6"/>
          <w:sz w:val="28"/>
          <w:szCs w:val="28"/>
          <w:lang w:eastAsia="zh-CN"/>
        </w:rPr>
        <w:t>市委、市政府</w:t>
      </w:r>
      <w:r>
        <w:rPr>
          <w:rFonts w:ascii="仿宋" w:hAnsi="仿宋" w:eastAsia="仿宋" w:cs="仿宋"/>
          <w:spacing w:val="6"/>
          <w:sz w:val="28"/>
          <w:szCs w:val="28"/>
        </w:rPr>
        <w:t>的正确领导下，曲靖市交通运输工作在基础设施建设、运输服务、智慧交通、安全保障、绿色交通及行业治</w:t>
      </w:r>
      <w:r>
        <w:rPr>
          <w:rFonts w:ascii="仿宋" w:hAnsi="仿宋" w:eastAsia="仿宋" w:cs="仿宋"/>
          <w:spacing w:val="4"/>
          <w:sz w:val="28"/>
          <w:szCs w:val="28"/>
        </w:rPr>
        <w:t>理等方面取得了显著成就，</w:t>
      </w:r>
      <w:r>
        <w:rPr>
          <w:rFonts w:ascii="仿宋" w:hAnsi="仿宋" w:eastAsia="仿宋" w:cs="仿宋"/>
          <w:spacing w:val="-90"/>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十三五”成为交通运输投资规模最大、发展</w:t>
      </w:r>
      <w:r>
        <w:rPr>
          <w:rFonts w:ascii="仿宋" w:hAnsi="仿宋" w:eastAsia="仿宋" w:cs="仿宋"/>
          <w:spacing w:val="10"/>
          <w:sz w:val="28"/>
          <w:szCs w:val="28"/>
        </w:rPr>
        <w:t>速度最快、人民获益最多的五年，综合交通运输发展实现从</w:t>
      </w:r>
      <w:r>
        <w:rPr>
          <w:rFonts w:ascii="仿宋" w:hAnsi="仿宋" w:eastAsia="仿宋" w:cs="仿宋"/>
          <w:spacing w:val="-83"/>
          <w:sz w:val="28"/>
          <w:szCs w:val="28"/>
        </w:rPr>
        <w:t xml:space="preserve"> </w:t>
      </w:r>
      <w:r>
        <w:rPr>
          <w:rFonts w:ascii="仿宋" w:hAnsi="仿宋" w:eastAsia="仿宋" w:cs="仿宋"/>
          <w:spacing w:val="10"/>
          <w:sz w:val="28"/>
          <w:szCs w:val="28"/>
        </w:rPr>
        <w:t>“基本缓解”</w:t>
      </w:r>
      <w:r>
        <w:rPr>
          <w:rFonts w:ascii="仿宋" w:hAnsi="仿宋" w:eastAsia="仿宋" w:cs="仿宋"/>
          <w:spacing w:val="3"/>
          <w:sz w:val="28"/>
          <w:szCs w:val="28"/>
        </w:rPr>
        <w:t>到</w:t>
      </w:r>
      <w:r>
        <w:rPr>
          <w:rFonts w:ascii="仿宋" w:hAnsi="仿宋" w:eastAsia="仿宋" w:cs="仿宋"/>
          <w:spacing w:val="-85"/>
          <w:sz w:val="28"/>
          <w:szCs w:val="28"/>
        </w:rPr>
        <w:t xml:space="preserve"> </w:t>
      </w:r>
      <w:r>
        <w:rPr>
          <w:rFonts w:ascii="仿宋" w:hAnsi="仿宋" w:eastAsia="仿宋" w:cs="仿宋"/>
          <w:spacing w:val="3"/>
          <w:sz w:val="28"/>
          <w:szCs w:val="28"/>
        </w:rPr>
        <w:t>“基本适应”的重大转变，初步形成了以麒沾马中心城市为中枢、</w:t>
      </w:r>
      <w:r>
        <w:rPr>
          <w:rFonts w:ascii="仿宋" w:hAnsi="仿宋" w:eastAsia="仿宋" w:cs="仿宋"/>
          <w:spacing w:val="-83"/>
          <w:sz w:val="28"/>
          <w:szCs w:val="28"/>
        </w:rPr>
        <w:t xml:space="preserve"> </w:t>
      </w:r>
      <w:r>
        <w:rPr>
          <w:rFonts w:ascii="仿宋" w:hAnsi="仿宋" w:eastAsia="仿宋" w:cs="仿宋"/>
          <w:spacing w:val="3"/>
          <w:sz w:val="28"/>
          <w:szCs w:val="28"/>
        </w:rPr>
        <w:t>以铁</w:t>
      </w:r>
      <w:r>
        <w:rPr>
          <w:rFonts w:ascii="仿宋" w:hAnsi="仿宋" w:eastAsia="仿宋" w:cs="仿宋"/>
          <w:spacing w:val="6"/>
          <w:sz w:val="28"/>
          <w:szCs w:val="28"/>
        </w:rPr>
        <w:t>路和高速公路为骨架、以普通国省道为干线、以农村公路为脉络、以水路</w:t>
      </w:r>
      <w:r>
        <w:rPr>
          <w:rFonts w:ascii="仿宋" w:hAnsi="仿宋" w:eastAsia="仿宋" w:cs="仿宋"/>
          <w:spacing w:val="1"/>
          <w:sz w:val="28"/>
          <w:szCs w:val="28"/>
        </w:rPr>
        <w:t>运输为补充的综合交通运输体系。截至</w:t>
      </w:r>
      <w:r>
        <w:rPr>
          <w:rFonts w:ascii="仿宋" w:hAnsi="仿宋" w:eastAsia="仿宋" w:cs="仿宋"/>
          <w:spacing w:val="-39"/>
          <w:sz w:val="28"/>
          <w:szCs w:val="28"/>
        </w:rPr>
        <w:t xml:space="preserve"> </w:t>
      </w:r>
      <w:r>
        <w:rPr>
          <w:rFonts w:ascii="仿宋" w:hAnsi="仿宋" w:eastAsia="仿宋" w:cs="仿宋"/>
          <w:spacing w:val="1"/>
          <w:sz w:val="28"/>
          <w:szCs w:val="28"/>
        </w:rPr>
        <w:t>2020</w:t>
      </w:r>
      <w:r>
        <w:rPr>
          <w:rFonts w:ascii="仿宋" w:hAnsi="仿宋" w:eastAsia="仿宋" w:cs="仿宋"/>
          <w:spacing w:val="-48"/>
          <w:sz w:val="28"/>
          <w:szCs w:val="28"/>
        </w:rPr>
        <w:t xml:space="preserve"> </w:t>
      </w:r>
      <w:r>
        <w:rPr>
          <w:rFonts w:ascii="仿宋" w:hAnsi="仿宋" w:eastAsia="仿宋" w:cs="仿宋"/>
          <w:spacing w:val="1"/>
          <w:sz w:val="28"/>
          <w:szCs w:val="28"/>
        </w:rPr>
        <w:t>年</w:t>
      </w:r>
      <w:r>
        <w:rPr>
          <w:rFonts w:ascii="仿宋" w:hAnsi="仿宋" w:eastAsia="仿宋" w:cs="仿宋"/>
          <w:sz w:val="28"/>
          <w:szCs w:val="28"/>
        </w:rPr>
        <w:t>底，全市综合交通实体线网</w:t>
      </w:r>
      <w:r>
        <w:rPr>
          <w:rFonts w:ascii="仿宋" w:hAnsi="仿宋" w:eastAsia="仿宋" w:cs="仿宋"/>
          <w:spacing w:val="5"/>
          <w:sz w:val="28"/>
          <w:szCs w:val="28"/>
        </w:rPr>
        <w:t>总里程达</w:t>
      </w:r>
      <w:r>
        <w:rPr>
          <w:rFonts w:ascii="仿宋" w:hAnsi="仿宋" w:eastAsia="仿宋" w:cs="仿宋"/>
          <w:spacing w:val="-39"/>
          <w:sz w:val="28"/>
          <w:szCs w:val="28"/>
        </w:rPr>
        <w:t xml:space="preserve"> </w:t>
      </w:r>
      <w:r>
        <w:rPr>
          <w:rFonts w:ascii="仿宋" w:hAnsi="仿宋" w:eastAsia="仿宋" w:cs="仿宋"/>
          <w:spacing w:val="5"/>
          <w:sz w:val="28"/>
          <w:szCs w:val="28"/>
        </w:rPr>
        <w:t>28833</w:t>
      </w:r>
      <w:r>
        <w:rPr>
          <w:rFonts w:ascii="仿宋" w:hAnsi="仿宋" w:eastAsia="仿宋" w:cs="仿宋"/>
          <w:spacing w:val="-52"/>
          <w:sz w:val="28"/>
          <w:szCs w:val="28"/>
        </w:rPr>
        <w:t xml:space="preserve"> </w:t>
      </w:r>
      <w:r>
        <w:rPr>
          <w:rFonts w:ascii="仿宋" w:hAnsi="仿宋" w:eastAsia="仿宋" w:cs="仿宋"/>
          <w:spacing w:val="5"/>
          <w:sz w:val="28"/>
          <w:szCs w:val="28"/>
        </w:rPr>
        <w:t>公里，综合运输能力明显提升，</w:t>
      </w:r>
      <w:r>
        <w:rPr>
          <w:rFonts w:ascii="仿宋" w:hAnsi="仿宋" w:eastAsia="仿宋" w:cs="仿宋"/>
          <w:spacing w:val="4"/>
          <w:sz w:val="28"/>
          <w:szCs w:val="28"/>
        </w:rPr>
        <w:t>为曲靖市的经济社会发展</w:t>
      </w:r>
      <w:r>
        <w:rPr>
          <w:rFonts w:ascii="仿宋" w:hAnsi="仿宋" w:eastAsia="仿宋" w:cs="仿宋"/>
          <w:spacing w:val="3"/>
          <w:sz w:val="28"/>
          <w:szCs w:val="28"/>
        </w:rPr>
        <w:t>奠定了基础。</w:t>
      </w:r>
    </w:p>
    <w:p w14:paraId="77CF9B4A">
      <w:pPr>
        <w:spacing w:before="62" w:line="222" w:lineRule="auto"/>
        <w:ind w:left="585"/>
        <w:outlineLvl w:val="2"/>
        <w:rPr>
          <w:rFonts w:ascii="黑体" w:hAnsi="黑体" w:eastAsia="黑体" w:cs="黑体"/>
          <w:sz w:val="28"/>
          <w:szCs w:val="28"/>
        </w:rPr>
      </w:pPr>
      <w:bookmarkStart w:id="4" w:name="bookmark61"/>
      <w:bookmarkEnd w:id="4"/>
      <w:r>
        <w:rPr>
          <w:rFonts w:ascii="黑体" w:hAnsi="黑体" w:eastAsia="黑体" w:cs="黑体"/>
          <w:spacing w:val="-2"/>
          <w:sz w:val="28"/>
          <w:szCs w:val="28"/>
        </w:rPr>
        <w:t>1. 设施网络建设成绩显著</w:t>
      </w:r>
    </w:p>
    <w:p w14:paraId="19497A77">
      <w:pPr>
        <w:spacing w:before="296" w:line="217" w:lineRule="auto"/>
        <w:ind w:left="505"/>
        <w:outlineLvl w:val="3"/>
        <w:rPr>
          <w:rFonts w:ascii="仿宋" w:hAnsi="仿宋" w:eastAsia="仿宋" w:cs="仿宋"/>
          <w:sz w:val="28"/>
          <w:szCs w:val="28"/>
        </w:rPr>
      </w:pPr>
      <w:bookmarkStart w:id="5" w:name="bookmark4"/>
      <w:bookmarkEnd w:id="5"/>
      <w:r>
        <w:rPr>
          <w:rFonts w:ascii="仿宋" w:hAnsi="仿宋" w:eastAsia="仿宋" w:cs="仿宋"/>
          <w:b/>
          <w:bCs/>
          <w:spacing w:val="-6"/>
          <w:sz w:val="28"/>
          <w:szCs w:val="28"/>
        </w:rPr>
        <w:t>（</w:t>
      </w:r>
      <w:r>
        <w:rPr>
          <w:rFonts w:ascii="仿宋" w:hAnsi="仿宋" w:eastAsia="仿宋" w:cs="仿宋"/>
          <w:spacing w:val="-59"/>
          <w:sz w:val="28"/>
          <w:szCs w:val="28"/>
        </w:rPr>
        <w:t xml:space="preserve"> </w:t>
      </w:r>
      <w:r>
        <w:rPr>
          <w:rFonts w:ascii="仿宋" w:hAnsi="仿宋" w:eastAsia="仿宋" w:cs="仿宋"/>
          <w:b/>
          <w:bCs/>
          <w:spacing w:val="-6"/>
          <w:sz w:val="28"/>
          <w:szCs w:val="28"/>
        </w:rPr>
        <w:t>1）公路建设成效显著，骨架网络初显雏形</w:t>
      </w:r>
    </w:p>
    <w:p w14:paraId="7F72A309">
      <w:pPr>
        <w:spacing w:before="306" w:line="343" w:lineRule="auto"/>
        <w:ind w:left="6" w:right="77" w:firstLine="598"/>
        <w:jc w:val="both"/>
        <w:rPr>
          <w:rFonts w:ascii="仿宋" w:hAnsi="仿宋" w:eastAsia="仿宋" w:cs="仿宋"/>
          <w:sz w:val="28"/>
          <w:szCs w:val="28"/>
        </w:rPr>
      </w:pPr>
      <w:r>
        <w:rPr>
          <w:rFonts w:ascii="仿宋" w:hAnsi="仿宋" w:eastAsia="仿宋" w:cs="仿宋"/>
          <w:spacing w:val="3"/>
          <w:sz w:val="28"/>
          <w:szCs w:val="28"/>
        </w:rPr>
        <w:t>“十三五”期间，公路交通固定资产累计完成投资</w:t>
      </w:r>
      <w:r>
        <w:rPr>
          <w:rFonts w:ascii="仿宋" w:hAnsi="仿宋" w:eastAsia="仿宋" w:cs="仿宋"/>
          <w:spacing w:val="-22"/>
          <w:sz w:val="28"/>
          <w:szCs w:val="28"/>
        </w:rPr>
        <w:t xml:space="preserve"> </w:t>
      </w:r>
      <w:r>
        <w:rPr>
          <w:rFonts w:ascii="仿宋" w:hAnsi="仿宋" w:eastAsia="仿宋" w:cs="仿宋"/>
          <w:spacing w:val="3"/>
          <w:sz w:val="28"/>
          <w:szCs w:val="28"/>
        </w:rPr>
        <w:t>991.7</w:t>
      </w:r>
      <w:r>
        <w:rPr>
          <w:rFonts w:ascii="仿宋" w:hAnsi="仿宋" w:eastAsia="仿宋" w:cs="仿宋"/>
          <w:spacing w:val="-41"/>
          <w:sz w:val="28"/>
          <w:szCs w:val="28"/>
        </w:rPr>
        <w:t xml:space="preserve"> </w:t>
      </w:r>
      <w:r>
        <w:rPr>
          <w:rFonts w:ascii="仿宋" w:hAnsi="仿宋" w:eastAsia="仿宋" w:cs="仿宋"/>
          <w:spacing w:val="3"/>
          <w:sz w:val="28"/>
          <w:szCs w:val="28"/>
        </w:rPr>
        <w:t>亿元，其中</w:t>
      </w:r>
      <w:r>
        <w:rPr>
          <w:rFonts w:ascii="仿宋" w:hAnsi="仿宋" w:eastAsia="仿宋" w:cs="仿宋"/>
          <w:spacing w:val="6"/>
          <w:sz w:val="28"/>
          <w:szCs w:val="28"/>
        </w:rPr>
        <w:t>高速公路累计完成投资</w:t>
      </w:r>
      <w:r>
        <w:rPr>
          <w:rFonts w:ascii="仿宋" w:hAnsi="仿宋" w:eastAsia="仿宋" w:cs="仿宋"/>
          <w:spacing w:val="-32"/>
          <w:sz w:val="28"/>
          <w:szCs w:val="28"/>
        </w:rPr>
        <w:t xml:space="preserve"> </w:t>
      </w:r>
      <w:r>
        <w:rPr>
          <w:rFonts w:ascii="仿宋" w:hAnsi="仿宋" w:eastAsia="仿宋" w:cs="仿宋"/>
          <w:spacing w:val="6"/>
          <w:sz w:val="28"/>
          <w:szCs w:val="28"/>
        </w:rPr>
        <w:t>737.47</w:t>
      </w:r>
      <w:r>
        <w:rPr>
          <w:rFonts w:ascii="仿宋" w:hAnsi="仿宋" w:eastAsia="仿宋" w:cs="仿宋"/>
          <w:spacing w:val="-39"/>
          <w:sz w:val="28"/>
          <w:szCs w:val="28"/>
        </w:rPr>
        <w:t xml:space="preserve"> </w:t>
      </w:r>
      <w:r>
        <w:rPr>
          <w:rFonts w:ascii="仿宋" w:hAnsi="仿宋" w:eastAsia="仿宋" w:cs="仿宋"/>
          <w:spacing w:val="6"/>
          <w:sz w:val="28"/>
          <w:szCs w:val="28"/>
        </w:rPr>
        <w:t>亿元、普通国省道累计完成投资</w:t>
      </w:r>
      <w:r>
        <w:rPr>
          <w:rFonts w:ascii="仿宋" w:hAnsi="仿宋" w:eastAsia="仿宋" w:cs="仿宋"/>
          <w:spacing w:val="-37"/>
          <w:sz w:val="28"/>
          <w:szCs w:val="28"/>
        </w:rPr>
        <w:t xml:space="preserve"> </w:t>
      </w:r>
      <w:r>
        <w:rPr>
          <w:rFonts w:ascii="仿宋" w:hAnsi="仿宋" w:eastAsia="仿宋" w:cs="仿宋"/>
          <w:spacing w:val="6"/>
          <w:sz w:val="28"/>
          <w:szCs w:val="28"/>
        </w:rPr>
        <w:t>21.82</w:t>
      </w:r>
      <w:r>
        <w:rPr>
          <w:rFonts w:ascii="仿宋" w:hAnsi="仿宋" w:eastAsia="仿宋" w:cs="仿宋"/>
          <w:spacing w:val="-39"/>
          <w:sz w:val="28"/>
          <w:szCs w:val="28"/>
        </w:rPr>
        <w:t xml:space="preserve"> </w:t>
      </w:r>
      <w:r>
        <w:rPr>
          <w:rFonts w:ascii="仿宋" w:hAnsi="仿宋" w:eastAsia="仿宋" w:cs="仿宋"/>
          <w:spacing w:val="6"/>
          <w:sz w:val="28"/>
          <w:szCs w:val="28"/>
        </w:rPr>
        <w:t>亿元、农村公路累计完成投资</w:t>
      </w:r>
      <w:r>
        <w:rPr>
          <w:rFonts w:ascii="仿宋" w:hAnsi="仿宋" w:eastAsia="仿宋" w:cs="仿宋"/>
          <w:spacing w:val="-36"/>
          <w:sz w:val="28"/>
          <w:szCs w:val="28"/>
        </w:rPr>
        <w:t xml:space="preserve"> </w:t>
      </w:r>
      <w:r>
        <w:rPr>
          <w:rFonts w:ascii="仿宋" w:hAnsi="仿宋" w:eastAsia="仿宋" w:cs="仿宋"/>
          <w:spacing w:val="6"/>
          <w:sz w:val="28"/>
          <w:szCs w:val="28"/>
        </w:rPr>
        <w:t>232.41</w:t>
      </w:r>
      <w:r>
        <w:rPr>
          <w:rFonts w:ascii="仿宋" w:hAnsi="仿宋" w:eastAsia="仿宋" w:cs="仿宋"/>
          <w:spacing w:val="-39"/>
          <w:sz w:val="28"/>
          <w:szCs w:val="28"/>
        </w:rPr>
        <w:t xml:space="preserve"> </w:t>
      </w:r>
      <w:r>
        <w:rPr>
          <w:rFonts w:ascii="仿宋" w:hAnsi="仿宋" w:eastAsia="仿宋" w:cs="仿宋"/>
          <w:spacing w:val="6"/>
          <w:sz w:val="28"/>
          <w:szCs w:val="28"/>
        </w:rPr>
        <w:t>亿元，年均完成投资较</w:t>
      </w:r>
      <w:r>
        <w:rPr>
          <w:rFonts w:ascii="仿宋" w:hAnsi="仿宋" w:eastAsia="仿宋" w:cs="仿宋"/>
          <w:spacing w:val="-87"/>
          <w:sz w:val="28"/>
          <w:szCs w:val="28"/>
        </w:rPr>
        <w:t xml:space="preserve"> </w:t>
      </w:r>
      <w:r>
        <w:rPr>
          <w:rFonts w:ascii="仿宋" w:hAnsi="仿宋" w:eastAsia="仿宋" w:cs="仿宋"/>
          <w:spacing w:val="6"/>
          <w:sz w:val="28"/>
          <w:szCs w:val="28"/>
        </w:rPr>
        <w:t>“</w:t>
      </w:r>
      <w:r>
        <w:rPr>
          <w:rFonts w:ascii="仿宋" w:hAnsi="仿宋" w:eastAsia="仿宋" w:cs="仿宋"/>
          <w:spacing w:val="-108"/>
          <w:sz w:val="28"/>
          <w:szCs w:val="28"/>
        </w:rPr>
        <w:t xml:space="preserve"> </w:t>
      </w:r>
      <w:r>
        <w:rPr>
          <w:rFonts w:ascii="仿宋" w:hAnsi="仿宋" w:eastAsia="仿宋" w:cs="仿宋"/>
          <w:spacing w:val="6"/>
          <w:sz w:val="28"/>
          <w:szCs w:val="28"/>
        </w:rPr>
        <w:t>十二</w:t>
      </w:r>
      <w:r>
        <w:rPr>
          <w:rFonts w:ascii="仿宋" w:hAnsi="仿宋" w:eastAsia="仿宋" w:cs="仿宋"/>
          <w:spacing w:val="5"/>
          <w:sz w:val="28"/>
          <w:szCs w:val="28"/>
        </w:rPr>
        <w:t>五”末</w:t>
      </w:r>
      <w:r>
        <w:rPr>
          <w:rFonts w:ascii="仿宋" w:hAnsi="仿宋" w:eastAsia="仿宋" w:cs="仿宋"/>
          <w:spacing w:val="2"/>
          <w:sz w:val="28"/>
          <w:szCs w:val="28"/>
        </w:rPr>
        <w:t>增长了</w:t>
      </w:r>
      <w:r>
        <w:rPr>
          <w:rFonts w:ascii="仿宋" w:hAnsi="仿宋" w:eastAsia="仿宋" w:cs="仿宋"/>
          <w:spacing w:val="-36"/>
          <w:sz w:val="28"/>
          <w:szCs w:val="28"/>
        </w:rPr>
        <w:t xml:space="preserve"> </w:t>
      </w:r>
      <w:r>
        <w:rPr>
          <w:rFonts w:ascii="仿宋" w:hAnsi="仿宋" w:eastAsia="仿宋" w:cs="仿宋"/>
          <w:spacing w:val="2"/>
          <w:sz w:val="28"/>
          <w:szCs w:val="28"/>
        </w:rPr>
        <w:t>50.5%，成为扩内需和稳增长的主力。全市</w:t>
      </w:r>
      <w:r>
        <w:rPr>
          <w:rFonts w:ascii="仿宋" w:hAnsi="仿宋" w:eastAsia="仿宋" w:cs="仿宋"/>
          <w:spacing w:val="1"/>
          <w:sz w:val="28"/>
          <w:szCs w:val="28"/>
        </w:rPr>
        <w:t>在宣普高速、宣曲高速、</w:t>
      </w:r>
      <w:r>
        <w:rPr>
          <w:rFonts w:ascii="仿宋" w:hAnsi="仿宋" w:eastAsia="仿宋" w:cs="仿宋"/>
          <w:spacing w:val="7"/>
          <w:sz w:val="28"/>
          <w:szCs w:val="28"/>
        </w:rPr>
        <w:t>沾会高速、江召高速、曲靖东过境高速等建</w:t>
      </w:r>
      <w:r>
        <w:rPr>
          <w:rFonts w:ascii="仿宋" w:hAnsi="仿宋" w:eastAsia="仿宋" w:cs="仿宋"/>
          <w:spacing w:val="6"/>
          <w:sz w:val="28"/>
          <w:szCs w:val="28"/>
        </w:rPr>
        <w:t>成通车基础上，全力推动沾益</w:t>
      </w:r>
      <w:r>
        <w:rPr>
          <w:rFonts w:ascii="仿宋" w:hAnsi="仿宋" w:eastAsia="仿宋" w:cs="仿宋"/>
          <w:spacing w:val="7"/>
          <w:sz w:val="28"/>
          <w:szCs w:val="28"/>
        </w:rPr>
        <w:t>至寻甸、三宝至清水、召夸至泸西、曲靖至泸西、</w:t>
      </w:r>
      <w:r>
        <w:rPr>
          <w:rFonts w:ascii="仿宋" w:hAnsi="仿宋" w:eastAsia="仿宋" w:cs="仿宋"/>
          <w:spacing w:val="6"/>
          <w:sz w:val="28"/>
          <w:szCs w:val="28"/>
        </w:rPr>
        <w:t>罗平至西林、威宁至宣</w:t>
      </w:r>
      <w:r>
        <w:rPr>
          <w:rFonts w:ascii="仿宋" w:hAnsi="仿宋" w:eastAsia="仿宋" w:cs="仿宋"/>
          <w:spacing w:val="7"/>
          <w:sz w:val="28"/>
          <w:szCs w:val="28"/>
        </w:rPr>
        <w:t>威等多条高速公路项目建设，加快推进普通</w:t>
      </w:r>
      <w:r>
        <w:rPr>
          <w:rFonts w:ascii="仿宋" w:hAnsi="仿宋" w:eastAsia="仿宋" w:cs="仿宋"/>
          <w:spacing w:val="6"/>
          <w:sz w:val="28"/>
          <w:szCs w:val="28"/>
        </w:rPr>
        <w:t>国省道和农村公路建设，取得</w:t>
      </w:r>
      <w:r>
        <w:rPr>
          <w:rFonts w:ascii="仿宋" w:hAnsi="仿宋" w:eastAsia="仿宋" w:cs="仿宋"/>
          <w:spacing w:val="3"/>
          <w:sz w:val="28"/>
          <w:szCs w:val="28"/>
        </w:rPr>
        <w:t>了显著成效。2017</w:t>
      </w:r>
      <w:r>
        <w:rPr>
          <w:rFonts w:ascii="仿宋" w:hAnsi="仿宋" w:eastAsia="仿宋" w:cs="仿宋"/>
          <w:spacing w:val="-31"/>
          <w:sz w:val="28"/>
          <w:szCs w:val="28"/>
        </w:rPr>
        <w:t xml:space="preserve"> </w:t>
      </w:r>
      <w:r>
        <w:rPr>
          <w:rFonts w:ascii="仿宋" w:hAnsi="仿宋" w:eastAsia="仿宋" w:cs="仿宋"/>
          <w:spacing w:val="3"/>
          <w:sz w:val="28"/>
          <w:szCs w:val="28"/>
        </w:rPr>
        <w:t>年在全省率先实现“县县通高速”、所有建制村通硬化</w:t>
      </w:r>
      <w:r>
        <w:rPr>
          <w:rFonts w:ascii="仿宋" w:hAnsi="仿宋" w:eastAsia="仿宋" w:cs="仿宋"/>
          <w:spacing w:val="7"/>
          <w:sz w:val="28"/>
          <w:szCs w:val="28"/>
        </w:rPr>
        <w:t>路的目标，成为全省标杆；全力开展曲靖东</w:t>
      </w:r>
      <w:r>
        <w:rPr>
          <w:rFonts w:ascii="仿宋" w:hAnsi="仿宋" w:eastAsia="仿宋" w:cs="仿宋"/>
          <w:spacing w:val="6"/>
          <w:sz w:val="28"/>
          <w:szCs w:val="28"/>
        </w:rPr>
        <w:t>过境、三宝至清水、召夸至泸</w:t>
      </w:r>
      <w:r>
        <w:rPr>
          <w:rFonts w:ascii="仿宋" w:hAnsi="仿宋" w:eastAsia="仿宋" w:cs="仿宋"/>
          <w:spacing w:val="2"/>
          <w:sz w:val="28"/>
          <w:szCs w:val="28"/>
        </w:rPr>
        <w:t>西</w:t>
      </w:r>
      <w:r>
        <w:rPr>
          <w:rFonts w:ascii="仿宋" w:hAnsi="仿宋" w:eastAsia="仿宋" w:cs="仿宋"/>
          <w:spacing w:val="-29"/>
          <w:sz w:val="28"/>
          <w:szCs w:val="28"/>
        </w:rPr>
        <w:t xml:space="preserve"> </w:t>
      </w:r>
      <w:r>
        <w:rPr>
          <w:rFonts w:ascii="仿宋" w:hAnsi="仿宋" w:eastAsia="仿宋" w:cs="仿宋"/>
          <w:spacing w:val="2"/>
          <w:sz w:val="28"/>
          <w:szCs w:val="28"/>
        </w:rPr>
        <w:t>3</w:t>
      </w:r>
      <w:r>
        <w:rPr>
          <w:rFonts w:ascii="仿宋" w:hAnsi="仿宋" w:eastAsia="仿宋" w:cs="仿宋"/>
          <w:spacing w:val="-50"/>
          <w:sz w:val="28"/>
          <w:szCs w:val="28"/>
        </w:rPr>
        <w:t xml:space="preserve"> </w:t>
      </w:r>
      <w:r>
        <w:rPr>
          <w:rFonts w:ascii="仿宋" w:hAnsi="仿宋" w:eastAsia="仿宋" w:cs="仿宋"/>
          <w:spacing w:val="2"/>
          <w:sz w:val="28"/>
          <w:szCs w:val="28"/>
        </w:rPr>
        <w:t>条高速公路项目</w:t>
      </w:r>
      <w:r>
        <w:rPr>
          <w:rFonts w:ascii="仿宋" w:hAnsi="仿宋" w:eastAsia="仿宋" w:cs="仿宋"/>
          <w:spacing w:val="-97"/>
          <w:sz w:val="28"/>
          <w:szCs w:val="28"/>
        </w:rPr>
        <w:t xml:space="preserve"> </w:t>
      </w:r>
      <w:r>
        <w:rPr>
          <w:rFonts w:ascii="仿宋" w:hAnsi="仿宋" w:eastAsia="仿宋" w:cs="仿宋"/>
          <w:spacing w:val="2"/>
          <w:sz w:val="28"/>
          <w:szCs w:val="28"/>
        </w:rPr>
        <w:t>“</w:t>
      </w:r>
      <w:r>
        <w:rPr>
          <w:rFonts w:ascii="仿宋" w:hAnsi="仿宋" w:eastAsia="仿宋" w:cs="仿宋"/>
          <w:spacing w:val="-89"/>
          <w:sz w:val="28"/>
          <w:szCs w:val="28"/>
        </w:rPr>
        <w:t xml:space="preserve"> </w:t>
      </w:r>
      <w:r>
        <w:rPr>
          <w:rFonts w:ascii="仿宋" w:hAnsi="仿宋" w:eastAsia="仿宋" w:cs="仿宋"/>
          <w:spacing w:val="2"/>
          <w:sz w:val="28"/>
          <w:szCs w:val="28"/>
        </w:rPr>
        <w:t>品质工程”示范创建工作，取得</w:t>
      </w:r>
      <w:r>
        <w:rPr>
          <w:rFonts w:ascii="仿宋" w:hAnsi="仿宋" w:eastAsia="仿宋" w:cs="仿宋"/>
          <w:spacing w:val="1"/>
          <w:sz w:val="28"/>
          <w:szCs w:val="28"/>
        </w:rPr>
        <w:t>了阶段性成果；完</w:t>
      </w:r>
      <w:r>
        <w:rPr>
          <w:rFonts w:ascii="仿宋" w:hAnsi="仿宋" w:eastAsia="仿宋" w:cs="仿宋"/>
          <w:spacing w:val="5"/>
          <w:sz w:val="28"/>
          <w:szCs w:val="28"/>
        </w:rPr>
        <w:t>成普通国省道干线一、二级公路中心服务区提升改造</w:t>
      </w:r>
      <w:r>
        <w:rPr>
          <w:rFonts w:ascii="仿宋" w:hAnsi="仿宋" w:eastAsia="仿宋" w:cs="仿宋"/>
          <w:spacing w:val="-16"/>
          <w:sz w:val="28"/>
          <w:szCs w:val="28"/>
        </w:rPr>
        <w:t xml:space="preserve"> </w:t>
      </w:r>
      <w:r>
        <w:rPr>
          <w:rFonts w:ascii="仿宋" w:hAnsi="仿宋" w:eastAsia="仿宋" w:cs="仿宋"/>
          <w:spacing w:val="5"/>
          <w:sz w:val="28"/>
          <w:szCs w:val="28"/>
        </w:rPr>
        <w:t>9</w:t>
      </w:r>
      <w:r>
        <w:rPr>
          <w:rFonts w:ascii="仿宋" w:hAnsi="仿宋" w:eastAsia="仿宋" w:cs="仿宋"/>
          <w:spacing w:val="-44"/>
          <w:sz w:val="28"/>
          <w:szCs w:val="28"/>
        </w:rPr>
        <w:t xml:space="preserve"> </w:t>
      </w:r>
      <w:r>
        <w:rPr>
          <w:rFonts w:ascii="仿宋" w:hAnsi="仿宋" w:eastAsia="仿宋" w:cs="仿宋"/>
          <w:spacing w:val="5"/>
          <w:sz w:val="28"/>
          <w:szCs w:val="28"/>
        </w:rPr>
        <w:t>个；</w:t>
      </w:r>
      <w:r>
        <w:rPr>
          <w:rFonts w:ascii="仿宋" w:hAnsi="仿宋" w:eastAsia="仿宋" w:cs="仿宋"/>
          <w:spacing w:val="-81"/>
          <w:sz w:val="28"/>
          <w:szCs w:val="28"/>
        </w:rPr>
        <w:t xml:space="preserve"> </w:t>
      </w:r>
      <w:r>
        <w:rPr>
          <w:rFonts w:ascii="仿宋" w:hAnsi="仿宋" w:eastAsia="仿宋" w:cs="仿宋"/>
          <w:spacing w:val="5"/>
          <w:sz w:val="28"/>
          <w:szCs w:val="28"/>
        </w:rPr>
        <w:t>陆</w:t>
      </w:r>
      <w:r>
        <w:rPr>
          <w:rFonts w:ascii="仿宋" w:hAnsi="仿宋" w:eastAsia="仿宋" w:cs="仿宋"/>
          <w:spacing w:val="-60"/>
          <w:sz w:val="28"/>
          <w:szCs w:val="28"/>
        </w:rPr>
        <w:t xml:space="preserve"> </w:t>
      </w:r>
      <w:r>
        <w:rPr>
          <w:rFonts w:ascii="仿宋" w:hAnsi="仿宋" w:eastAsia="仿宋" w:cs="仿宋"/>
          <w:spacing w:val="5"/>
          <w:sz w:val="28"/>
          <w:szCs w:val="28"/>
        </w:rPr>
        <w:t>良县</w:t>
      </w:r>
      <w:r>
        <w:rPr>
          <w:rFonts w:ascii="仿宋" w:hAnsi="仿宋" w:eastAsia="仿宋" w:cs="仿宋"/>
          <w:spacing w:val="-32"/>
          <w:sz w:val="28"/>
          <w:szCs w:val="28"/>
        </w:rPr>
        <w:t xml:space="preserve"> </w:t>
      </w:r>
      <w:r>
        <w:rPr>
          <w:rFonts w:ascii="仿宋" w:hAnsi="仿宋" w:eastAsia="仿宋" w:cs="仿宋"/>
          <w:spacing w:val="5"/>
          <w:sz w:val="28"/>
          <w:szCs w:val="28"/>
        </w:rPr>
        <w:t>2018</w:t>
      </w:r>
    </w:p>
    <w:p w14:paraId="1FA75DC7">
      <w:pPr>
        <w:spacing w:line="343" w:lineRule="auto"/>
        <w:rPr>
          <w:rFonts w:ascii="仿宋" w:hAnsi="仿宋" w:eastAsia="仿宋" w:cs="仿宋"/>
          <w:sz w:val="28"/>
          <w:szCs w:val="28"/>
        </w:rPr>
        <w:sectPr>
          <w:headerReference r:id="rId17" w:type="default"/>
          <w:footerReference r:id="rId18" w:type="default"/>
          <w:pgSz w:w="11906" w:h="16839"/>
          <w:pgMar w:top="1222" w:right="1424" w:bottom="1156" w:left="1134" w:header="885" w:footer="920" w:gutter="0"/>
          <w:cols w:space="720" w:num="1"/>
        </w:sectPr>
      </w:pPr>
    </w:p>
    <w:p w14:paraId="6B5F9150">
      <w:pPr>
        <w:pStyle w:val="2"/>
        <w:spacing w:line="277" w:lineRule="auto"/>
      </w:pPr>
    </w:p>
    <w:p w14:paraId="605C71A2">
      <w:pPr>
        <w:spacing w:before="91" w:line="343" w:lineRule="auto"/>
        <w:ind w:left="21" w:right="84" w:hanging="8"/>
        <w:rPr>
          <w:rFonts w:ascii="仿宋" w:hAnsi="仿宋" w:eastAsia="仿宋" w:cs="仿宋"/>
          <w:sz w:val="28"/>
          <w:szCs w:val="28"/>
        </w:rPr>
      </w:pPr>
      <w:r>
        <w:rPr>
          <w:rFonts w:ascii="仿宋" w:hAnsi="仿宋" w:eastAsia="仿宋" w:cs="仿宋"/>
          <w:sz w:val="28"/>
          <w:szCs w:val="28"/>
        </w:rPr>
        <w:t>年被评为全省“</w:t>
      </w:r>
      <w:r>
        <w:rPr>
          <w:rFonts w:ascii="仿宋" w:hAnsi="仿宋" w:eastAsia="仿宋" w:cs="仿宋"/>
          <w:spacing w:val="-79"/>
          <w:sz w:val="28"/>
          <w:szCs w:val="28"/>
        </w:rPr>
        <w:t xml:space="preserve"> </w:t>
      </w:r>
      <w:r>
        <w:rPr>
          <w:rFonts w:ascii="仿宋" w:hAnsi="仿宋" w:eastAsia="仿宋" w:cs="仿宋"/>
          <w:sz w:val="28"/>
          <w:szCs w:val="28"/>
        </w:rPr>
        <w:t>四好农村路”示范县，2019</w:t>
      </w:r>
      <w:r>
        <w:rPr>
          <w:rFonts w:ascii="仿宋" w:hAnsi="仿宋" w:eastAsia="仿宋" w:cs="仿宋"/>
          <w:spacing w:val="-47"/>
          <w:sz w:val="28"/>
          <w:szCs w:val="28"/>
        </w:rPr>
        <w:t xml:space="preserve"> </w:t>
      </w:r>
      <w:r>
        <w:rPr>
          <w:rFonts w:ascii="仿宋" w:hAnsi="仿宋" w:eastAsia="仿宋" w:cs="仿宋"/>
          <w:sz w:val="28"/>
          <w:szCs w:val="28"/>
        </w:rPr>
        <w:t>年被评为“</w:t>
      </w:r>
      <w:r>
        <w:rPr>
          <w:rFonts w:ascii="仿宋" w:hAnsi="仿宋" w:eastAsia="仿宋" w:cs="仿宋"/>
          <w:spacing w:val="-90"/>
          <w:sz w:val="28"/>
          <w:szCs w:val="28"/>
        </w:rPr>
        <w:t xml:space="preserve"> </w:t>
      </w:r>
      <w:r>
        <w:rPr>
          <w:rFonts w:ascii="仿宋" w:hAnsi="仿宋" w:eastAsia="仿宋" w:cs="仿宋"/>
          <w:sz w:val="28"/>
          <w:szCs w:val="28"/>
        </w:rPr>
        <w:t>四好农村路”国家级示范县。</w:t>
      </w:r>
    </w:p>
    <w:p w14:paraId="36A337BF">
      <w:pPr>
        <w:spacing w:before="12" w:line="342" w:lineRule="auto"/>
        <w:ind w:left="10" w:right="7" w:firstLine="579"/>
        <w:jc w:val="both"/>
        <w:rPr>
          <w:rFonts w:ascii="仿宋" w:hAnsi="仿宋" w:eastAsia="仿宋" w:cs="仿宋"/>
          <w:sz w:val="28"/>
          <w:szCs w:val="28"/>
        </w:rPr>
      </w:pPr>
      <w:r>
        <w:rPr>
          <w:rFonts w:ascii="仿宋" w:hAnsi="仿宋" w:eastAsia="仿宋" w:cs="仿宋"/>
          <w:spacing w:val="8"/>
          <w:sz w:val="28"/>
          <w:szCs w:val="28"/>
        </w:rPr>
        <w:t>在固定资产投资拉动下，基础设施建设成效显著，至</w:t>
      </w:r>
      <w:r>
        <w:rPr>
          <w:rFonts w:ascii="仿宋" w:hAnsi="仿宋" w:eastAsia="仿宋" w:cs="仿宋"/>
          <w:spacing w:val="-19"/>
          <w:sz w:val="28"/>
          <w:szCs w:val="28"/>
        </w:rPr>
        <w:t xml:space="preserve"> </w:t>
      </w:r>
      <w:r>
        <w:rPr>
          <w:rFonts w:ascii="仿宋" w:hAnsi="仿宋" w:eastAsia="仿宋" w:cs="仿宋"/>
          <w:spacing w:val="8"/>
          <w:sz w:val="28"/>
          <w:szCs w:val="28"/>
        </w:rPr>
        <w:t>2020</w:t>
      </w:r>
      <w:r>
        <w:rPr>
          <w:rFonts w:ascii="仿宋" w:hAnsi="仿宋" w:eastAsia="仿宋" w:cs="仿宋"/>
          <w:spacing w:val="-43"/>
          <w:sz w:val="28"/>
          <w:szCs w:val="28"/>
        </w:rPr>
        <w:t xml:space="preserve"> </w:t>
      </w:r>
      <w:r>
        <w:rPr>
          <w:rFonts w:ascii="仿宋" w:hAnsi="仿宋" w:eastAsia="仿宋" w:cs="仿宋"/>
          <w:spacing w:val="8"/>
          <w:sz w:val="28"/>
          <w:szCs w:val="28"/>
        </w:rPr>
        <w:t>年底，全</w:t>
      </w:r>
      <w:r>
        <w:rPr>
          <w:rFonts w:ascii="仿宋" w:hAnsi="仿宋" w:eastAsia="仿宋" w:cs="仿宋"/>
          <w:spacing w:val="-1"/>
          <w:sz w:val="28"/>
          <w:szCs w:val="28"/>
        </w:rPr>
        <w:t>市公路通车总里程(列统里程)达</w:t>
      </w:r>
      <w:r>
        <w:rPr>
          <w:rFonts w:ascii="仿宋" w:hAnsi="仿宋" w:eastAsia="仿宋" w:cs="仿宋"/>
          <w:spacing w:val="-25"/>
          <w:sz w:val="28"/>
          <w:szCs w:val="28"/>
        </w:rPr>
        <w:t xml:space="preserve"> </w:t>
      </w:r>
      <w:r>
        <w:rPr>
          <w:rFonts w:ascii="仿宋" w:hAnsi="仿宋" w:eastAsia="仿宋" w:cs="仿宋"/>
          <w:spacing w:val="-1"/>
          <w:sz w:val="28"/>
          <w:szCs w:val="28"/>
        </w:rPr>
        <w:t>2.79</w:t>
      </w:r>
      <w:r>
        <w:rPr>
          <w:rFonts w:ascii="仿宋" w:hAnsi="仿宋" w:eastAsia="仿宋" w:cs="仿宋"/>
          <w:spacing w:val="-36"/>
          <w:sz w:val="28"/>
          <w:szCs w:val="28"/>
        </w:rPr>
        <w:t xml:space="preserve"> </w:t>
      </w:r>
      <w:r>
        <w:rPr>
          <w:rFonts w:ascii="仿宋" w:hAnsi="仿宋" w:eastAsia="仿宋" w:cs="仿宋"/>
          <w:spacing w:val="-1"/>
          <w:sz w:val="28"/>
          <w:szCs w:val="28"/>
        </w:rPr>
        <w:t>万公里，占全省公路总里程的</w:t>
      </w:r>
      <w:r>
        <w:rPr>
          <w:rFonts w:ascii="仿宋" w:hAnsi="仿宋" w:eastAsia="仿宋" w:cs="仿宋"/>
          <w:spacing w:val="-37"/>
          <w:sz w:val="28"/>
          <w:szCs w:val="28"/>
        </w:rPr>
        <w:t xml:space="preserve"> </w:t>
      </w:r>
      <w:r>
        <w:rPr>
          <w:rFonts w:ascii="仿宋" w:hAnsi="仿宋" w:eastAsia="仿宋" w:cs="仿宋"/>
          <w:spacing w:val="-1"/>
          <w:sz w:val="28"/>
          <w:szCs w:val="28"/>
        </w:rPr>
        <w:t>9.6%，</w:t>
      </w:r>
      <w:r>
        <w:rPr>
          <w:rFonts w:ascii="仿宋" w:hAnsi="仿宋" w:eastAsia="仿宋" w:cs="仿宋"/>
          <w:spacing w:val="3"/>
          <w:sz w:val="28"/>
          <w:szCs w:val="28"/>
        </w:rPr>
        <w:t>其中高速公路</w:t>
      </w:r>
      <w:r>
        <w:rPr>
          <w:rFonts w:ascii="仿宋" w:hAnsi="仿宋" w:eastAsia="仿宋" w:cs="仿宋"/>
          <w:spacing w:val="-32"/>
          <w:sz w:val="28"/>
          <w:szCs w:val="28"/>
        </w:rPr>
        <w:t xml:space="preserve"> </w:t>
      </w:r>
      <w:r>
        <w:rPr>
          <w:rFonts w:ascii="仿宋" w:hAnsi="仿宋" w:eastAsia="仿宋" w:cs="仿宋"/>
          <w:spacing w:val="3"/>
          <w:sz w:val="28"/>
          <w:szCs w:val="28"/>
        </w:rPr>
        <w:t>1090.24</w:t>
      </w:r>
      <w:r>
        <w:rPr>
          <w:rFonts w:ascii="仿宋" w:hAnsi="仿宋" w:eastAsia="仿宋" w:cs="仿宋"/>
          <w:spacing w:val="-53"/>
          <w:sz w:val="28"/>
          <w:szCs w:val="28"/>
        </w:rPr>
        <w:t xml:space="preserve"> </w:t>
      </w:r>
      <w:r>
        <w:rPr>
          <w:rFonts w:ascii="仿宋" w:hAnsi="仿宋" w:eastAsia="仿宋" w:cs="仿宋"/>
          <w:spacing w:val="3"/>
          <w:sz w:val="28"/>
          <w:szCs w:val="28"/>
        </w:rPr>
        <w:t>公里，公路密度达</w:t>
      </w:r>
      <w:r>
        <w:rPr>
          <w:rFonts w:ascii="仿宋" w:hAnsi="仿宋" w:eastAsia="仿宋" w:cs="仿宋"/>
          <w:spacing w:val="-36"/>
          <w:sz w:val="28"/>
          <w:szCs w:val="28"/>
        </w:rPr>
        <w:t xml:space="preserve"> </w:t>
      </w:r>
      <w:r>
        <w:rPr>
          <w:rFonts w:ascii="仿宋" w:hAnsi="仿宋" w:eastAsia="仿宋" w:cs="仿宋"/>
          <w:spacing w:val="3"/>
          <w:sz w:val="28"/>
          <w:szCs w:val="28"/>
        </w:rPr>
        <w:t>96.5</w:t>
      </w:r>
      <w:r>
        <w:rPr>
          <w:rFonts w:ascii="仿宋" w:hAnsi="仿宋" w:eastAsia="仿宋" w:cs="仿宋"/>
          <w:spacing w:val="-53"/>
          <w:sz w:val="28"/>
          <w:szCs w:val="28"/>
        </w:rPr>
        <w:t xml:space="preserve"> </w:t>
      </w:r>
      <w:r>
        <w:rPr>
          <w:rFonts w:ascii="仿宋" w:hAnsi="仿宋" w:eastAsia="仿宋" w:cs="仿宋"/>
          <w:spacing w:val="2"/>
          <w:sz w:val="28"/>
          <w:szCs w:val="28"/>
        </w:rPr>
        <w:t>公里/百平方公里，高于同</w:t>
      </w:r>
      <w:r>
        <w:rPr>
          <w:rFonts w:ascii="仿宋" w:hAnsi="仿宋" w:eastAsia="仿宋" w:cs="仿宋"/>
          <w:spacing w:val="3"/>
          <w:sz w:val="28"/>
          <w:szCs w:val="28"/>
        </w:rPr>
        <w:t>期全省公路密度。二级及以上公路(含高速公路)占公路总里程的</w:t>
      </w:r>
      <w:r>
        <w:rPr>
          <w:rFonts w:ascii="仿宋" w:hAnsi="仿宋" w:eastAsia="仿宋" w:cs="仿宋"/>
          <w:spacing w:val="-37"/>
          <w:sz w:val="28"/>
          <w:szCs w:val="28"/>
        </w:rPr>
        <w:t xml:space="preserve"> </w:t>
      </w:r>
      <w:r>
        <w:rPr>
          <w:rFonts w:ascii="仿宋" w:hAnsi="仿宋" w:eastAsia="仿宋" w:cs="仿宋"/>
          <w:spacing w:val="3"/>
          <w:sz w:val="28"/>
          <w:szCs w:val="28"/>
        </w:rPr>
        <w:t>7.5</w:t>
      </w:r>
      <w:r>
        <w:rPr>
          <w:rFonts w:ascii="仿宋" w:hAnsi="仿宋" w:eastAsia="仿宋" w:cs="仿宋"/>
          <w:spacing w:val="2"/>
          <w:sz w:val="28"/>
          <w:szCs w:val="28"/>
        </w:rPr>
        <w:t>%，较</w:t>
      </w:r>
      <w:r>
        <w:rPr>
          <w:rFonts w:ascii="仿宋" w:hAnsi="仿宋" w:eastAsia="仿宋" w:cs="仿宋"/>
          <w:spacing w:val="1"/>
          <w:sz w:val="28"/>
          <w:szCs w:val="28"/>
        </w:rPr>
        <w:t>“十二五”末提高了</w:t>
      </w:r>
      <w:r>
        <w:rPr>
          <w:rFonts w:ascii="仿宋" w:hAnsi="仿宋" w:eastAsia="仿宋" w:cs="仿宋"/>
          <w:spacing w:val="-26"/>
          <w:sz w:val="28"/>
          <w:szCs w:val="28"/>
        </w:rPr>
        <w:t xml:space="preserve"> </w:t>
      </w:r>
      <w:r>
        <w:rPr>
          <w:rFonts w:ascii="仿宋" w:hAnsi="仿宋" w:eastAsia="仿宋" w:cs="仿宋"/>
          <w:spacing w:val="1"/>
          <w:sz w:val="28"/>
          <w:szCs w:val="28"/>
        </w:rPr>
        <w:t>2.8</w:t>
      </w:r>
      <w:r>
        <w:rPr>
          <w:rFonts w:ascii="仿宋" w:hAnsi="仿宋" w:eastAsia="仿宋" w:cs="仿宋"/>
          <w:spacing w:val="-49"/>
          <w:sz w:val="28"/>
          <w:szCs w:val="28"/>
        </w:rPr>
        <w:t xml:space="preserve"> </w:t>
      </w:r>
      <w:r>
        <w:rPr>
          <w:rFonts w:ascii="仿宋" w:hAnsi="仿宋" w:eastAsia="仿宋" w:cs="仿宋"/>
          <w:spacing w:val="1"/>
          <w:sz w:val="28"/>
          <w:szCs w:val="28"/>
        </w:rPr>
        <w:t>个百分点；乡镇等级公路、客车通达率</w:t>
      </w:r>
      <w:r>
        <w:rPr>
          <w:rFonts w:ascii="仿宋" w:hAnsi="仿宋" w:eastAsia="仿宋" w:cs="仿宋"/>
          <w:spacing w:val="-32"/>
          <w:sz w:val="28"/>
          <w:szCs w:val="28"/>
        </w:rPr>
        <w:t xml:space="preserve"> </w:t>
      </w:r>
      <w:r>
        <w:rPr>
          <w:rFonts w:ascii="仿宋" w:hAnsi="仿宋" w:eastAsia="仿宋" w:cs="仿宋"/>
          <w:spacing w:val="1"/>
          <w:sz w:val="28"/>
          <w:szCs w:val="28"/>
        </w:rPr>
        <w:t>100%，建</w:t>
      </w:r>
      <w:r>
        <w:rPr>
          <w:rFonts w:ascii="仿宋" w:hAnsi="仿宋" w:eastAsia="仿宋" w:cs="仿宋"/>
          <w:spacing w:val="3"/>
          <w:sz w:val="28"/>
          <w:szCs w:val="28"/>
        </w:rPr>
        <w:t>制村通路、通车率</w:t>
      </w:r>
      <w:r>
        <w:rPr>
          <w:rFonts w:ascii="仿宋" w:hAnsi="仿宋" w:eastAsia="仿宋" w:cs="仿宋"/>
          <w:spacing w:val="-32"/>
          <w:sz w:val="28"/>
          <w:szCs w:val="28"/>
        </w:rPr>
        <w:t xml:space="preserve"> </w:t>
      </w:r>
      <w:r>
        <w:rPr>
          <w:rFonts w:ascii="仿宋" w:hAnsi="仿宋" w:eastAsia="仿宋" w:cs="仿宋"/>
          <w:spacing w:val="3"/>
          <w:sz w:val="28"/>
          <w:szCs w:val="28"/>
        </w:rPr>
        <w:t>100%，有效带动了乡村产业发展。公路网规模及服</w:t>
      </w:r>
      <w:r>
        <w:rPr>
          <w:rFonts w:ascii="仿宋" w:hAnsi="仿宋" w:eastAsia="仿宋" w:cs="仿宋"/>
          <w:spacing w:val="2"/>
          <w:sz w:val="28"/>
          <w:szCs w:val="28"/>
        </w:rPr>
        <w:t>务水</w:t>
      </w:r>
      <w:r>
        <w:rPr>
          <w:rFonts w:ascii="仿宋" w:hAnsi="仿宋" w:eastAsia="仿宋" w:cs="仿宋"/>
          <w:spacing w:val="6"/>
          <w:sz w:val="28"/>
          <w:szCs w:val="28"/>
        </w:rPr>
        <w:t>平的快速发展为全市乡村振兴战略、决战脱贫攻坚、实现跨越式发展提供</w:t>
      </w:r>
      <w:r>
        <w:rPr>
          <w:rFonts w:ascii="仿宋" w:hAnsi="仿宋" w:eastAsia="仿宋" w:cs="仿宋"/>
          <w:spacing w:val="3"/>
          <w:sz w:val="28"/>
          <w:szCs w:val="28"/>
        </w:rPr>
        <w:t>了先行引领。</w:t>
      </w:r>
    </w:p>
    <w:p w14:paraId="47F3393A">
      <w:pPr>
        <w:spacing w:before="1" w:line="214" w:lineRule="auto"/>
        <w:ind w:left="506"/>
        <w:outlineLvl w:val="3"/>
        <w:rPr>
          <w:rFonts w:ascii="仿宋" w:hAnsi="仿宋" w:eastAsia="仿宋" w:cs="仿宋"/>
          <w:sz w:val="28"/>
          <w:szCs w:val="28"/>
        </w:rPr>
      </w:pPr>
      <w:r>
        <w:rPr>
          <w:rFonts w:ascii="仿宋" w:hAnsi="仿宋" w:eastAsia="仿宋" w:cs="仿宋"/>
          <w:b/>
          <w:bCs/>
          <w:spacing w:val="-5"/>
          <w:sz w:val="28"/>
          <w:szCs w:val="28"/>
        </w:rPr>
        <w:t>（</w:t>
      </w:r>
      <w:r>
        <w:rPr>
          <w:rFonts w:ascii="仿宋" w:hAnsi="仿宋" w:eastAsia="仿宋" w:cs="仿宋"/>
          <w:spacing w:val="-81"/>
          <w:sz w:val="28"/>
          <w:szCs w:val="28"/>
        </w:rPr>
        <w:t xml:space="preserve"> </w:t>
      </w:r>
      <w:r>
        <w:rPr>
          <w:rFonts w:ascii="仿宋" w:hAnsi="仿宋" w:eastAsia="仿宋" w:cs="仿宋"/>
          <w:b/>
          <w:bCs/>
          <w:spacing w:val="-5"/>
          <w:sz w:val="28"/>
          <w:szCs w:val="28"/>
        </w:rPr>
        <w:t>2）铁路建设稳步推进，高铁实现新的突破</w:t>
      </w:r>
    </w:p>
    <w:p w14:paraId="51D439D2">
      <w:pPr>
        <w:spacing w:before="308" w:line="343" w:lineRule="auto"/>
        <w:ind w:left="10" w:right="86" w:firstLine="574"/>
        <w:jc w:val="both"/>
        <w:rPr>
          <w:rFonts w:ascii="仿宋" w:hAnsi="仿宋" w:eastAsia="仿宋" w:cs="仿宋"/>
          <w:sz w:val="28"/>
          <w:szCs w:val="28"/>
        </w:rPr>
      </w:pPr>
      <w:r>
        <w:rPr>
          <w:rFonts w:ascii="仿宋" w:hAnsi="仿宋" w:eastAsia="仿宋" w:cs="仿宋"/>
          <w:spacing w:val="6"/>
          <w:sz w:val="28"/>
          <w:szCs w:val="28"/>
        </w:rPr>
        <w:t>全市积极推进铁路规划建设，铁路运输网络不断完善。沪昆客专建成通车，渝昆高铁曲靖段前期工作取得阶段成效，沪昆高铁(曲靖北站)至渝昆高铁(田坝站)连接线、曲靖至宣威至六盘水城际铁路、沪昆至南昆普铁连接线等项目前期研究工作顺利推进，深圳至昆明高铁项目完成预可研编</w:t>
      </w:r>
      <w:r>
        <w:rPr>
          <w:rFonts w:ascii="仿宋" w:hAnsi="仿宋" w:eastAsia="仿宋" w:cs="仿宋"/>
          <w:spacing w:val="5"/>
          <w:sz w:val="28"/>
          <w:szCs w:val="28"/>
        </w:rPr>
        <w:t>制。</w:t>
      </w:r>
      <w:r>
        <w:rPr>
          <w:rFonts w:ascii="仿宋" w:hAnsi="仿宋" w:eastAsia="仿宋" w:cs="仿宋"/>
          <w:spacing w:val="-80"/>
          <w:sz w:val="28"/>
          <w:szCs w:val="28"/>
        </w:rPr>
        <w:t xml:space="preserve"> </w:t>
      </w:r>
      <w:r>
        <w:rPr>
          <w:rFonts w:ascii="仿宋" w:hAnsi="仿宋" w:eastAsia="仿宋" w:cs="仿宋"/>
          <w:spacing w:val="5"/>
          <w:sz w:val="28"/>
          <w:szCs w:val="28"/>
        </w:rPr>
        <w:t>至</w:t>
      </w:r>
      <w:r>
        <w:rPr>
          <w:rFonts w:ascii="仿宋" w:hAnsi="仿宋" w:eastAsia="仿宋" w:cs="仿宋"/>
          <w:spacing w:val="-36"/>
          <w:sz w:val="28"/>
          <w:szCs w:val="28"/>
        </w:rPr>
        <w:t xml:space="preserve"> </w:t>
      </w:r>
      <w:r>
        <w:rPr>
          <w:rFonts w:ascii="仿宋" w:hAnsi="仿宋" w:eastAsia="仿宋" w:cs="仿宋"/>
          <w:spacing w:val="5"/>
          <w:sz w:val="28"/>
          <w:szCs w:val="28"/>
        </w:rPr>
        <w:t>2020</w:t>
      </w:r>
      <w:r>
        <w:rPr>
          <w:rFonts w:ascii="仿宋" w:hAnsi="仿宋" w:eastAsia="仿宋" w:cs="仿宋"/>
          <w:spacing w:val="-43"/>
          <w:sz w:val="28"/>
          <w:szCs w:val="28"/>
        </w:rPr>
        <w:t xml:space="preserve"> </w:t>
      </w:r>
      <w:r>
        <w:rPr>
          <w:rFonts w:ascii="仿宋" w:hAnsi="仿宋" w:eastAsia="仿宋" w:cs="仿宋"/>
          <w:spacing w:val="5"/>
          <w:sz w:val="28"/>
          <w:szCs w:val="28"/>
        </w:rPr>
        <w:t>年底，全市铁路运营里程达</w:t>
      </w:r>
      <w:r>
        <w:rPr>
          <w:rFonts w:ascii="仿宋" w:hAnsi="仿宋" w:eastAsia="仿宋" w:cs="仿宋"/>
          <w:spacing w:val="-32"/>
          <w:sz w:val="28"/>
          <w:szCs w:val="28"/>
        </w:rPr>
        <w:t xml:space="preserve"> </w:t>
      </w:r>
      <w:r>
        <w:rPr>
          <w:rFonts w:ascii="仿宋" w:hAnsi="仿宋" w:eastAsia="仿宋" w:cs="仿宋"/>
          <w:spacing w:val="5"/>
          <w:sz w:val="28"/>
          <w:szCs w:val="28"/>
        </w:rPr>
        <w:t>630</w:t>
      </w:r>
      <w:r>
        <w:rPr>
          <w:rFonts w:ascii="仿宋" w:hAnsi="仿宋" w:eastAsia="仿宋" w:cs="仿宋"/>
          <w:spacing w:val="-48"/>
          <w:sz w:val="28"/>
          <w:szCs w:val="28"/>
        </w:rPr>
        <w:t xml:space="preserve"> </w:t>
      </w:r>
      <w:r>
        <w:rPr>
          <w:rFonts w:ascii="仿宋" w:hAnsi="仿宋" w:eastAsia="仿宋" w:cs="仿宋"/>
          <w:spacing w:val="5"/>
          <w:sz w:val="28"/>
          <w:szCs w:val="28"/>
        </w:rPr>
        <w:t>公里，其中沪</w:t>
      </w:r>
      <w:r>
        <w:rPr>
          <w:rFonts w:ascii="仿宋" w:hAnsi="仿宋" w:eastAsia="仿宋" w:cs="仿宋"/>
          <w:spacing w:val="4"/>
          <w:sz w:val="28"/>
          <w:szCs w:val="28"/>
        </w:rPr>
        <w:t>昆高铁曲靖段</w:t>
      </w:r>
      <w:r>
        <w:rPr>
          <w:rFonts w:ascii="仿宋" w:hAnsi="仿宋" w:eastAsia="仿宋" w:cs="仿宋"/>
          <w:spacing w:val="3"/>
          <w:sz w:val="28"/>
          <w:szCs w:val="28"/>
        </w:rPr>
        <w:t>约</w:t>
      </w:r>
      <w:r>
        <w:rPr>
          <w:rFonts w:ascii="仿宋" w:hAnsi="仿宋" w:eastAsia="仿宋" w:cs="仿宋"/>
          <w:spacing w:val="-33"/>
          <w:sz w:val="28"/>
          <w:szCs w:val="28"/>
        </w:rPr>
        <w:t xml:space="preserve"> </w:t>
      </w:r>
      <w:r>
        <w:rPr>
          <w:rFonts w:ascii="仿宋" w:hAnsi="仿宋" w:eastAsia="仿宋" w:cs="仿宋"/>
          <w:spacing w:val="3"/>
          <w:sz w:val="28"/>
          <w:szCs w:val="28"/>
        </w:rPr>
        <w:t>116</w:t>
      </w:r>
      <w:r>
        <w:rPr>
          <w:rFonts w:ascii="仿宋" w:hAnsi="仿宋" w:eastAsia="仿宋" w:cs="仿宋"/>
          <w:spacing w:val="-52"/>
          <w:sz w:val="28"/>
          <w:szCs w:val="28"/>
        </w:rPr>
        <w:t xml:space="preserve"> </w:t>
      </w:r>
      <w:r>
        <w:rPr>
          <w:rFonts w:ascii="仿宋" w:hAnsi="仿宋" w:eastAsia="仿宋" w:cs="仿宋"/>
          <w:spacing w:val="3"/>
          <w:sz w:val="28"/>
          <w:szCs w:val="28"/>
        </w:rPr>
        <w:t>公里，贵昆铁路在曲靖市行政区域内</w:t>
      </w:r>
      <w:r>
        <w:rPr>
          <w:rFonts w:ascii="仿宋" w:hAnsi="仿宋" w:eastAsia="仿宋" w:cs="仿宋"/>
          <w:spacing w:val="-39"/>
          <w:sz w:val="28"/>
          <w:szCs w:val="28"/>
        </w:rPr>
        <w:t xml:space="preserve"> </w:t>
      </w:r>
      <w:r>
        <w:rPr>
          <w:rFonts w:ascii="仿宋" w:hAnsi="仿宋" w:eastAsia="仿宋" w:cs="仿宋"/>
          <w:spacing w:val="3"/>
          <w:sz w:val="28"/>
          <w:szCs w:val="28"/>
        </w:rPr>
        <w:t>212</w:t>
      </w:r>
      <w:r>
        <w:rPr>
          <w:rFonts w:ascii="仿宋" w:hAnsi="仿宋" w:eastAsia="仿宋" w:cs="仿宋"/>
          <w:spacing w:val="-53"/>
          <w:sz w:val="28"/>
          <w:szCs w:val="28"/>
        </w:rPr>
        <w:t xml:space="preserve"> </w:t>
      </w:r>
      <w:r>
        <w:rPr>
          <w:rFonts w:ascii="仿宋" w:hAnsi="仿宋" w:eastAsia="仿宋" w:cs="仿宋"/>
          <w:spacing w:val="3"/>
          <w:sz w:val="28"/>
          <w:szCs w:val="28"/>
        </w:rPr>
        <w:t>公里已全线实现复线化运</w:t>
      </w:r>
      <w:r>
        <w:rPr>
          <w:rFonts w:ascii="仿宋" w:hAnsi="仿宋" w:eastAsia="仿宋" w:cs="仿宋"/>
          <w:spacing w:val="4"/>
          <w:sz w:val="28"/>
          <w:szCs w:val="28"/>
        </w:rPr>
        <w:t>营，铁路网密度</w:t>
      </w:r>
      <w:r>
        <w:rPr>
          <w:rFonts w:ascii="仿宋" w:hAnsi="仿宋" w:eastAsia="仿宋" w:cs="仿宋"/>
          <w:spacing w:val="-34"/>
          <w:sz w:val="28"/>
          <w:szCs w:val="28"/>
        </w:rPr>
        <w:t xml:space="preserve"> </w:t>
      </w:r>
      <w:r>
        <w:rPr>
          <w:rFonts w:ascii="仿宋" w:hAnsi="仿宋" w:eastAsia="仿宋" w:cs="仿宋"/>
          <w:spacing w:val="4"/>
          <w:sz w:val="28"/>
          <w:szCs w:val="28"/>
        </w:rPr>
        <w:t>217</w:t>
      </w:r>
      <w:r>
        <w:rPr>
          <w:rFonts w:ascii="仿宋" w:hAnsi="仿宋" w:eastAsia="仿宋" w:cs="仿宋"/>
          <w:spacing w:val="-47"/>
          <w:sz w:val="28"/>
          <w:szCs w:val="28"/>
        </w:rPr>
        <w:t xml:space="preserve"> </w:t>
      </w:r>
      <w:r>
        <w:rPr>
          <w:rFonts w:ascii="仿宋" w:hAnsi="仿宋" w:eastAsia="仿宋" w:cs="仿宋"/>
          <w:spacing w:val="4"/>
          <w:sz w:val="28"/>
          <w:szCs w:val="28"/>
        </w:rPr>
        <w:t>公里/万平方公里。</w:t>
      </w:r>
      <w:r>
        <w:rPr>
          <w:rFonts w:ascii="仿宋" w:hAnsi="仿宋" w:eastAsia="仿宋" w:cs="仿宋"/>
          <w:spacing w:val="-65"/>
          <w:sz w:val="28"/>
          <w:szCs w:val="28"/>
        </w:rPr>
        <w:t xml:space="preserve"> </w:t>
      </w:r>
      <w:r>
        <w:rPr>
          <w:rFonts w:ascii="仿宋" w:hAnsi="仿宋" w:eastAsia="仿宋" w:cs="仿宋"/>
          <w:spacing w:val="4"/>
          <w:sz w:val="28"/>
          <w:szCs w:val="28"/>
        </w:rPr>
        <w:t>曲靖</w:t>
      </w:r>
      <w:r>
        <w:rPr>
          <w:rFonts w:ascii="仿宋" w:hAnsi="仿宋" w:eastAsia="仿宋" w:cs="仿宋"/>
          <w:spacing w:val="3"/>
          <w:sz w:val="28"/>
          <w:szCs w:val="28"/>
        </w:rPr>
        <w:t>作为</w:t>
      </w:r>
      <w:r>
        <w:rPr>
          <w:rFonts w:ascii="仿宋" w:hAnsi="仿宋" w:eastAsia="仿宋" w:cs="仿宋"/>
          <w:spacing w:val="-87"/>
          <w:sz w:val="28"/>
          <w:szCs w:val="28"/>
        </w:rPr>
        <w:t xml:space="preserve"> </w:t>
      </w:r>
      <w:r>
        <w:rPr>
          <w:rFonts w:ascii="仿宋" w:hAnsi="仿宋" w:eastAsia="仿宋" w:cs="仿宋"/>
          <w:spacing w:val="3"/>
          <w:sz w:val="28"/>
          <w:szCs w:val="28"/>
        </w:rPr>
        <w:t>“</w:t>
      </w:r>
      <w:r>
        <w:rPr>
          <w:rFonts w:ascii="仿宋" w:hAnsi="仿宋" w:eastAsia="仿宋" w:cs="仿宋"/>
          <w:spacing w:val="-102"/>
          <w:sz w:val="28"/>
          <w:szCs w:val="28"/>
        </w:rPr>
        <w:t xml:space="preserve"> </w:t>
      </w:r>
      <w:r>
        <w:rPr>
          <w:rFonts w:ascii="仿宋" w:hAnsi="仿宋" w:eastAsia="仿宋" w:cs="仿宋"/>
          <w:spacing w:val="3"/>
          <w:sz w:val="28"/>
          <w:szCs w:val="28"/>
        </w:rPr>
        <w:t>一带一路”合作倡议</w:t>
      </w:r>
      <w:r>
        <w:rPr>
          <w:rFonts w:ascii="仿宋" w:hAnsi="仿宋" w:eastAsia="仿宋" w:cs="仿宋"/>
          <w:spacing w:val="6"/>
          <w:sz w:val="28"/>
          <w:szCs w:val="28"/>
        </w:rPr>
        <w:t>的交通物流枢纽、滇中城市群双向开放的核心物流门户、出省入滇关键枢纽节点城市的交通优势不断增强。</w:t>
      </w:r>
    </w:p>
    <w:p w14:paraId="10E9D69E">
      <w:pPr>
        <w:spacing w:before="1" w:line="214" w:lineRule="auto"/>
        <w:ind w:left="506"/>
        <w:outlineLvl w:val="3"/>
        <w:rPr>
          <w:rFonts w:ascii="仿宋" w:hAnsi="仿宋" w:eastAsia="仿宋" w:cs="仿宋"/>
          <w:sz w:val="28"/>
          <w:szCs w:val="28"/>
        </w:rPr>
      </w:pPr>
      <w:r>
        <w:rPr>
          <w:rFonts w:ascii="仿宋" w:hAnsi="仿宋" w:eastAsia="仿宋" w:cs="仿宋"/>
          <w:b/>
          <w:bCs/>
          <w:spacing w:val="-6"/>
          <w:sz w:val="28"/>
          <w:szCs w:val="28"/>
        </w:rPr>
        <w:t>（</w:t>
      </w:r>
      <w:r>
        <w:rPr>
          <w:rFonts w:ascii="仿宋" w:hAnsi="仿宋" w:eastAsia="仿宋" w:cs="仿宋"/>
          <w:spacing w:val="-61"/>
          <w:sz w:val="28"/>
          <w:szCs w:val="28"/>
        </w:rPr>
        <w:t xml:space="preserve"> </w:t>
      </w:r>
      <w:r>
        <w:rPr>
          <w:rFonts w:ascii="仿宋" w:hAnsi="仿宋" w:eastAsia="仿宋" w:cs="仿宋"/>
          <w:b/>
          <w:bCs/>
          <w:spacing w:val="-6"/>
          <w:sz w:val="28"/>
          <w:szCs w:val="28"/>
        </w:rPr>
        <w:t>3）民航建设研究有序开展，正在蓄势待发</w:t>
      </w:r>
    </w:p>
    <w:p w14:paraId="130D7716">
      <w:pPr>
        <w:spacing w:before="308" w:line="343" w:lineRule="auto"/>
        <w:ind w:left="19" w:right="84" w:firstLine="566"/>
        <w:rPr>
          <w:rFonts w:ascii="仿宋" w:hAnsi="仿宋" w:eastAsia="仿宋" w:cs="仿宋"/>
          <w:sz w:val="28"/>
          <w:szCs w:val="28"/>
        </w:rPr>
      </w:pPr>
      <w:r>
        <w:rPr>
          <w:rFonts w:ascii="仿宋" w:hAnsi="仿宋" w:eastAsia="仿宋" w:cs="仿宋"/>
          <w:spacing w:val="6"/>
          <w:sz w:val="28"/>
          <w:szCs w:val="28"/>
        </w:rPr>
        <w:t>全市航空运输主要借助昆明长水国际机场，依托城市候机服务，通过曲靖至昆明长水国际机场空港快线，极大地满足了麒麟主城区、经开区、</w:t>
      </w:r>
      <w:r>
        <w:rPr>
          <w:rFonts w:ascii="仿宋" w:hAnsi="仿宋" w:eastAsia="仿宋" w:cs="仿宋"/>
          <w:spacing w:val="5"/>
          <w:sz w:val="28"/>
          <w:szCs w:val="28"/>
        </w:rPr>
        <w:t>马龙区航空旅客出行需求，2020</w:t>
      </w:r>
      <w:r>
        <w:rPr>
          <w:rFonts w:ascii="仿宋" w:hAnsi="仿宋" w:eastAsia="仿宋" w:cs="仿宋"/>
          <w:spacing w:val="-46"/>
          <w:sz w:val="28"/>
          <w:szCs w:val="28"/>
        </w:rPr>
        <w:t xml:space="preserve"> </w:t>
      </w:r>
      <w:r>
        <w:rPr>
          <w:rFonts w:ascii="仿宋" w:hAnsi="仿宋" w:eastAsia="仿宋" w:cs="仿宋"/>
          <w:spacing w:val="5"/>
          <w:sz w:val="28"/>
          <w:szCs w:val="28"/>
        </w:rPr>
        <w:t>年空港快线旅客运输量</w:t>
      </w:r>
      <w:r>
        <w:rPr>
          <w:rFonts w:ascii="仿宋" w:hAnsi="仿宋" w:eastAsia="仿宋" w:cs="仿宋"/>
          <w:spacing w:val="4"/>
          <w:sz w:val="28"/>
          <w:szCs w:val="28"/>
        </w:rPr>
        <w:t>达</w:t>
      </w:r>
      <w:r>
        <w:rPr>
          <w:rFonts w:ascii="仿宋" w:hAnsi="仿宋" w:eastAsia="仿宋" w:cs="仿宋"/>
          <w:spacing w:val="-25"/>
          <w:sz w:val="28"/>
          <w:szCs w:val="28"/>
        </w:rPr>
        <w:t xml:space="preserve"> </w:t>
      </w:r>
      <w:r>
        <w:rPr>
          <w:rFonts w:ascii="仿宋" w:hAnsi="仿宋" w:eastAsia="仿宋" w:cs="仿宋"/>
          <w:spacing w:val="4"/>
          <w:sz w:val="28"/>
          <w:szCs w:val="28"/>
        </w:rPr>
        <w:t>3.97</w:t>
      </w:r>
      <w:r>
        <w:rPr>
          <w:rFonts w:ascii="仿宋" w:hAnsi="仿宋" w:eastAsia="仿宋" w:cs="仿宋"/>
          <w:spacing w:val="-36"/>
          <w:sz w:val="28"/>
          <w:szCs w:val="28"/>
        </w:rPr>
        <w:t xml:space="preserve"> </w:t>
      </w:r>
      <w:r>
        <w:rPr>
          <w:rFonts w:ascii="仿宋" w:hAnsi="仿宋" w:eastAsia="仿宋" w:cs="仿宋"/>
          <w:spacing w:val="4"/>
          <w:sz w:val="28"/>
          <w:szCs w:val="28"/>
        </w:rPr>
        <w:t>万人次，开通以来年均增长</w:t>
      </w:r>
      <w:r>
        <w:rPr>
          <w:rFonts w:ascii="仿宋" w:hAnsi="仿宋" w:eastAsia="仿宋" w:cs="仿宋"/>
          <w:spacing w:val="-34"/>
          <w:sz w:val="28"/>
          <w:szCs w:val="28"/>
        </w:rPr>
        <w:t xml:space="preserve"> </w:t>
      </w:r>
      <w:r>
        <w:rPr>
          <w:rFonts w:ascii="仿宋" w:hAnsi="仿宋" w:eastAsia="仿宋" w:cs="仿宋"/>
          <w:spacing w:val="4"/>
          <w:sz w:val="28"/>
          <w:szCs w:val="28"/>
        </w:rPr>
        <w:t>45%。</w:t>
      </w:r>
      <w:r>
        <w:rPr>
          <w:rFonts w:ascii="仿宋" w:hAnsi="仿宋" w:eastAsia="仿宋" w:cs="仿宋"/>
          <w:spacing w:val="-69"/>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十三五”期间，抢抓国家低空领域开发开放及</w:t>
      </w:r>
      <w:r>
        <w:rPr>
          <w:rFonts w:ascii="仿宋" w:hAnsi="仿宋" w:eastAsia="仿宋" w:cs="仿宋"/>
          <w:spacing w:val="6"/>
          <w:sz w:val="28"/>
          <w:szCs w:val="28"/>
        </w:rPr>
        <w:t>民航机场布局调整的机遇，全市积极推进民航机场规划研究，已开展宣威</w:t>
      </w:r>
    </w:p>
    <w:p w14:paraId="71B2BF05">
      <w:pPr>
        <w:spacing w:line="343" w:lineRule="auto"/>
        <w:rPr>
          <w:rFonts w:ascii="仿宋" w:hAnsi="仿宋" w:eastAsia="仿宋" w:cs="仿宋"/>
          <w:sz w:val="28"/>
          <w:szCs w:val="28"/>
        </w:rPr>
        <w:sectPr>
          <w:headerReference r:id="rId19" w:type="default"/>
          <w:footerReference r:id="rId20" w:type="default"/>
          <w:pgSz w:w="11906" w:h="16839"/>
          <w:pgMar w:top="1222" w:right="1054" w:bottom="1156" w:left="1587" w:header="885" w:footer="920" w:gutter="0"/>
          <w:cols w:space="720" w:num="1"/>
        </w:sectPr>
      </w:pPr>
    </w:p>
    <w:p w14:paraId="336B3C0F">
      <w:pPr>
        <w:pStyle w:val="2"/>
        <w:spacing w:line="278" w:lineRule="auto"/>
      </w:pPr>
    </w:p>
    <w:p w14:paraId="55C828EC">
      <w:pPr>
        <w:spacing w:before="91" w:line="343" w:lineRule="auto"/>
        <w:ind w:left="6" w:right="79" w:firstLine="10"/>
        <w:rPr>
          <w:rFonts w:ascii="仿宋" w:hAnsi="仿宋" w:eastAsia="仿宋" w:cs="仿宋"/>
          <w:sz w:val="28"/>
          <w:szCs w:val="28"/>
        </w:rPr>
      </w:pPr>
      <w:r>
        <w:rPr>
          <w:rFonts w:ascii="仿宋" w:hAnsi="仿宋" w:eastAsia="仿宋" w:cs="仿宋"/>
          <w:spacing w:val="6"/>
          <w:sz w:val="28"/>
          <w:szCs w:val="28"/>
        </w:rPr>
        <w:t>永安机场和会泽、罗平通用机场的前期研究工作并完成机场选址报告上报</w:t>
      </w:r>
      <w:r>
        <w:rPr>
          <w:rFonts w:ascii="仿宋" w:hAnsi="仿宋" w:eastAsia="仿宋" w:cs="仿宋"/>
          <w:spacing w:val="4"/>
          <w:sz w:val="28"/>
          <w:szCs w:val="28"/>
        </w:rPr>
        <w:t>相关部门审批。</w:t>
      </w:r>
    </w:p>
    <w:p w14:paraId="2CD8E573">
      <w:pPr>
        <w:spacing w:before="1" w:line="218" w:lineRule="auto"/>
        <w:ind w:left="505"/>
        <w:outlineLvl w:val="3"/>
        <w:rPr>
          <w:rFonts w:ascii="仿宋" w:hAnsi="仿宋" w:eastAsia="仿宋" w:cs="仿宋"/>
          <w:sz w:val="28"/>
          <w:szCs w:val="28"/>
        </w:rPr>
      </w:pPr>
      <w:r>
        <w:rPr>
          <w:rFonts w:ascii="仿宋" w:hAnsi="仿宋" w:eastAsia="仿宋" w:cs="仿宋"/>
          <w:b/>
          <w:bCs/>
          <w:spacing w:val="-5"/>
          <w:sz w:val="28"/>
          <w:szCs w:val="28"/>
        </w:rPr>
        <w:t>（</w:t>
      </w:r>
      <w:r>
        <w:rPr>
          <w:rFonts w:ascii="仿宋" w:hAnsi="仿宋" w:eastAsia="仿宋" w:cs="仿宋"/>
          <w:spacing w:val="-79"/>
          <w:sz w:val="28"/>
          <w:szCs w:val="28"/>
        </w:rPr>
        <w:t xml:space="preserve"> </w:t>
      </w:r>
      <w:r>
        <w:rPr>
          <w:rFonts w:ascii="仿宋" w:hAnsi="仿宋" w:eastAsia="仿宋" w:cs="仿宋"/>
          <w:b/>
          <w:bCs/>
          <w:spacing w:val="-5"/>
          <w:sz w:val="28"/>
          <w:szCs w:val="28"/>
        </w:rPr>
        <w:t>4）水运逐步规范化，安全管控进一步提升</w:t>
      </w:r>
    </w:p>
    <w:p w14:paraId="01C21F96">
      <w:pPr>
        <w:spacing w:before="307" w:line="343" w:lineRule="auto"/>
        <w:ind w:left="9" w:right="79" w:firstLine="574"/>
        <w:jc w:val="both"/>
        <w:rPr>
          <w:rFonts w:ascii="仿宋" w:hAnsi="仿宋" w:eastAsia="仿宋" w:cs="仿宋"/>
          <w:sz w:val="28"/>
          <w:szCs w:val="28"/>
        </w:rPr>
      </w:pPr>
      <w:r>
        <w:rPr>
          <w:rFonts w:ascii="仿宋" w:hAnsi="仿宋" w:eastAsia="仿宋" w:cs="仿宋"/>
          <w:spacing w:val="6"/>
          <w:sz w:val="28"/>
          <w:szCs w:val="28"/>
        </w:rPr>
        <w:t>全市在云南省率先推进重点库区船舶更新改造工作，完成了船舶标准</w:t>
      </w:r>
      <w:r>
        <w:rPr>
          <w:rFonts w:ascii="仿宋" w:hAnsi="仿宋" w:eastAsia="仿宋" w:cs="仿宋"/>
          <w:spacing w:val="1"/>
          <w:sz w:val="28"/>
          <w:szCs w:val="28"/>
        </w:rPr>
        <w:t>化新造</w:t>
      </w:r>
      <w:r>
        <w:rPr>
          <w:rFonts w:ascii="仿宋" w:hAnsi="仿宋" w:eastAsia="仿宋" w:cs="仿宋"/>
          <w:spacing w:val="-30"/>
          <w:sz w:val="28"/>
          <w:szCs w:val="28"/>
        </w:rPr>
        <w:t xml:space="preserve"> </w:t>
      </w:r>
      <w:r>
        <w:rPr>
          <w:rFonts w:ascii="仿宋" w:hAnsi="仿宋" w:eastAsia="仿宋" w:cs="仿宋"/>
          <w:spacing w:val="1"/>
          <w:sz w:val="28"/>
          <w:szCs w:val="28"/>
        </w:rPr>
        <w:t>68</w:t>
      </w:r>
      <w:r>
        <w:rPr>
          <w:rFonts w:ascii="仿宋" w:hAnsi="仿宋" w:eastAsia="仿宋" w:cs="仿宋"/>
          <w:spacing w:val="-48"/>
          <w:sz w:val="28"/>
          <w:szCs w:val="28"/>
        </w:rPr>
        <w:t xml:space="preserve"> </w:t>
      </w:r>
      <w:r>
        <w:rPr>
          <w:rFonts w:ascii="仿宋" w:hAnsi="仿宋" w:eastAsia="仿宋" w:cs="仿宋"/>
          <w:spacing w:val="1"/>
          <w:sz w:val="28"/>
          <w:szCs w:val="28"/>
        </w:rPr>
        <w:t>艘、改造</w:t>
      </w:r>
      <w:r>
        <w:rPr>
          <w:rFonts w:ascii="仿宋" w:hAnsi="仿宋" w:eastAsia="仿宋" w:cs="仿宋"/>
          <w:spacing w:val="-33"/>
          <w:sz w:val="28"/>
          <w:szCs w:val="28"/>
        </w:rPr>
        <w:t xml:space="preserve"> </w:t>
      </w:r>
      <w:r>
        <w:rPr>
          <w:rFonts w:ascii="仿宋" w:hAnsi="仿宋" w:eastAsia="仿宋" w:cs="仿宋"/>
          <w:spacing w:val="1"/>
          <w:sz w:val="28"/>
          <w:szCs w:val="28"/>
        </w:rPr>
        <w:t>104</w:t>
      </w:r>
      <w:r>
        <w:rPr>
          <w:rFonts w:ascii="仿宋" w:hAnsi="仿宋" w:eastAsia="仿宋" w:cs="仿宋"/>
          <w:spacing w:val="-47"/>
          <w:sz w:val="28"/>
          <w:szCs w:val="28"/>
        </w:rPr>
        <w:t xml:space="preserve"> </w:t>
      </w:r>
      <w:r>
        <w:rPr>
          <w:rFonts w:ascii="仿宋" w:hAnsi="仿宋" w:eastAsia="仿宋" w:cs="仿宋"/>
          <w:spacing w:val="1"/>
          <w:sz w:val="28"/>
          <w:szCs w:val="28"/>
        </w:rPr>
        <w:t>艘以及会泽县</w:t>
      </w:r>
      <w:r>
        <w:rPr>
          <w:rFonts w:ascii="仿宋" w:hAnsi="仿宋" w:eastAsia="仿宋" w:cs="仿宋"/>
          <w:spacing w:val="-40"/>
          <w:sz w:val="28"/>
          <w:szCs w:val="28"/>
        </w:rPr>
        <w:t xml:space="preserve"> </w:t>
      </w:r>
      <w:r>
        <w:rPr>
          <w:rFonts w:ascii="仿宋" w:hAnsi="仿宋" w:eastAsia="仿宋" w:cs="仿宋"/>
          <w:spacing w:val="1"/>
          <w:sz w:val="28"/>
          <w:szCs w:val="28"/>
        </w:rPr>
        <w:t>48</w:t>
      </w:r>
      <w:r>
        <w:rPr>
          <w:rFonts w:ascii="仿宋" w:hAnsi="仿宋" w:eastAsia="仿宋" w:cs="仿宋"/>
          <w:spacing w:val="-48"/>
          <w:sz w:val="28"/>
          <w:szCs w:val="28"/>
        </w:rPr>
        <w:t xml:space="preserve"> </w:t>
      </w:r>
      <w:r>
        <w:rPr>
          <w:rFonts w:ascii="仿宋" w:hAnsi="仿宋" w:eastAsia="仿宋" w:cs="仿宋"/>
          <w:spacing w:val="1"/>
          <w:sz w:val="28"/>
          <w:szCs w:val="28"/>
        </w:rPr>
        <w:t>艘老旧渡船的报废更新；全力推</w:t>
      </w:r>
      <w:r>
        <w:rPr>
          <w:rFonts w:ascii="仿宋" w:hAnsi="仿宋" w:eastAsia="仿宋" w:cs="仿宋"/>
          <w:spacing w:val="3"/>
          <w:sz w:val="28"/>
          <w:szCs w:val="28"/>
        </w:rPr>
        <w:t>进重点库区航运基础设施建设，完成了</w:t>
      </w:r>
      <w:r>
        <w:rPr>
          <w:rFonts w:ascii="仿宋" w:hAnsi="仿宋" w:eastAsia="仿宋" w:cs="仿宋"/>
          <w:spacing w:val="-39"/>
          <w:sz w:val="28"/>
          <w:szCs w:val="28"/>
        </w:rPr>
        <w:t xml:space="preserve"> </w:t>
      </w:r>
      <w:r>
        <w:rPr>
          <w:rFonts w:ascii="仿宋" w:hAnsi="仿宋" w:eastAsia="仿宋" w:cs="仿宋"/>
          <w:spacing w:val="3"/>
          <w:sz w:val="28"/>
          <w:szCs w:val="28"/>
        </w:rPr>
        <w:t>2</w:t>
      </w:r>
      <w:r>
        <w:rPr>
          <w:rFonts w:ascii="仿宋" w:hAnsi="仿宋" w:eastAsia="仿宋" w:cs="仿宋"/>
          <w:spacing w:val="-52"/>
          <w:sz w:val="28"/>
          <w:szCs w:val="28"/>
        </w:rPr>
        <w:t xml:space="preserve"> </w:t>
      </w:r>
      <w:r>
        <w:rPr>
          <w:rFonts w:ascii="仿宋" w:hAnsi="仿宋" w:eastAsia="仿宋" w:cs="仿宋"/>
          <w:spacing w:val="3"/>
          <w:sz w:val="28"/>
          <w:szCs w:val="28"/>
        </w:rPr>
        <w:t>个码头和</w:t>
      </w:r>
      <w:r>
        <w:rPr>
          <w:rFonts w:ascii="仿宋" w:hAnsi="仿宋" w:eastAsia="仿宋" w:cs="仿宋"/>
          <w:spacing w:val="-28"/>
          <w:sz w:val="28"/>
          <w:szCs w:val="28"/>
        </w:rPr>
        <w:t xml:space="preserve"> </w:t>
      </w:r>
      <w:r>
        <w:rPr>
          <w:rFonts w:ascii="仿宋" w:hAnsi="仿宋" w:eastAsia="仿宋" w:cs="仿宋"/>
          <w:spacing w:val="3"/>
          <w:sz w:val="28"/>
          <w:szCs w:val="28"/>
        </w:rPr>
        <w:t>30</w:t>
      </w:r>
      <w:r>
        <w:rPr>
          <w:rFonts w:ascii="仿宋" w:hAnsi="仿宋" w:eastAsia="仿宋" w:cs="仿宋"/>
          <w:spacing w:val="2"/>
          <w:sz w:val="28"/>
          <w:szCs w:val="28"/>
        </w:rPr>
        <w:t>0</w:t>
      </w:r>
      <w:r>
        <w:rPr>
          <w:rFonts w:ascii="仿宋" w:hAnsi="仿宋" w:eastAsia="仿宋" w:cs="仿宋"/>
          <w:spacing w:val="-43"/>
          <w:sz w:val="28"/>
          <w:szCs w:val="28"/>
        </w:rPr>
        <w:t xml:space="preserve"> </w:t>
      </w:r>
      <w:r>
        <w:rPr>
          <w:rFonts w:ascii="仿宋" w:hAnsi="仿宋" w:eastAsia="仿宋" w:cs="仿宋"/>
          <w:spacing w:val="2"/>
          <w:sz w:val="28"/>
          <w:szCs w:val="28"/>
        </w:rPr>
        <w:t>米航道护岸工程建</w:t>
      </w:r>
      <w:r>
        <w:rPr>
          <w:rFonts w:ascii="仿宋" w:hAnsi="仿宋" w:eastAsia="仿宋" w:cs="仿宋"/>
          <w:spacing w:val="5"/>
          <w:sz w:val="28"/>
          <w:szCs w:val="28"/>
        </w:rPr>
        <w:t>设以及</w:t>
      </w:r>
      <w:r>
        <w:rPr>
          <w:rFonts w:ascii="仿宋" w:hAnsi="仿宋" w:eastAsia="仿宋" w:cs="仿宋"/>
          <w:spacing w:val="-34"/>
          <w:sz w:val="28"/>
          <w:szCs w:val="28"/>
        </w:rPr>
        <w:t xml:space="preserve"> </w:t>
      </w:r>
      <w:r>
        <w:rPr>
          <w:rFonts w:ascii="仿宋" w:hAnsi="仿宋" w:eastAsia="仿宋" w:cs="仿宋"/>
          <w:spacing w:val="5"/>
          <w:sz w:val="28"/>
          <w:szCs w:val="28"/>
        </w:rPr>
        <w:t>23</w:t>
      </w:r>
      <w:r>
        <w:rPr>
          <w:rFonts w:ascii="仿宋" w:hAnsi="仿宋" w:eastAsia="仿宋" w:cs="仿宋"/>
          <w:spacing w:val="-43"/>
          <w:sz w:val="28"/>
          <w:szCs w:val="28"/>
        </w:rPr>
        <w:t xml:space="preserve"> </w:t>
      </w:r>
      <w:r>
        <w:rPr>
          <w:rFonts w:ascii="仿宋" w:hAnsi="仿宋" w:eastAsia="仿宋" w:cs="仿宋"/>
          <w:spacing w:val="5"/>
          <w:sz w:val="28"/>
          <w:szCs w:val="28"/>
        </w:rPr>
        <w:t>道渡</w:t>
      </w:r>
      <w:r>
        <w:rPr>
          <w:rFonts w:ascii="仿宋" w:hAnsi="仿宋" w:eastAsia="仿宋" w:cs="仿宋"/>
          <w:spacing w:val="-69"/>
          <w:sz w:val="28"/>
          <w:szCs w:val="28"/>
        </w:rPr>
        <w:t xml:space="preserve"> </w:t>
      </w:r>
      <w:r>
        <w:rPr>
          <w:rFonts w:ascii="仿宋" w:hAnsi="仿宋" w:eastAsia="仿宋" w:cs="仿宋"/>
          <w:spacing w:val="5"/>
          <w:sz w:val="28"/>
          <w:szCs w:val="28"/>
        </w:rPr>
        <w:t>口（停靠点）的安全整治工作；在重点码头</w:t>
      </w:r>
      <w:r>
        <w:rPr>
          <w:rFonts w:ascii="仿宋" w:hAnsi="仿宋" w:eastAsia="仿宋" w:cs="仿宋"/>
          <w:spacing w:val="4"/>
          <w:sz w:val="28"/>
          <w:szCs w:val="28"/>
        </w:rPr>
        <w:t>安装了</w:t>
      </w:r>
      <w:r>
        <w:rPr>
          <w:rFonts w:ascii="仿宋" w:hAnsi="仿宋" w:eastAsia="仿宋" w:cs="仿宋"/>
          <w:spacing w:val="-35"/>
          <w:sz w:val="28"/>
          <w:szCs w:val="28"/>
        </w:rPr>
        <w:t xml:space="preserve"> </w:t>
      </w:r>
      <w:r>
        <w:rPr>
          <w:rFonts w:ascii="仿宋" w:hAnsi="仿宋" w:eastAsia="仿宋" w:cs="仿宋"/>
          <w:spacing w:val="4"/>
          <w:sz w:val="28"/>
          <w:szCs w:val="28"/>
        </w:rPr>
        <w:t>8</w:t>
      </w:r>
      <w:r>
        <w:rPr>
          <w:rFonts w:ascii="仿宋" w:hAnsi="仿宋" w:eastAsia="仿宋" w:cs="仿宋"/>
          <w:spacing w:val="-45"/>
          <w:sz w:val="28"/>
          <w:szCs w:val="28"/>
        </w:rPr>
        <w:t xml:space="preserve"> </w:t>
      </w:r>
      <w:r>
        <w:rPr>
          <w:rFonts w:ascii="仿宋" w:hAnsi="仿宋" w:eastAsia="仿宋" w:cs="仿宋"/>
          <w:spacing w:val="4"/>
          <w:sz w:val="28"/>
          <w:szCs w:val="28"/>
        </w:rPr>
        <w:t>组视</w:t>
      </w:r>
      <w:r>
        <w:rPr>
          <w:rFonts w:ascii="仿宋" w:hAnsi="仿宋" w:eastAsia="仿宋" w:cs="仿宋"/>
          <w:spacing w:val="6"/>
          <w:sz w:val="28"/>
          <w:szCs w:val="28"/>
        </w:rPr>
        <w:t>频监控设备，初步形成了重点码头监控网络化和重点水域船舶航行动态监</w:t>
      </w:r>
      <w:r>
        <w:rPr>
          <w:rFonts w:ascii="仿宋" w:hAnsi="仿宋" w:eastAsia="仿宋" w:cs="仿宋"/>
          <w:spacing w:val="1"/>
          <w:sz w:val="28"/>
          <w:szCs w:val="28"/>
        </w:rPr>
        <w:t>管。至</w:t>
      </w:r>
      <w:r>
        <w:rPr>
          <w:rFonts w:ascii="仿宋" w:hAnsi="仿宋" w:eastAsia="仿宋" w:cs="仿宋"/>
          <w:spacing w:val="-39"/>
          <w:sz w:val="28"/>
          <w:szCs w:val="28"/>
        </w:rPr>
        <w:t xml:space="preserve"> </w:t>
      </w:r>
      <w:r>
        <w:rPr>
          <w:rFonts w:ascii="仿宋" w:hAnsi="仿宋" w:eastAsia="仿宋" w:cs="仿宋"/>
          <w:spacing w:val="1"/>
          <w:sz w:val="28"/>
          <w:szCs w:val="28"/>
        </w:rPr>
        <w:t>2020</w:t>
      </w:r>
      <w:r>
        <w:rPr>
          <w:rFonts w:ascii="仿宋" w:hAnsi="仿宋" w:eastAsia="仿宋" w:cs="仿宋"/>
          <w:spacing w:val="-48"/>
          <w:sz w:val="28"/>
          <w:szCs w:val="28"/>
        </w:rPr>
        <w:t xml:space="preserve"> </w:t>
      </w:r>
      <w:r>
        <w:rPr>
          <w:rFonts w:ascii="仿宋" w:hAnsi="仿宋" w:eastAsia="仿宋" w:cs="仿宋"/>
          <w:spacing w:val="1"/>
          <w:sz w:val="28"/>
          <w:szCs w:val="28"/>
        </w:rPr>
        <w:t>年底，全市航道</w:t>
      </w:r>
      <w:r>
        <w:rPr>
          <w:rFonts w:ascii="仿宋" w:hAnsi="仿宋" w:eastAsia="仿宋" w:cs="仿宋"/>
          <w:spacing w:val="-32"/>
          <w:sz w:val="28"/>
          <w:szCs w:val="28"/>
        </w:rPr>
        <w:t xml:space="preserve"> </w:t>
      </w:r>
      <w:r>
        <w:rPr>
          <w:rFonts w:ascii="仿宋" w:hAnsi="仿宋" w:eastAsia="仿宋" w:cs="仿宋"/>
          <w:spacing w:val="1"/>
          <w:sz w:val="28"/>
          <w:szCs w:val="28"/>
        </w:rPr>
        <w:t>16</w:t>
      </w:r>
      <w:r>
        <w:rPr>
          <w:rFonts w:ascii="仿宋" w:hAnsi="仿宋" w:eastAsia="仿宋" w:cs="仿宋"/>
          <w:spacing w:val="-48"/>
          <w:sz w:val="28"/>
          <w:szCs w:val="28"/>
        </w:rPr>
        <w:t xml:space="preserve"> </w:t>
      </w:r>
      <w:r>
        <w:rPr>
          <w:rFonts w:ascii="仿宋" w:hAnsi="仿宋" w:eastAsia="仿宋" w:cs="仿宋"/>
          <w:spacing w:val="1"/>
          <w:sz w:val="28"/>
          <w:szCs w:val="28"/>
        </w:rPr>
        <w:t>条，通航里程</w:t>
      </w:r>
      <w:r>
        <w:rPr>
          <w:rFonts w:ascii="仿宋" w:hAnsi="仿宋" w:eastAsia="仿宋" w:cs="仿宋"/>
          <w:spacing w:val="-28"/>
          <w:sz w:val="28"/>
          <w:szCs w:val="28"/>
        </w:rPr>
        <w:t xml:space="preserve"> </w:t>
      </w:r>
      <w:r>
        <w:rPr>
          <w:rFonts w:ascii="仿宋" w:hAnsi="仿宋" w:eastAsia="仿宋" w:cs="仿宋"/>
          <w:spacing w:val="1"/>
          <w:sz w:val="28"/>
          <w:szCs w:val="28"/>
        </w:rPr>
        <w:t>323</w:t>
      </w:r>
      <w:r>
        <w:rPr>
          <w:rFonts w:ascii="仿宋" w:hAnsi="仿宋" w:eastAsia="仿宋" w:cs="仿宋"/>
          <w:sz w:val="28"/>
          <w:szCs w:val="28"/>
        </w:rPr>
        <w:t>.3</w:t>
      </w:r>
      <w:r>
        <w:rPr>
          <w:rFonts w:ascii="仿宋" w:hAnsi="仿宋" w:eastAsia="仿宋" w:cs="仿宋"/>
          <w:spacing w:val="-42"/>
          <w:sz w:val="28"/>
          <w:szCs w:val="28"/>
        </w:rPr>
        <w:t xml:space="preserve"> </w:t>
      </w:r>
      <w:r>
        <w:rPr>
          <w:rFonts w:ascii="仿宋" w:hAnsi="仿宋" w:eastAsia="仿宋" w:cs="仿宋"/>
          <w:sz w:val="28"/>
          <w:szCs w:val="28"/>
        </w:rPr>
        <w:t>千米，拥有发证的航</w:t>
      </w:r>
      <w:r>
        <w:rPr>
          <w:rFonts w:ascii="仿宋" w:hAnsi="仿宋" w:eastAsia="仿宋" w:cs="仿宋"/>
          <w:spacing w:val="-2"/>
          <w:sz w:val="28"/>
          <w:szCs w:val="28"/>
        </w:rPr>
        <w:t>运公司</w:t>
      </w:r>
      <w:r>
        <w:rPr>
          <w:rFonts w:ascii="仿宋" w:hAnsi="仿宋" w:eastAsia="仿宋" w:cs="仿宋"/>
          <w:spacing w:val="-33"/>
          <w:sz w:val="28"/>
          <w:szCs w:val="28"/>
        </w:rPr>
        <w:t xml:space="preserve"> </w:t>
      </w:r>
      <w:r>
        <w:rPr>
          <w:rFonts w:ascii="仿宋" w:hAnsi="仿宋" w:eastAsia="仿宋" w:cs="仿宋"/>
          <w:spacing w:val="-2"/>
          <w:sz w:val="28"/>
          <w:szCs w:val="28"/>
        </w:rPr>
        <w:t>5</w:t>
      </w:r>
      <w:r>
        <w:rPr>
          <w:rFonts w:ascii="仿宋" w:hAnsi="仿宋" w:eastAsia="仿宋" w:cs="仿宋"/>
          <w:spacing w:val="-46"/>
          <w:sz w:val="28"/>
          <w:szCs w:val="28"/>
        </w:rPr>
        <w:t xml:space="preserve"> </w:t>
      </w:r>
      <w:r>
        <w:rPr>
          <w:rFonts w:ascii="仿宋" w:hAnsi="仿宋" w:eastAsia="仿宋" w:cs="仿宋"/>
          <w:spacing w:val="-2"/>
          <w:sz w:val="28"/>
          <w:szCs w:val="28"/>
        </w:rPr>
        <w:t>家，各类船舶</w:t>
      </w:r>
      <w:r>
        <w:rPr>
          <w:rFonts w:ascii="仿宋" w:hAnsi="仿宋" w:eastAsia="仿宋" w:cs="仿宋"/>
          <w:spacing w:val="-33"/>
          <w:sz w:val="28"/>
          <w:szCs w:val="28"/>
        </w:rPr>
        <w:t xml:space="preserve"> </w:t>
      </w:r>
      <w:r>
        <w:rPr>
          <w:rFonts w:ascii="仿宋" w:hAnsi="仿宋" w:eastAsia="仿宋" w:cs="仿宋"/>
          <w:spacing w:val="-2"/>
          <w:sz w:val="28"/>
          <w:szCs w:val="28"/>
        </w:rPr>
        <w:t>1288</w:t>
      </w:r>
      <w:r>
        <w:rPr>
          <w:rFonts w:ascii="仿宋" w:hAnsi="仿宋" w:eastAsia="仿宋" w:cs="仿宋"/>
          <w:spacing w:val="-47"/>
          <w:sz w:val="28"/>
          <w:szCs w:val="28"/>
        </w:rPr>
        <w:t xml:space="preserve"> </w:t>
      </w:r>
      <w:r>
        <w:rPr>
          <w:rFonts w:ascii="仿宋" w:hAnsi="仿宋" w:eastAsia="仿宋" w:cs="仿宋"/>
          <w:spacing w:val="-2"/>
          <w:sz w:val="28"/>
          <w:szCs w:val="28"/>
        </w:rPr>
        <w:t>艘。</w:t>
      </w:r>
    </w:p>
    <w:p w14:paraId="4B3ABF48">
      <w:pPr>
        <w:spacing w:before="66" w:line="222" w:lineRule="auto"/>
        <w:ind w:left="569"/>
        <w:outlineLvl w:val="2"/>
        <w:rPr>
          <w:rFonts w:ascii="黑体" w:hAnsi="黑体" w:eastAsia="黑体" w:cs="黑体"/>
          <w:sz w:val="28"/>
          <w:szCs w:val="28"/>
        </w:rPr>
      </w:pPr>
      <w:bookmarkStart w:id="6" w:name="bookmark5"/>
      <w:bookmarkEnd w:id="6"/>
      <w:r>
        <w:rPr>
          <w:rFonts w:ascii="黑体" w:hAnsi="黑体" w:eastAsia="黑体" w:cs="黑体"/>
          <w:spacing w:val="-1"/>
          <w:sz w:val="28"/>
          <w:szCs w:val="28"/>
        </w:rPr>
        <w:t>2. 枢纽场站建设初成体系</w:t>
      </w:r>
    </w:p>
    <w:p w14:paraId="79E27388">
      <w:pPr>
        <w:spacing w:before="286" w:line="343" w:lineRule="auto"/>
        <w:ind w:left="9" w:right="79" w:firstLine="595"/>
        <w:jc w:val="both"/>
        <w:rPr>
          <w:rFonts w:ascii="仿宋" w:hAnsi="仿宋" w:eastAsia="仿宋" w:cs="仿宋"/>
          <w:sz w:val="28"/>
          <w:szCs w:val="28"/>
        </w:rPr>
      </w:pPr>
      <w:r>
        <w:rPr>
          <w:rFonts w:ascii="仿宋" w:hAnsi="仿宋" w:eastAsia="仿宋" w:cs="仿宋"/>
          <w:spacing w:val="6"/>
          <w:sz w:val="28"/>
          <w:szCs w:val="28"/>
        </w:rPr>
        <w:t>“十三五”期间，全市推进完善等级汽车客运站的站</w:t>
      </w:r>
      <w:r>
        <w:rPr>
          <w:rFonts w:ascii="仿宋" w:hAnsi="仿宋" w:eastAsia="仿宋" w:cs="仿宋"/>
          <w:spacing w:val="5"/>
          <w:sz w:val="28"/>
          <w:szCs w:val="28"/>
        </w:rPr>
        <w:t>务服务设施设备</w:t>
      </w:r>
      <w:r>
        <w:rPr>
          <w:rFonts w:ascii="仿宋" w:hAnsi="仿宋" w:eastAsia="仿宋" w:cs="仿宋"/>
          <w:spacing w:val="9"/>
          <w:sz w:val="28"/>
          <w:szCs w:val="28"/>
        </w:rPr>
        <w:t>15</w:t>
      </w:r>
      <w:r>
        <w:rPr>
          <w:rFonts w:ascii="仿宋" w:hAnsi="仿宋" w:eastAsia="仿宋" w:cs="仿宋"/>
          <w:spacing w:val="-44"/>
          <w:sz w:val="28"/>
          <w:szCs w:val="28"/>
        </w:rPr>
        <w:t xml:space="preserve"> </w:t>
      </w:r>
      <w:r>
        <w:rPr>
          <w:rFonts w:ascii="仿宋" w:hAnsi="仿宋" w:eastAsia="仿宋" w:cs="仿宋"/>
          <w:spacing w:val="9"/>
          <w:sz w:val="28"/>
          <w:szCs w:val="28"/>
        </w:rPr>
        <w:t>个，完成曲靖北综合交通枢纽项目前期工</w:t>
      </w:r>
      <w:r>
        <w:rPr>
          <w:rFonts w:ascii="仿宋" w:hAnsi="仿宋" w:eastAsia="仿宋" w:cs="仿宋"/>
          <w:spacing w:val="8"/>
          <w:sz w:val="28"/>
          <w:szCs w:val="28"/>
        </w:rPr>
        <w:t>作；2017</w:t>
      </w:r>
      <w:r>
        <w:rPr>
          <w:rFonts w:ascii="仿宋" w:hAnsi="仿宋" w:eastAsia="仿宋" w:cs="仿宋"/>
          <w:spacing w:val="-43"/>
          <w:sz w:val="28"/>
          <w:szCs w:val="28"/>
        </w:rPr>
        <w:t xml:space="preserve"> </w:t>
      </w:r>
      <w:r>
        <w:rPr>
          <w:rFonts w:ascii="仿宋" w:hAnsi="仿宋" w:eastAsia="仿宋" w:cs="仿宋"/>
          <w:spacing w:val="8"/>
          <w:sz w:val="28"/>
          <w:szCs w:val="28"/>
        </w:rPr>
        <w:t>年重点建成陆良县</w:t>
      </w:r>
      <w:r>
        <w:rPr>
          <w:rFonts w:ascii="仿宋" w:hAnsi="仿宋" w:eastAsia="仿宋" w:cs="仿宋"/>
          <w:spacing w:val="6"/>
          <w:sz w:val="28"/>
          <w:szCs w:val="28"/>
        </w:rPr>
        <w:t>冷链物流园并投入运营，该物流园作为云南省最大的蔬菜冷链物流园，被</w:t>
      </w:r>
      <w:r>
        <w:rPr>
          <w:rFonts w:ascii="仿宋" w:hAnsi="仿宋" w:eastAsia="仿宋" w:cs="仿宋"/>
          <w:spacing w:val="2"/>
          <w:sz w:val="28"/>
          <w:szCs w:val="28"/>
        </w:rPr>
        <w:t>评定为</w:t>
      </w:r>
      <w:r>
        <w:rPr>
          <w:rFonts w:ascii="仿宋" w:hAnsi="仿宋" w:eastAsia="仿宋" w:cs="仿宋"/>
          <w:spacing w:val="-90"/>
          <w:sz w:val="28"/>
          <w:szCs w:val="28"/>
        </w:rPr>
        <w:t xml:space="preserve"> </w:t>
      </w:r>
      <w:r>
        <w:rPr>
          <w:rFonts w:ascii="仿宋" w:hAnsi="仿宋" w:eastAsia="仿宋" w:cs="仿宋"/>
          <w:spacing w:val="2"/>
          <w:sz w:val="28"/>
          <w:szCs w:val="28"/>
        </w:rPr>
        <w:t>“</w:t>
      </w:r>
      <w:r>
        <w:rPr>
          <w:rFonts w:ascii="仿宋" w:hAnsi="仿宋" w:eastAsia="仿宋" w:cs="仿宋"/>
          <w:spacing w:val="-109"/>
          <w:sz w:val="28"/>
          <w:szCs w:val="28"/>
        </w:rPr>
        <w:t xml:space="preserve"> </w:t>
      </w:r>
      <w:r>
        <w:rPr>
          <w:rFonts w:ascii="仿宋" w:hAnsi="仿宋" w:eastAsia="仿宋" w:cs="仿宋"/>
          <w:spacing w:val="2"/>
          <w:sz w:val="28"/>
          <w:szCs w:val="28"/>
        </w:rPr>
        <w:t>2018</w:t>
      </w:r>
      <w:r>
        <w:rPr>
          <w:rFonts w:ascii="仿宋" w:hAnsi="仿宋" w:eastAsia="仿宋" w:cs="仿宋"/>
          <w:spacing w:val="-47"/>
          <w:sz w:val="28"/>
          <w:szCs w:val="28"/>
        </w:rPr>
        <w:t xml:space="preserve"> </w:t>
      </w:r>
      <w:r>
        <w:rPr>
          <w:rFonts w:ascii="仿宋" w:hAnsi="仿宋" w:eastAsia="仿宋" w:cs="仿宋"/>
          <w:spacing w:val="2"/>
          <w:sz w:val="28"/>
          <w:szCs w:val="28"/>
        </w:rPr>
        <w:t>年度省级示范物流园区”。</w:t>
      </w:r>
      <w:r>
        <w:rPr>
          <w:rFonts w:ascii="仿宋" w:hAnsi="仿宋" w:eastAsia="仿宋" w:cs="仿宋"/>
          <w:spacing w:val="-84"/>
          <w:sz w:val="28"/>
          <w:szCs w:val="28"/>
        </w:rPr>
        <w:t xml:space="preserve"> </w:t>
      </w:r>
      <w:r>
        <w:rPr>
          <w:rFonts w:ascii="仿宋" w:hAnsi="仿宋" w:eastAsia="仿宋" w:cs="仿宋"/>
          <w:spacing w:val="2"/>
          <w:sz w:val="28"/>
          <w:szCs w:val="28"/>
        </w:rPr>
        <w:t>至</w:t>
      </w:r>
      <w:r>
        <w:rPr>
          <w:rFonts w:ascii="仿宋" w:hAnsi="仿宋" w:eastAsia="仿宋" w:cs="仿宋"/>
          <w:spacing w:val="-37"/>
          <w:sz w:val="28"/>
          <w:szCs w:val="28"/>
        </w:rPr>
        <w:t xml:space="preserve"> </w:t>
      </w:r>
      <w:r>
        <w:rPr>
          <w:rFonts w:ascii="仿宋" w:hAnsi="仿宋" w:eastAsia="仿宋" w:cs="仿宋"/>
          <w:spacing w:val="2"/>
          <w:sz w:val="28"/>
          <w:szCs w:val="28"/>
        </w:rPr>
        <w:t>2020</w:t>
      </w:r>
      <w:r>
        <w:rPr>
          <w:rFonts w:ascii="仿宋" w:hAnsi="仿宋" w:eastAsia="仿宋" w:cs="仿宋"/>
          <w:spacing w:val="-45"/>
          <w:sz w:val="28"/>
          <w:szCs w:val="28"/>
        </w:rPr>
        <w:t xml:space="preserve"> </w:t>
      </w:r>
      <w:r>
        <w:rPr>
          <w:rFonts w:ascii="仿宋" w:hAnsi="仿宋" w:eastAsia="仿宋" w:cs="仿宋"/>
          <w:spacing w:val="1"/>
          <w:sz w:val="28"/>
          <w:szCs w:val="28"/>
        </w:rPr>
        <w:t>年底，全市汽车客运站</w:t>
      </w:r>
      <w:r>
        <w:rPr>
          <w:rFonts w:ascii="仿宋" w:hAnsi="仿宋" w:eastAsia="仿宋" w:cs="仿宋"/>
          <w:sz w:val="28"/>
          <w:szCs w:val="28"/>
        </w:rPr>
        <w:t>共有</w:t>
      </w:r>
      <w:r>
        <w:rPr>
          <w:rFonts w:ascii="仿宋" w:hAnsi="仿宋" w:eastAsia="仿宋" w:cs="仿宋"/>
          <w:spacing w:val="-35"/>
          <w:sz w:val="28"/>
          <w:szCs w:val="28"/>
        </w:rPr>
        <w:t xml:space="preserve"> </w:t>
      </w:r>
      <w:r>
        <w:rPr>
          <w:rFonts w:ascii="仿宋" w:hAnsi="仿宋" w:eastAsia="仿宋" w:cs="仿宋"/>
          <w:sz w:val="28"/>
          <w:szCs w:val="28"/>
        </w:rPr>
        <w:t>822</w:t>
      </w:r>
      <w:r>
        <w:rPr>
          <w:rFonts w:ascii="仿宋" w:hAnsi="仿宋" w:eastAsia="仿宋" w:cs="仿宋"/>
          <w:spacing w:val="-44"/>
          <w:sz w:val="28"/>
          <w:szCs w:val="28"/>
        </w:rPr>
        <w:t xml:space="preserve"> </w:t>
      </w:r>
      <w:r>
        <w:rPr>
          <w:rFonts w:ascii="仿宋" w:hAnsi="仿宋" w:eastAsia="仿宋" w:cs="仿宋"/>
          <w:sz w:val="28"/>
          <w:szCs w:val="28"/>
        </w:rPr>
        <w:t>个，其中等级客运站</w:t>
      </w:r>
      <w:r>
        <w:rPr>
          <w:rFonts w:ascii="仿宋" w:hAnsi="仿宋" w:eastAsia="仿宋" w:cs="仿宋"/>
          <w:spacing w:val="-32"/>
          <w:sz w:val="28"/>
          <w:szCs w:val="28"/>
        </w:rPr>
        <w:t xml:space="preserve"> </w:t>
      </w:r>
      <w:r>
        <w:rPr>
          <w:rFonts w:ascii="仿宋" w:hAnsi="仿宋" w:eastAsia="仿宋" w:cs="仿宋"/>
          <w:sz w:val="28"/>
          <w:szCs w:val="28"/>
        </w:rPr>
        <w:t>89</w:t>
      </w:r>
      <w:r>
        <w:rPr>
          <w:rFonts w:ascii="仿宋" w:hAnsi="仿宋" w:eastAsia="仿宋" w:cs="仿宋"/>
          <w:spacing w:val="-46"/>
          <w:sz w:val="28"/>
          <w:szCs w:val="28"/>
        </w:rPr>
        <w:t xml:space="preserve"> </w:t>
      </w:r>
      <w:r>
        <w:rPr>
          <w:rFonts w:ascii="仿宋" w:hAnsi="仿宋" w:eastAsia="仿宋" w:cs="仿宋"/>
          <w:sz w:val="28"/>
          <w:szCs w:val="28"/>
        </w:rPr>
        <w:t>个（</w:t>
      </w:r>
      <w:r>
        <w:rPr>
          <w:rFonts w:ascii="仿宋" w:hAnsi="仿宋" w:eastAsia="仿宋" w:cs="仿宋"/>
          <w:spacing w:val="-65"/>
          <w:sz w:val="28"/>
          <w:szCs w:val="28"/>
        </w:rPr>
        <w:t xml:space="preserve"> </w:t>
      </w:r>
      <w:r>
        <w:rPr>
          <w:rFonts w:ascii="仿宋" w:hAnsi="仿宋" w:eastAsia="仿宋" w:cs="仿宋"/>
          <w:sz w:val="28"/>
          <w:szCs w:val="28"/>
        </w:rPr>
        <w:t>一级站</w:t>
      </w:r>
      <w:r>
        <w:rPr>
          <w:rFonts w:ascii="仿宋" w:hAnsi="仿宋" w:eastAsia="仿宋" w:cs="仿宋"/>
          <w:spacing w:val="-29"/>
          <w:sz w:val="28"/>
          <w:szCs w:val="28"/>
        </w:rPr>
        <w:t xml:space="preserve"> </w:t>
      </w:r>
      <w:r>
        <w:rPr>
          <w:rFonts w:ascii="仿宋" w:hAnsi="仿宋" w:eastAsia="仿宋" w:cs="仿宋"/>
          <w:sz w:val="28"/>
          <w:szCs w:val="28"/>
        </w:rPr>
        <w:t>6</w:t>
      </w:r>
      <w:r>
        <w:rPr>
          <w:rFonts w:ascii="仿宋" w:hAnsi="仿宋" w:eastAsia="仿宋" w:cs="仿宋"/>
          <w:spacing w:val="-49"/>
          <w:sz w:val="28"/>
          <w:szCs w:val="28"/>
        </w:rPr>
        <w:t xml:space="preserve"> </w:t>
      </w:r>
      <w:r>
        <w:rPr>
          <w:rFonts w:ascii="仿宋" w:hAnsi="仿宋" w:eastAsia="仿宋" w:cs="仿宋"/>
          <w:sz w:val="28"/>
          <w:szCs w:val="28"/>
        </w:rPr>
        <w:t>个、二级站</w:t>
      </w:r>
      <w:r>
        <w:rPr>
          <w:rFonts w:ascii="仿宋" w:hAnsi="仿宋" w:eastAsia="仿宋" w:cs="仿宋"/>
          <w:spacing w:val="-32"/>
          <w:sz w:val="28"/>
          <w:szCs w:val="28"/>
        </w:rPr>
        <w:t xml:space="preserve"> </w:t>
      </w:r>
      <w:r>
        <w:rPr>
          <w:rFonts w:ascii="仿宋" w:hAnsi="仿宋" w:eastAsia="仿宋" w:cs="仿宋"/>
          <w:sz w:val="28"/>
          <w:szCs w:val="28"/>
        </w:rPr>
        <w:t>7</w:t>
      </w:r>
      <w:r>
        <w:rPr>
          <w:rFonts w:ascii="仿宋" w:hAnsi="仿宋" w:eastAsia="仿宋" w:cs="仿宋"/>
          <w:spacing w:val="-47"/>
          <w:sz w:val="28"/>
          <w:szCs w:val="28"/>
        </w:rPr>
        <w:t xml:space="preserve"> </w:t>
      </w:r>
      <w:r>
        <w:rPr>
          <w:rFonts w:ascii="仿宋" w:hAnsi="仿宋" w:eastAsia="仿宋" w:cs="仿宋"/>
          <w:sz w:val="28"/>
          <w:szCs w:val="28"/>
        </w:rPr>
        <w:t>个</w:t>
      </w:r>
      <w:r>
        <w:rPr>
          <w:rFonts w:ascii="仿宋" w:hAnsi="仿宋" w:eastAsia="仿宋" w:cs="仿宋"/>
          <w:spacing w:val="12"/>
          <w:sz w:val="28"/>
          <w:szCs w:val="28"/>
        </w:rPr>
        <w:t>），</w:t>
      </w:r>
      <w:r>
        <w:rPr>
          <w:rFonts w:ascii="仿宋" w:hAnsi="仿宋" w:eastAsia="仿宋" w:cs="仿宋"/>
          <w:sz w:val="28"/>
          <w:szCs w:val="28"/>
        </w:rPr>
        <w:t>简易</w:t>
      </w:r>
      <w:r>
        <w:rPr>
          <w:rFonts w:ascii="仿宋" w:hAnsi="仿宋" w:eastAsia="仿宋" w:cs="仿宋"/>
          <w:spacing w:val="6"/>
          <w:sz w:val="28"/>
          <w:szCs w:val="28"/>
        </w:rPr>
        <w:t>站</w:t>
      </w:r>
      <w:r>
        <w:rPr>
          <w:rFonts w:ascii="仿宋" w:hAnsi="仿宋" w:eastAsia="仿宋" w:cs="仿宋"/>
          <w:spacing w:val="-30"/>
          <w:sz w:val="28"/>
          <w:szCs w:val="28"/>
        </w:rPr>
        <w:t xml:space="preserve"> </w:t>
      </w:r>
      <w:r>
        <w:rPr>
          <w:rFonts w:ascii="仿宋" w:hAnsi="仿宋" w:eastAsia="仿宋" w:cs="仿宋"/>
          <w:spacing w:val="6"/>
          <w:sz w:val="28"/>
          <w:szCs w:val="28"/>
        </w:rPr>
        <w:t>1</w:t>
      </w:r>
      <w:r>
        <w:rPr>
          <w:rFonts w:ascii="仿宋" w:hAnsi="仿宋" w:eastAsia="仿宋" w:cs="仿宋"/>
          <w:spacing w:val="-51"/>
          <w:sz w:val="28"/>
          <w:szCs w:val="28"/>
        </w:rPr>
        <w:t xml:space="preserve"> </w:t>
      </w:r>
      <w:r>
        <w:rPr>
          <w:rFonts w:ascii="仿宋" w:hAnsi="仿宋" w:eastAsia="仿宋" w:cs="仿宋"/>
          <w:spacing w:val="6"/>
          <w:sz w:val="28"/>
          <w:szCs w:val="28"/>
        </w:rPr>
        <w:t>个，招呼站（候车亭牌）732</w:t>
      </w:r>
      <w:r>
        <w:rPr>
          <w:rFonts w:ascii="仿宋" w:hAnsi="仿宋" w:eastAsia="仿宋" w:cs="仿宋"/>
          <w:spacing w:val="-49"/>
          <w:sz w:val="28"/>
          <w:szCs w:val="28"/>
        </w:rPr>
        <w:t xml:space="preserve"> </w:t>
      </w:r>
      <w:r>
        <w:rPr>
          <w:rFonts w:ascii="仿宋" w:hAnsi="仿宋" w:eastAsia="仿宋" w:cs="仿宋"/>
          <w:spacing w:val="6"/>
          <w:sz w:val="28"/>
          <w:szCs w:val="28"/>
        </w:rPr>
        <w:t>个；陆良县冷链物流园的建成极</w:t>
      </w:r>
      <w:r>
        <w:rPr>
          <w:rFonts w:ascii="仿宋" w:hAnsi="仿宋" w:eastAsia="仿宋" w:cs="仿宋"/>
          <w:spacing w:val="5"/>
          <w:sz w:val="28"/>
          <w:szCs w:val="28"/>
        </w:rPr>
        <w:t>大地促</w:t>
      </w:r>
      <w:r>
        <w:rPr>
          <w:rFonts w:ascii="仿宋" w:hAnsi="仿宋" w:eastAsia="仿宋" w:cs="仿宋"/>
          <w:spacing w:val="6"/>
          <w:sz w:val="28"/>
          <w:szCs w:val="28"/>
        </w:rPr>
        <w:t>进了陆良县及周边地区蔬菜产业的发展，有</w:t>
      </w:r>
      <w:r>
        <w:rPr>
          <w:rFonts w:ascii="仿宋" w:hAnsi="仿宋" w:eastAsia="仿宋" w:cs="仿宋"/>
          <w:spacing w:val="5"/>
          <w:sz w:val="28"/>
          <w:szCs w:val="28"/>
        </w:rPr>
        <w:t>助于提高农业生产技术水平。</w:t>
      </w:r>
    </w:p>
    <w:p w14:paraId="58B682F1">
      <w:pPr>
        <w:spacing w:before="73" w:line="222" w:lineRule="auto"/>
        <w:ind w:left="571"/>
        <w:outlineLvl w:val="2"/>
        <w:rPr>
          <w:rFonts w:ascii="黑体" w:hAnsi="黑体" w:eastAsia="黑体" w:cs="黑体"/>
          <w:sz w:val="28"/>
          <w:szCs w:val="28"/>
        </w:rPr>
      </w:pPr>
      <w:bookmarkStart w:id="7" w:name="bookmark6"/>
      <w:bookmarkEnd w:id="7"/>
      <w:r>
        <w:rPr>
          <w:rFonts w:ascii="黑体" w:hAnsi="黑体" w:eastAsia="黑体" w:cs="黑体"/>
          <w:spacing w:val="-1"/>
          <w:sz w:val="28"/>
          <w:szCs w:val="28"/>
        </w:rPr>
        <w:t>3. 运输服务质量稳步提升</w:t>
      </w:r>
    </w:p>
    <w:p w14:paraId="18FBCE0E">
      <w:pPr>
        <w:spacing w:before="292" w:line="343" w:lineRule="auto"/>
        <w:ind w:left="8" w:firstLine="596"/>
        <w:jc w:val="both"/>
        <w:rPr>
          <w:rFonts w:ascii="仿宋" w:hAnsi="仿宋" w:eastAsia="仿宋" w:cs="仿宋"/>
          <w:sz w:val="28"/>
          <w:szCs w:val="28"/>
        </w:rPr>
      </w:pPr>
      <w:r>
        <w:rPr>
          <w:rFonts w:ascii="仿宋" w:hAnsi="仿宋" w:eastAsia="仿宋" w:cs="仿宋"/>
          <w:spacing w:val="6"/>
          <w:sz w:val="28"/>
          <w:szCs w:val="28"/>
        </w:rPr>
        <w:t>“十三五”期间，全市不断优化调整运力结构，积极</w:t>
      </w:r>
      <w:r>
        <w:rPr>
          <w:rFonts w:ascii="仿宋" w:hAnsi="仿宋" w:eastAsia="仿宋" w:cs="仿宋"/>
          <w:spacing w:val="5"/>
          <w:sz w:val="28"/>
          <w:szCs w:val="28"/>
        </w:rPr>
        <w:t>引导新能源营运</w:t>
      </w:r>
      <w:r>
        <w:rPr>
          <w:rFonts w:ascii="仿宋" w:hAnsi="仿宋" w:eastAsia="仿宋" w:cs="仿宋"/>
          <w:spacing w:val="6"/>
          <w:sz w:val="28"/>
          <w:szCs w:val="28"/>
        </w:rPr>
        <w:t>车辆投入客运市场，客运服务品质稳步提升；加强定制客运发展，推动行</w:t>
      </w:r>
      <w:r>
        <w:rPr>
          <w:rFonts w:ascii="仿宋" w:hAnsi="仿宋" w:eastAsia="仿宋" w:cs="仿宋"/>
          <w:spacing w:val="5"/>
          <w:sz w:val="28"/>
          <w:szCs w:val="28"/>
        </w:rPr>
        <w:t>业转型升级；积极探索</w:t>
      </w:r>
      <w:r>
        <w:rPr>
          <w:rFonts w:ascii="仿宋" w:hAnsi="仿宋" w:eastAsia="仿宋" w:cs="仿宋"/>
          <w:spacing w:val="-89"/>
          <w:sz w:val="28"/>
          <w:szCs w:val="28"/>
        </w:rPr>
        <w:t xml:space="preserve"> </w:t>
      </w:r>
      <w:r>
        <w:rPr>
          <w:rFonts w:ascii="仿宋" w:hAnsi="仿宋" w:eastAsia="仿宋" w:cs="仿宋"/>
          <w:spacing w:val="5"/>
          <w:sz w:val="28"/>
          <w:szCs w:val="28"/>
        </w:rPr>
        <w:t>“城市公交下乡、农村客运进城”模式，实行城乡</w:t>
      </w:r>
      <w:r>
        <w:rPr>
          <w:rFonts w:ascii="仿宋" w:hAnsi="仿宋" w:eastAsia="仿宋" w:cs="仿宋"/>
          <w:sz w:val="28"/>
          <w:szCs w:val="28"/>
        </w:rPr>
        <w:t>公共交通基础设施共享共用，促进农村道路客运提质增效、绿色低碳发展，</w:t>
      </w:r>
      <w:r>
        <w:rPr>
          <w:rFonts w:ascii="仿宋" w:hAnsi="仿宋" w:eastAsia="仿宋" w:cs="仿宋"/>
          <w:spacing w:val="3"/>
          <w:sz w:val="28"/>
          <w:szCs w:val="28"/>
        </w:rPr>
        <w:t>实现了群众出行由</w:t>
      </w:r>
      <w:r>
        <w:rPr>
          <w:rFonts w:ascii="仿宋" w:hAnsi="仿宋" w:eastAsia="仿宋" w:cs="仿宋"/>
          <w:spacing w:val="-95"/>
          <w:sz w:val="28"/>
          <w:szCs w:val="28"/>
        </w:rPr>
        <w:t xml:space="preserve"> </w:t>
      </w:r>
      <w:r>
        <w:rPr>
          <w:rFonts w:ascii="仿宋" w:hAnsi="仿宋" w:eastAsia="仿宋" w:cs="仿宋"/>
          <w:spacing w:val="3"/>
          <w:sz w:val="28"/>
          <w:szCs w:val="28"/>
        </w:rPr>
        <w:t>“走得了”</w:t>
      </w:r>
      <w:r>
        <w:rPr>
          <w:rFonts w:ascii="仿宋" w:hAnsi="仿宋" w:eastAsia="仿宋" w:cs="仿宋"/>
          <w:spacing w:val="-110"/>
          <w:sz w:val="28"/>
          <w:szCs w:val="28"/>
        </w:rPr>
        <w:t xml:space="preserve"> </w:t>
      </w:r>
      <w:r>
        <w:rPr>
          <w:rFonts w:ascii="仿宋" w:hAnsi="仿宋" w:eastAsia="仿宋" w:cs="仿宋"/>
          <w:spacing w:val="3"/>
          <w:sz w:val="28"/>
          <w:szCs w:val="28"/>
        </w:rPr>
        <w:t>向</w:t>
      </w:r>
      <w:r>
        <w:rPr>
          <w:rFonts w:ascii="仿宋" w:hAnsi="仿宋" w:eastAsia="仿宋" w:cs="仿宋"/>
          <w:spacing w:val="-97"/>
          <w:sz w:val="28"/>
          <w:szCs w:val="28"/>
        </w:rPr>
        <w:t xml:space="preserve"> </w:t>
      </w:r>
      <w:r>
        <w:rPr>
          <w:rFonts w:ascii="仿宋" w:hAnsi="仿宋" w:eastAsia="仿宋" w:cs="仿宋"/>
          <w:spacing w:val="3"/>
          <w:sz w:val="28"/>
          <w:szCs w:val="28"/>
        </w:rPr>
        <w:t>“走得好”的转变。随着公路网、</w:t>
      </w:r>
      <w:r>
        <w:rPr>
          <w:rFonts w:ascii="仿宋" w:hAnsi="仿宋" w:eastAsia="仿宋" w:cs="仿宋"/>
          <w:spacing w:val="2"/>
          <w:sz w:val="28"/>
          <w:szCs w:val="28"/>
        </w:rPr>
        <w:t>铁路网</w:t>
      </w:r>
      <w:r>
        <w:rPr>
          <w:rFonts w:ascii="仿宋" w:hAnsi="仿宋" w:eastAsia="仿宋" w:cs="仿宋"/>
          <w:spacing w:val="9"/>
          <w:sz w:val="28"/>
          <w:szCs w:val="28"/>
        </w:rPr>
        <w:t>的不断优化和畅通，物流服务网络逐步完善</w:t>
      </w:r>
      <w:r>
        <w:rPr>
          <w:rFonts w:ascii="仿宋" w:hAnsi="仿宋" w:eastAsia="仿宋" w:cs="仿宋"/>
          <w:spacing w:val="8"/>
          <w:sz w:val="28"/>
          <w:szCs w:val="28"/>
        </w:rPr>
        <w:t>，物流组织方式进一步优化，</w:t>
      </w:r>
      <w:r>
        <w:rPr>
          <w:rFonts w:ascii="仿宋" w:hAnsi="仿宋" w:eastAsia="仿宋" w:cs="仿宋"/>
          <w:spacing w:val="6"/>
          <w:sz w:val="28"/>
          <w:szCs w:val="28"/>
        </w:rPr>
        <w:t>多式联运得到了加快发展，农村物流和邮政不断融合发展，货运总量稳定</w:t>
      </w:r>
    </w:p>
    <w:p w14:paraId="1406B94B">
      <w:pPr>
        <w:spacing w:line="343" w:lineRule="auto"/>
        <w:rPr>
          <w:rFonts w:ascii="仿宋" w:hAnsi="仿宋" w:eastAsia="仿宋" w:cs="仿宋"/>
          <w:sz w:val="28"/>
          <w:szCs w:val="28"/>
        </w:rPr>
        <w:sectPr>
          <w:headerReference r:id="rId21" w:type="default"/>
          <w:footerReference r:id="rId22" w:type="default"/>
          <w:pgSz w:w="11906" w:h="16839"/>
          <w:pgMar w:top="1222" w:right="1513" w:bottom="1156" w:left="1134" w:header="885" w:footer="920" w:gutter="0"/>
          <w:cols w:space="720" w:num="1"/>
        </w:sectPr>
      </w:pPr>
    </w:p>
    <w:p w14:paraId="7E688FB1">
      <w:pPr>
        <w:pStyle w:val="2"/>
        <w:spacing w:line="275" w:lineRule="auto"/>
      </w:pPr>
    </w:p>
    <w:p w14:paraId="60699BF7">
      <w:pPr>
        <w:spacing w:before="91" w:line="343" w:lineRule="auto"/>
        <w:ind w:left="10" w:right="83" w:firstLine="9"/>
        <w:jc w:val="both"/>
        <w:rPr>
          <w:rFonts w:ascii="仿宋" w:hAnsi="仿宋" w:eastAsia="仿宋" w:cs="仿宋"/>
          <w:sz w:val="28"/>
          <w:szCs w:val="28"/>
        </w:rPr>
      </w:pPr>
      <w:r>
        <w:rPr>
          <w:rFonts w:ascii="仿宋" w:hAnsi="仿宋" w:eastAsia="仿宋" w:cs="仿宋"/>
          <w:spacing w:val="6"/>
          <w:sz w:val="28"/>
          <w:szCs w:val="28"/>
        </w:rPr>
        <w:t>快速增长，交通物流成本不断降低。深入实施公交优先发展战略，积极推</w:t>
      </w:r>
      <w:r>
        <w:rPr>
          <w:rFonts w:ascii="仿宋" w:hAnsi="仿宋" w:eastAsia="仿宋" w:cs="仿宋"/>
          <w:spacing w:val="5"/>
          <w:sz w:val="28"/>
          <w:szCs w:val="28"/>
        </w:rPr>
        <w:t>进公交站建设，优化公交线路，先后投入近</w:t>
      </w:r>
      <w:r>
        <w:rPr>
          <w:rFonts w:ascii="仿宋" w:hAnsi="仿宋" w:eastAsia="仿宋" w:cs="仿宋"/>
          <w:spacing w:val="-39"/>
          <w:sz w:val="28"/>
          <w:szCs w:val="28"/>
        </w:rPr>
        <w:t xml:space="preserve"> </w:t>
      </w:r>
      <w:r>
        <w:rPr>
          <w:rFonts w:ascii="仿宋" w:hAnsi="仿宋" w:eastAsia="仿宋" w:cs="仿宋"/>
          <w:spacing w:val="5"/>
          <w:sz w:val="28"/>
          <w:szCs w:val="28"/>
        </w:rPr>
        <w:t>200</w:t>
      </w:r>
      <w:r>
        <w:rPr>
          <w:rFonts w:ascii="仿宋" w:hAnsi="仿宋" w:eastAsia="仿宋" w:cs="仿宋"/>
          <w:spacing w:val="-51"/>
          <w:sz w:val="28"/>
          <w:szCs w:val="28"/>
        </w:rPr>
        <w:t xml:space="preserve"> </w:t>
      </w:r>
      <w:r>
        <w:rPr>
          <w:rFonts w:ascii="仿宋" w:hAnsi="仿宋" w:eastAsia="仿宋" w:cs="仿宋"/>
          <w:spacing w:val="5"/>
          <w:sz w:val="28"/>
          <w:szCs w:val="28"/>
        </w:rPr>
        <w:t>辆新能源</w:t>
      </w:r>
      <w:r>
        <w:rPr>
          <w:rFonts w:ascii="仿宋" w:hAnsi="仿宋" w:eastAsia="仿宋" w:cs="仿宋"/>
          <w:spacing w:val="4"/>
          <w:sz w:val="28"/>
          <w:szCs w:val="28"/>
        </w:rPr>
        <w:t>公交，公交出行</w:t>
      </w:r>
      <w:r>
        <w:rPr>
          <w:rFonts w:ascii="仿宋" w:hAnsi="仿宋" w:eastAsia="仿宋" w:cs="仿宋"/>
          <w:spacing w:val="6"/>
          <w:sz w:val="28"/>
          <w:szCs w:val="28"/>
        </w:rPr>
        <w:t>服务质量显著提升；深化出租车行业改革，促进了行业持续稳定发展，基</w:t>
      </w:r>
      <w:r>
        <w:rPr>
          <w:rFonts w:ascii="仿宋" w:hAnsi="仿宋" w:eastAsia="仿宋" w:cs="仿宋"/>
          <w:spacing w:val="3"/>
          <w:sz w:val="28"/>
          <w:szCs w:val="28"/>
        </w:rPr>
        <w:t>本满足群众出行需求。至</w:t>
      </w:r>
      <w:r>
        <w:rPr>
          <w:rFonts w:ascii="仿宋" w:hAnsi="仿宋" w:eastAsia="仿宋" w:cs="仿宋"/>
          <w:spacing w:val="-38"/>
          <w:sz w:val="28"/>
          <w:szCs w:val="28"/>
        </w:rPr>
        <w:t xml:space="preserve"> </w:t>
      </w:r>
      <w:r>
        <w:rPr>
          <w:rFonts w:ascii="仿宋" w:hAnsi="仿宋" w:eastAsia="仿宋" w:cs="仿宋"/>
          <w:spacing w:val="3"/>
          <w:sz w:val="28"/>
          <w:szCs w:val="28"/>
        </w:rPr>
        <w:t>2020</w:t>
      </w:r>
      <w:r>
        <w:rPr>
          <w:rFonts w:ascii="仿宋" w:hAnsi="仿宋" w:eastAsia="仿宋" w:cs="仿宋"/>
          <w:spacing w:val="-48"/>
          <w:sz w:val="28"/>
          <w:szCs w:val="28"/>
        </w:rPr>
        <w:t xml:space="preserve"> </w:t>
      </w:r>
      <w:r>
        <w:rPr>
          <w:rFonts w:ascii="仿宋" w:hAnsi="仿宋" w:eastAsia="仿宋" w:cs="仿宋"/>
          <w:spacing w:val="3"/>
          <w:sz w:val="28"/>
          <w:szCs w:val="28"/>
        </w:rPr>
        <w:t>年底，全市拥有营运客车</w:t>
      </w:r>
      <w:r>
        <w:rPr>
          <w:rFonts w:ascii="仿宋" w:hAnsi="仿宋" w:eastAsia="仿宋" w:cs="仿宋"/>
          <w:spacing w:val="-40"/>
          <w:sz w:val="28"/>
          <w:szCs w:val="28"/>
        </w:rPr>
        <w:t xml:space="preserve"> </w:t>
      </w:r>
      <w:r>
        <w:rPr>
          <w:rFonts w:ascii="仿宋" w:hAnsi="仿宋" w:eastAsia="仿宋" w:cs="仿宋"/>
          <w:spacing w:val="3"/>
          <w:sz w:val="28"/>
          <w:szCs w:val="28"/>
        </w:rPr>
        <w:t>4430</w:t>
      </w:r>
      <w:r>
        <w:rPr>
          <w:rFonts w:ascii="仿宋" w:hAnsi="仿宋" w:eastAsia="仿宋" w:cs="仿宋"/>
          <w:spacing w:val="-51"/>
          <w:sz w:val="28"/>
          <w:szCs w:val="28"/>
        </w:rPr>
        <w:t xml:space="preserve"> </w:t>
      </w:r>
      <w:r>
        <w:rPr>
          <w:rFonts w:ascii="仿宋" w:hAnsi="仿宋" w:eastAsia="仿宋" w:cs="仿宋"/>
          <w:spacing w:val="3"/>
          <w:sz w:val="28"/>
          <w:szCs w:val="28"/>
        </w:rPr>
        <w:t>辆，客运线路</w:t>
      </w:r>
      <w:r>
        <w:rPr>
          <w:rFonts w:ascii="仿宋" w:hAnsi="仿宋" w:eastAsia="仿宋" w:cs="仿宋"/>
          <w:spacing w:val="-36"/>
          <w:sz w:val="28"/>
          <w:szCs w:val="28"/>
        </w:rPr>
        <w:t xml:space="preserve"> </w:t>
      </w:r>
      <w:r>
        <w:rPr>
          <w:rFonts w:ascii="仿宋" w:hAnsi="仿宋" w:eastAsia="仿宋" w:cs="仿宋"/>
          <w:spacing w:val="3"/>
          <w:sz w:val="28"/>
          <w:szCs w:val="28"/>
        </w:rPr>
        <w:t>872</w:t>
      </w:r>
      <w:r>
        <w:rPr>
          <w:rFonts w:ascii="仿宋" w:hAnsi="仿宋" w:eastAsia="仿宋" w:cs="仿宋"/>
          <w:spacing w:val="-48"/>
          <w:sz w:val="28"/>
          <w:szCs w:val="28"/>
        </w:rPr>
        <w:t xml:space="preserve"> </w:t>
      </w:r>
      <w:r>
        <w:rPr>
          <w:rFonts w:ascii="仿宋" w:hAnsi="仿宋" w:eastAsia="仿宋" w:cs="仿宋"/>
          <w:spacing w:val="3"/>
          <w:sz w:val="28"/>
          <w:szCs w:val="28"/>
        </w:rPr>
        <w:t>条，其中农村客运线路</w:t>
      </w:r>
      <w:r>
        <w:rPr>
          <w:rFonts w:ascii="仿宋" w:hAnsi="仿宋" w:eastAsia="仿宋" w:cs="仿宋"/>
          <w:spacing w:val="-37"/>
          <w:sz w:val="28"/>
          <w:szCs w:val="28"/>
        </w:rPr>
        <w:t xml:space="preserve"> </w:t>
      </w:r>
      <w:r>
        <w:rPr>
          <w:rFonts w:ascii="仿宋" w:hAnsi="仿宋" w:eastAsia="仿宋" w:cs="仿宋"/>
          <w:spacing w:val="3"/>
          <w:sz w:val="28"/>
          <w:szCs w:val="28"/>
        </w:rPr>
        <w:t>718</w:t>
      </w:r>
      <w:r>
        <w:rPr>
          <w:rFonts w:ascii="仿宋" w:hAnsi="仿宋" w:eastAsia="仿宋" w:cs="仿宋"/>
          <w:spacing w:val="-50"/>
          <w:sz w:val="28"/>
          <w:szCs w:val="28"/>
        </w:rPr>
        <w:t xml:space="preserve"> </w:t>
      </w:r>
      <w:r>
        <w:rPr>
          <w:rFonts w:ascii="仿宋" w:hAnsi="仿宋" w:eastAsia="仿宋" w:cs="仿宋"/>
          <w:spacing w:val="3"/>
          <w:sz w:val="28"/>
          <w:szCs w:val="28"/>
        </w:rPr>
        <w:t>条，实现所有乡镇、建制村通客</w:t>
      </w:r>
      <w:r>
        <w:rPr>
          <w:rFonts w:ascii="仿宋" w:hAnsi="仿宋" w:eastAsia="仿宋" w:cs="仿宋"/>
          <w:spacing w:val="2"/>
          <w:sz w:val="28"/>
          <w:szCs w:val="28"/>
        </w:rPr>
        <w:t>车率达100%；拥有营运货车</w:t>
      </w:r>
      <w:r>
        <w:rPr>
          <w:rFonts w:ascii="仿宋" w:hAnsi="仿宋" w:eastAsia="仿宋" w:cs="仿宋"/>
          <w:spacing w:val="-24"/>
          <w:sz w:val="28"/>
          <w:szCs w:val="28"/>
        </w:rPr>
        <w:t xml:space="preserve"> </w:t>
      </w:r>
      <w:r>
        <w:rPr>
          <w:rFonts w:ascii="仿宋" w:hAnsi="仿宋" w:eastAsia="仿宋" w:cs="仿宋"/>
          <w:spacing w:val="2"/>
          <w:sz w:val="28"/>
          <w:szCs w:val="28"/>
        </w:rPr>
        <w:t>25465</w:t>
      </w:r>
      <w:r>
        <w:rPr>
          <w:rFonts w:ascii="仿宋" w:hAnsi="仿宋" w:eastAsia="仿宋" w:cs="仿宋"/>
          <w:spacing w:val="-51"/>
          <w:sz w:val="28"/>
          <w:szCs w:val="28"/>
        </w:rPr>
        <w:t xml:space="preserve"> </w:t>
      </w:r>
      <w:r>
        <w:rPr>
          <w:rFonts w:ascii="仿宋" w:hAnsi="仿宋" w:eastAsia="仿宋" w:cs="仿宋"/>
          <w:spacing w:val="2"/>
          <w:sz w:val="28"/>
          <w:szCs w:val="28"/>
        </w:rPr>
        <w:t>辆，完成货运周转量</w:t>
      </w:r>
      <w:r>
        <w:rPr>
          <w:rFonts w:ascii="仿宋" w:hAnsi="仿宋" w:eastAsia="仿宋" w:cs="仿宋"/>
          <w:spacing w:val="-40"/>
          <w:sz w:val="28"/>
          <w:szCs w:val="28"/>
        </w:rPr>
        <w:t xml:space="preserve"> </w:t>
      </w:r>
      <w:r>
        <w:rPr>
          <w:rFonts w:ascii="仿宋" w:hAnsi="仿宋" w:eastAsia="仿宋" w:cs="仿宋"/>
          <w:spacing w:val="2"/>
          <w:sz w:val="28"/>
          <w:szCs w:val="28"/>
        </w:rPr>
        <w:t>2819480</w:t>
      </w:r>
      <w:r>
        <w:rPr>
          <w:rFonts w:ascii="仿宋" w:hAnsi="仿宋" w:eastAsia="仿宋" w:cs="仿宋"/>
          <w:spacing w:val="-35"/>
          <w:sz w:val="28"/>
          <w:szCs w:val="28"/>
        </w:rPr>
        <w:t xml:space="preserve"> </w:t>
      </w:r>
      <w:r>
        <w:rPr>
          <w:rFonts w:ascii="仿宋" w:hAnsi="仿宋" w:eastAsia="仿宋" w:cs="仿宋"/>
          <w:spacing w:val="2"/>
          <w:sz w:val="28"/>
          <w:szCs w:val="28"/>
        </w:rPr>
        <w:t>万吨公里；拥有</w:t>
      </w:r>
      <w:r>
        <w:rPr>
          <w:rFonts w:ascii="仿宋" w:hAnsi="仿宋" w:eastAsia="仿宋" w:cs="仿宋"/>
          <w:sz w:val="28"/>
          <w:szCs w:val="28"/>
        </w:rPr>
        <w:t>营运公交车辆</w:t>
      </w:r>
      <w:r>
        <w:rPr>
          <w:rFonts w:ascii="仿宋" w:hAnsi="仿宋" w:eastAsia="仿宋" w:cs="仿宋"/>
          <w:spacing w:val="-36"/>
          <w:sz w:val="28"/>
          <w:szCs w:val="28"/>
        </w:rPr>
        <w:t xml:space="preserve"> </w:t>
      </w:r>
      <w:r>
        <w:rPr>
          <w:rFonts w:ascii="仿宋" w:hAnsi="仿宋" w:eastAsia="仿宋" w:cs="仿宋"/>
          <w:sz w:val="28"/>
          <w:szCs w:val="28"/>
        </w:rPr>
        <w:t>839</w:t>
      </w:r>
      <w:r>
        <w:rPr>
          <w:rFonts w:ascii="仿宋" w:hAnsi="仿宋" w:eastAsia="仿宋" w:cs="仿宋"/>
          <w:spacing w:val="-52"/>
          <w:sz w:val="28"/>
          <w:szCs w:val="28"/>
        </w:rPr>
        <w:t xml:space="preserve"> </w:t>
      </w:r>
      <w:r>
        <w:rPr>
          <w:rFonts w:ascii="仿宋" w:hAnsi="仿宋" w:eastAsia="仿宋" w:cs="仿宋"/>
          <w:sz w:val="28"/>
          <w:szCs w:val="28"/>
        </w:rPr>
        <w:t>辆，新能源车辆占比达</w:t>
      </w:r>
      <w:r>
        <w:rPr>
          <w:rFonts w:ascii="仿宋" w:hAnsi="仿宋" w:eastAsia="仿宋" w:cs="仿宋"/>
          <w:spacing w:val="-28"/>
          <w:sz w:val="28"/>
          <w:szCs w:val="28"/>
        </w:rPr>
        <w:t xml:space="preserve"> </w:t>
      </w:r>
      <w:r>
        <w:rPr>
          <w:rFonts w:ascii="仿宋" w:hAnsi="仿宋" w:eastAsia="仿宋" w:cs="仿宋"/>
          <w:sz w:val="28"/>
          <w:szCs w:val="28"/>
        </w:rPr>
        <w:t>38.7%</w:t>
      </w:r>
      <w:r>
        <w:rPr>
          <w:rFonts w:ascii="仿宋" w:hAnsi="仿宋" w:eastAsia="仿宋" w:cs="仿宋"/>
          <w:spacing w:val="-1"/>
          <w:sz w:val="28"/>
          <w:szCs w:val="28"/>
        </w:rPr>
        <w:t>，公交营运线路</w:t>
      </w:r>
      <w:r>
        <w:rPr>
          <w:rFonts w:ascii="仿宋" w:hAnsi="仿宋" w:eastAsia="仿宋" w:cs="仿宋"/>
          <w:spacing w:val="-36"/>
          <w:sz w:val="28"/>
          <w:szCs w:val="28"/>
        </w:rPr>
        <w:t xml:space="preserve"> </w:t>
      </w:r>
      <w:r>
        <w:rPr>
          <w:rFonts w:ascii="仿宋" w:hAnsi="仿宋" w:eastAsia="仿宋" w:cs="仿宋"/>
          <w:spacing w:val="-1"/>
          <w:sz w:val="28"/>
          <w:szCs w:val="28"/>
        </w:rPr>
        <w:t>92</w:t>
      </w:r>
      <w:r>
        <w:rPr>
          <w:rFonts w:ascii="仿宋" w:hAnsi="仿宋" w:eastAsia="仿宋" w:cs="仿宋"/>
          <w:spacing w:val="-48"/>
          <w:sz w:val="28"/>
          <w:szCs w:val="28"/>
        </w:rPr>
        <w:t xml:space="preserve"> </w:t>
      </w:r>
      <w:r>
        <w:rPr>
          <w:rFonts w:ascii="仿宋" w:hAnsi="仿宋" w:eastAsia="仿宋" w:cs="仿宋"/>
          <w:spacing w:val="-1"/>
          <w:sz w:val="28"/>
          <w:szCs w:val="28"/>
        </w:rPr>
        <w:t>条，线路总长度为</w:t>
      </w:r>
      <w:r>
        <w:rPr>
          <w:rFonts w:ascii="仿宋" w:hAnsi="仿宋" w:eastAsia="仿宋" w:cs="仿宋"/>
          <w:spacing w:val="-29"/>
          <w:sz w:val="28"/>
          <w:szCs w:val="28"/>
        </w:rPr>
        <w:t xml:space="preserve"> </w:t>
      </w:r>
      <w:r>
        <w:rPr>
          <w:rFonts w:ascii="仿宋" w:hAnsi="仿宋" w:eastAsia="仿宋" w:cs="仿宋"/>
          <w:spacing w:val="-1"/>
          <w:sz w:val="28"/>
          <w:szCs w:val="28"/>
        </w:rPr>
        <w:t>1296.8</w:t>
      </w:r>
      <w:r>
        <w:rPr>
          <w:rFonts w:ascii="仿宋" w:hAnsi="仿宋" w:eastAsia="仿宋" w:cs="仿宋"/>
          <w:spacing w:val="-52"/>
          <w:sz w:val="28"/>
          <w:szCs w:val="28"/>
        </w:rPr>
        <w:t xml:space="preserve"> </w:t>
      </w:r>
      <w:r>
        <w:rPr>
          <w:rFonts w:ascii="仿宋" w:hAnsi="仿宋" w:eastAsia="仿宋" w:cs="仿宋"/>
          <w:spacing w:val="-1"/>
          <w:sz w:val="28"/>
          <w:szCs w:val="28"/>
        </w:rPr>
        <w:t>公里，公交客运量日均</w:t>
      </w:r>
      <w:r>
        <w:rPr>
          <w:rFonts w:ascii="仿宋" w:hAnsi="仿宋" w:eastAsia="仿宋" w:cs="仿宋"/>
          <w:spacing w:val="-28"/>
          <w:sz w:val="28"/>
          <w:szCs w:val="28"/>
        </w:rPr>
        <w:t xml:space="preserve"> </w:t>
      </w:r>
      <w:r>
        <w:rPr>
          <w:rFonts w:ascii="仿宋" w:hAnsi="仿宋" w:eastAsia="仿宋" w:cs="仿宋"/>
          <w:spacing w:val="-1"/>
          <w:sz w:val="28"/>
          <w:szCs w:val="28"/>
        </w:rPr>
        <w:t>32.8</w:t>
      </w:r>
      <w:r>
        <w:rPr>
          <w:rFonts w:ascii="仿宋" w:hAnsi="仿宋" w:eastAsia="仿宋" w:cs="仿宋"/>
          <w:spacing w:val="-36"/>
          <w:sz w:val="28"/>
          <w:szCs w:val="28"/>
        </w:rPr>
        <w:t xml:space="preserve"> </w:t>
      </w:r>
      <w:r>
        <w:rPr>
          <w:rFonts w:ascii="仿宋" w:hAnsi="仿宋" w:eastAsia="仿宋" w:cs="仿宋"/>
          <w:spacing w:val="-1"/>
          <w:sz w:val="28"/>
          <w:szCs w:val="28"/>
        </w:rPr>
        <w:t>万人次；拥有出租车</w:t>
      </w:r>
      <w:r>
        <w:rPr>
          <w:rFonts w:ascii="仿宋" w:hAnsi="仿宋" w:eastAsia="仿宋" w:cs="仿宋"/>
          <w:spacing w:val="-28"/>
          <w:sz w:val="28"/>
          <w:szCs w:val="28"/>
        </w:rPr>
        <w:t xml:space="preserve"> </w:t>
      </w:r>
      <w:r>
        <w:rPr>
          <w:rFonts w:ascii="仿宋" w:hAnsi="仿宋" w:eastAsia="仿宋" w:cs="仿宋"/>
          <w:spacing w:val="-1"/>
          <w:sz w:val="28"/>
          <w:szCs w:val="28"/>
        </w:rPr>
        <w:t>3331</w:t>
      </w:r>
      <w:r>
        <w:rPr>
          <w:rFonts w:ascii="仿宋" w:hAnsi="仿宋" w:eastAsia="仿宋" w:cs="仿宋"/>
          <w:spacing w:val="-2"/>
          <w:sz w:val="28"/>
          <w:szCs w:val="28"/>
        </w:rPr>
        <w:t>辆，</w:t>
      </w:r>
      <w:r>
        <w:rPr>
          <w:rFonts w:ascii="仿宋" w:hAnsi="仿宋" w:eastAsia="仿宋" w:cs="仿宋"/>
          <w:spacing w:val="-65"/>
          <w:sz w:val="28"/>
          <w:szCs w:val="28"/>
        </w:rPr>
        <w:t xml:space="preserve"> </w:t>
      </w:r>
      <w:r>
        <w:rPr>
          <w:rFonts w:ascii="仿宋" w:hAnsi="仿宋" w:eastAsia="仿宋" w:cs="仿宋"/>
          <w:spacing w:val="-2"/>
          <w:sz w:val="28"/>
          <w:szCs w:val="28"/>
        </w:rPr>
        <w:t>出租车日接送乘客</w:t>
      </w:r>
      <w:r>
        <w:rPr>
          <w:rFonts w:ascii="仿宋" w:hAnsi="仿宋" w:eastAsia="仿宋" w:cs="仿宋"/>
          <w:spacing w:val="-39"/>
          <w:sz w:val="28"/>
          <w:szCs w:val="28"/>
        </w:rPr>
        <w:t xml:space="preserve"> </w:t>
      </w:r>
      <w:r>
        <w:rPr>
          <w:rFonts w:ascii="仿宋" w:hAnsi="仿宋" w:eastAsia="仿宋" w:cs="仿宋"/>
          <w:spacing w:val="-2"/>
          <w:sz w:val="28"/>
          <w:szCs w:val="28"/>
        </w:rPr>
        <w:t>25.8</w:t>
      </w:r>
      <w:r>
        <w:rPr>
          <w:rFonts w:ascii="仿宋" w:hAnsi="仿宋" w:eastAsia="仿宋" w:cs="仿宋"/>
          <w:spacing w:val="-35"/>
          <w:sz w:val="28"/>
          <w:szCs w:val="28"/>
        </w:rPr>
        <w:t xml:space="preserve"> </w:t>
      </w:r>
      <w:r>
        <w:rPr>
          <w:rFonts w:ascii="仿宋" w:hAnsi="仿宋" w:eastAsia="仿宋" w:cs="仿宋"/>
          <w:spacing w:val="-2"/>
          <w:sz w:val="28"/>
          <w:szCs w:val="28"/>
        </w:rPr>
        <w:t>万人次。</w:t>
      </w:r>
    </w:p>
    <w:p w14:paraId="50AFCB4D">
      <w:pPr>
        <w:spacing w:before="14" w:line="342" w:lineRule="auto"/>
        <w:ind w:left="5" w:right="4" w:firstLine="579"/>
        <w:jc w:val="both"/>
        <w:rPr>
          <w:rFonts w:ascii="仿宋" w:hAnsi="仿宋" w:eastAsia="仿宋" w:cs="仿宋"/>
          <w:sz w:val="28"/>
          <w:szCs w:val="28"/>
        </w:rPr>
      </w:pPr>
      <w:r>
        <w:rPr>
          <w:rFonts w:ascii="仿宋" w:hAnsi="仿宋" w:eastAsia="仿宋" w:cs="仿宋"/>
          <w:spacing w:val="6"/>
          <w:sz w:val="28"/>
          <w:szCs w:val="28"/>
        </w:rPr>
        <w:t>全市邮政业发展平稳，邮政基础设施不断完善，实现了邮政服务乡乡</w:t>
      </w:r>
      <w:r>
        <w:rPr>
          <w:rFonts w:ascii="仿宋" w:hAnsi="仿宋" w:eastAsia="仿宋" w:cs="仿宋"/>
          <w:spacing w:val="7"/>
          <w:sz w:val="28"/>
          <w:szCs w:val="28"/>
        </w:rPr>
        <w:t>有局所，村村直通邮的目标，全市邮政网点乡</w:t>
      </w:r>
      <w:r>
        <w:rPr>
          <w:rFonts w:ascii="仿宋" w:hAnsi="仿宋" w:eastAsia="仿宋" w:cs="仿宋"/>
          <w:spacing w:val="6"/>
          <w:sz w:val="28"/>
          <w:szCs w:val="28"/>
        </w:rPr>
        <w:t>镇覆盖率、建制村直接通邮</w:t>
      </w:r>
      <w:r>
        <w:rPr>
          <w:rFonts w:ascii="仿宋" w:hAnsi="仿宋" w:eastAsia="仿宋" w:cs="仿宋"/>
          <w:spacing w:val="3"/>
          <w:sz w:val="28"/>
          <w:szCs w:val="28"/>
        </w:rPr>
        <w:t>率双双达到</w:t>
      </w:r>
      <w:r>
        <w:rPr>
          <w:rFonts w:ascii="仿宋" w:hAnsi="仿宋" w:eastAsia="仿宋" w:cs="仿宋"/>
          <w:spacing w:val="-30"/>
          <w:sz w:val="28"/>
          <w:szCs w:val="28"/>
        </w:rPr>
        <w:t xml:space="preserve"> </w:t>
      </w:r>
      <w:r>
        <w:rPr>
          <w:rFonts w:ascii="仿宋" w:hAnsi="仿宋" w:eastAsia="仿宋" w:cs="仿宋"/>
          <w:spacing w:val="3"/>
          <w:sz w:val="28"/>
          <w:szCs w:val="28"/>
        </w:rPr>
        <w:t>100%；行业环境不断优化，服务网络不断完善，服务能力显著</w:t>
      </w:r>
      <w:r>
        <w:rPr>
          <w:rFonts w:ascii="仿宋" w:hAnsi="仿宋" w:eastAsia="仿宋" w:cs="仿宋"/>
          <w:spacing w:val="-5"/>
          <w:sz w:val="28"/>
          <w:szCs w:val="28"/>
        </w:rPr>
        <w:t>增强，普惠民生扎实推进，监管效能有效提升，安全保障稳固有力。至</w:t>
      </w:r>
      <w:r>
        <w:rPr>
          <w:rFonts w:ascii="仿宋" w:hAnsi="仿宋" w:eastAsia="仿宋" w:cs="仿宋"/>
          <w:spacing w:val="-32"/>
          <w:sz w:val="28"/>
          <w:szCs w:val="28"/>
        </w:rPr>
        <w:t xml:space="preserve"> </w:t>
      </w:r>
      <w:r>
        <w:rPr>
          <w:rFonts w:ascii="仿宋" w:hAnsi="仿宋" w:eastAsia="仿宋" w:cs="仿宋"/>
          <w:spacing w:val="-5"/>
          <w:sz w:val="28"/>
          <w:szCs w:val="28"/>
        </w:rPr>
        <w:t>2020</w:t>
      </w:r>
      <w:r>
        <w:rPr>
          <w:rFonts w:ascii="仿宋" w:hAnsi="仿宋" w:eastAsia="仿宋" w:cs="仿宋"/>
          <w:sz w:val="28"/>
          <w:szCs w:val="28"/>
        </w:rPr>
        <w:t>年底，全市邮政行业业务总量、业务收入分别达到</w:t>
      </w:r>
      <w:r>
        <w:rPr>
          <w:rFonts w:ascii="仿宋" w:hAnsi="仿宋" w:eastAsia="仿宋" w:cs="仿宋"/>
          <w:spacing w:val="-37"/>
          <w:sz w:val="28"/>
          <w:szCs w:val="28"/>
        </w:rPr>
        <w:t xml:space="preserve"> </w:t>
      </w:r>
      <w:r>
        <w:rPr>
          <w:rFonts w:ascii="仿宋" w:hAnsi="仿宋" w:eastAsia="仿宋" w:cs="仿宋"/>
          <w:sz w:val="28"/>
          <w:szCs w:val="28"/>
        </w:rPr>
        <w:t>6.63</w:t>
      </w:r>
      <w:r>
        <w:rPr>
          <w:rFonts w:ascii="仿宋" w:hAnsi="仿宋" w:eastAsia="仿宋" w:cs="仿宋"/>
          <w:spacing w:val="-44"/>
          <w:sz w:val="28"/>
          <w:szCs w:val="28"/>
        </w:rPr>
        <w:t xml:space="preserve"> </w:t>
      </w:r>
      <w:r>
        <w:rPr>
          <w:rFonts w:ascii="仿宋" w:hAnsi="仿宋" w:eastAsia="仿宋" w:cs="仿宋"/>
          <w:sz w:val="28"/>
          <w:szCs w:val="28"/>
        </w:rPr>
        <w:t>亿元、5.2</w:t>
      </w:r>
      <w:r>
        <w:rPr>
          <w:rFonts w:ascii="仿宋" w:hAnsi="仿宋" w:eastAsia="仿宋" w:cs="仿宋"/>
          <w:spacing w:val="-1"/>
          <w:sz w:val="28"/>
          <w:szCs w:val="28"/>
        </w:rPr>
        <w:t>9</w:t>
      </w:r>
      <w:r>
        <w:rPr>
          <w:rFonts w:ascii="仿宋" w:hAnsi="仿宋" w:eastAsia="仿宋" w:cs="仿宋"/>
          <w:spacing w:val="-43"/>
          <w:sz w:val="28"/>
          <w:szCs w:val="28"/>
        </w:rPr>
        <w:t xml:space="preserve"> </w:t>
      </w:r>
      <w:r>
        <w:rPr>
          <w:rFonts w:ascii="仿宋" w:hAnsi="仿宋" w:eastAsia="仿宋" w:cs="仿宋"/>
          <w:spacing w:val="-1"/>
          <w:sz w:val="28"/>
          <w:szCs w:val="28"/>
        </w:rPr>
        <w:t>亿元，</w:t>
      </w:r>
      <w:r>
        <w:rPr>
          <w:rFonts w:ascii="仿宋" w:hAnsi="仿宋" w:eastAsia="仿宋" w:cs="仿宋"/>
          <w:spacing w:val="-9"/>
          <w:sz w:val="28"/>
          <w:szCs w:val="28"/>
        </w:rPr>
        <w:t>行业规模达“十二五”末的</w:t>
      </w:r>
      <w:r>
        <w:rPr>
          <w:rFonts w:ascii="仿宋" w:hAnsi="仿宋" w:eastAsia="仿宋" w:cs="仿宋"/>
          <w:spacing w:val="-39"/>
          <w:sz w:val="28"/>
          <w:szCs w:val="28"/>
        </w:rPr>
        <w:t xml:space="preserve"> </w:t>
      </w:r>
      <w:r>
        <w:rPr>
          <w:rFonts w:ascii="仿宋" w:hAnsi="仿宋" w:eastAsia="仿宋" w:cs="仿宋"/>
          <w:spacing w:val="-9"/>
          <w:sz w:val="28"/>
          <w:szCs w:val="28"/>
        </w:rPr>
        <w:t>2.4</w:t>
      </w:r>
      <w:r>
        <w:rPr>
          <w:rFonts w:ascii="仿宋" w:hAnsi="仿宋" w:eastAsia="仿宋" w:cs="仿宋"/>
          <w:spacing w:val="-54"/>
          <w:sz w:val="28"/>
          <w:szCs w:val="28"/>
        </w:rPr>
        <w:t xml:space="preserve"> </w:t>
      </w:r>
      <w:r>
        <w:rPr>
          <w:rFonts w:ascii="仿宋" w:hAnsi="仿宋" w:eastAsia="仿宋" w:cs="仿宋"/>
          <w:spacing w:val="-9"/>
          <w:sz w:val="28"/>
          <w:szCs w:val="28"/>
        </w:rPr>
        <w:t>倍，快递</w:t>
      </w:r>
      <w:r>
        <w:rPr>
          <w:rFonts w:ascii="仿宋" w:hAnsi="仿宋" w:eastAsia="仿宋" w:cs="仿宋"/>
          <w:spacing w:val="-10"/>
          <w:sz w:val="28"/>
          <w:szCs w:val="28"/>
        </w:rPr>
        <w:t>业务量、业务收入分别达到</w:t>
      </w:r>
      <w:r>
        <w:rPr>
          <w:rFonts w:ascii="仿宋" w:hAnsi="仿宋" w:eastAsia="仿宋" w:cs="仿宋"/>
          <w:spacing w:val="-30"/>
          <w:sz w:val="28"/>
          <w:szCs w:val="28"/>
        </w:rPr>
        <w:t xml:space="preserve"> </w:t>
      </w:r>
      <w:r>
        <w:rPr>
          <w:rFonts w:ascii="仿宋" w:hAnsi="仿宋" w:eastAsia="仿宋" w:cs="仿宋"/>
          <w:spacing w:val="-10"/>
          <w:sz w:val="28"/>
          <w:szCs w:val="28"/>
        </w:rPr>
        <w:t>1981.13</w:t>
      </w:r>
      <w:r>
        <w:rPr>
          <w:rFonts w:ascii="仿宋" w:hAnsi="仿宋" w:eastAsia="仿宋" w:cs="仿宋"/>
          <w:spacing w:val="4"/>
          <w:sz w:val="28"/>
          <w:szCs w:val="28"/>
        </w:rPr>
        <w:t>万件、2.89</w:t>
      </w:r>
      <w:r>
        <w:rPr>
          <w:rFonts w:ascii="仿宋" w:hAnsi="仿宋" w:eastAsia="仿宋" w:cs="仿宋"/>
          <w:spacing w:val="-27"/>
          <w:sz w:val="28"/>
          <w:szCs w:val="28"/>
        </w:rPr>
        <w:t xml:space="preserve"> </w:t>
      </w:r>
      <w:r>
        <w:rPr>
          <w:rFonts w:ascii="仿宋" w:hAnsi="仿宋" w:eastAsia="仿宋" w:cs="仿宋"/>
          <w:spacing w:val="4"/>
          <w:sz w:val="28"/>
          <w:szCs w:val="28"/>
        </w:rPr>
        <w:t>亿元；依法取得快递经营许可证的企业达到</w:t>
      </w:r>
      <w:r>
        <w:rPr>
          <w:rFonts w:ascii="仿宋" w:hAnsi="仿宋" w:eastAsia="仿宋" w:cs="仿宋"/>
          <w:spacing w:val="-36"/>
          <w:sz w:val="28"/>
          <w:szCs w:val="28"/>
        </w:rPr>
        <w:t xml:space="preserve"> </w:t>
      </w:r>
      <w:r>
        <w:rPr>
          <w:rFonts w:ascii="仿宋" w:hAnsi="仿宋" w:eastAsia="仿宋" w:cs="仿宋"/>
          <w:spacing w:val="4"/>
          <w:sz w:val="28"/>
          <w:szCs w:val="28"/>
        </w:rPr>
        <w:t>51</w:t>
      </w:r>
      <w:r>
        <w:rPr>
          <w:rFonts w:ascii="仿宋" w:hAnsi="仿宋" w:eastAsia="仿宋" w:cs="仿宋"/>
          <w:spacing w:val="-44"/>
          <w:sz w:val="28"/>
          <w:szCs w:val="28"/>
        </w:rPr>
        <w:t xml:space="preserve"> </w:t>
      </w:r>
      <w:r>
        <w:rPr>
          <w:rFonts w:ascii="仿宋" w:hAnsi="仿宋" w:eastAsia="仿宋" w:cs="仿宋"/>
          <w:spacing w:val="4"/>
          <w:sz w:val="28"/>
          <w:szCs w:val="28"/>
        </w:rPr>
        <w:t>家，分支机构</w:t>
      </w:r>
      <w:r>
        <w:rPr>
          <w:rFonts w:ascii="仿宋" w:hAnsi="仿宋" w:eastAsia="仿宋" w:cs="仿宋"/>
          <w:sz w:val="28"/>
          <w:szCs w:val="28"/>
        </w:rPr>
        <w:t>153</w:t>
      </w:r>
      <w:r>
        <w:rPr>
          <w:rFonts w:ascii="仿宋" w:hAnsi="仿宋" w:eastAsia="仿宋" w:cs="仿宋"/>
          <w:spacing w:val="-45"/>
          <w:sz w:val="28"/>
          <w:szCs w:val="28"/>
        </w:rPr>
        <w:t xml:space="preserve"> </w:t>
      </w:r>
      <w:r>
        <w:rPr>
          <w:rFonts w:ascii="仿宋" w:hAnsi="仿宋" w:eastAsia="仿宋" w:cs="仿宋"/>
          <w:sz w:val="28"/>
          <w:szCs w:val="28"/>
        </w:rPr>
        <w:t>家，末端网点</w:t>
      </w:r>
      <w:r>
        <w:rPr>
          <w:rFonts w:ascii="仿宋" w:hAnsi="仿宋" w:eastAsia="仿宋" w:cs="仿宋"/>
          <w:spacing w:val="-28"/>
          <w:sz w:val="28"/>
          <w:szCs w:val="28"/>
        </w:rPr>
        <w:t xml:space="preserve"> </w:t>
      </w:r>
      <w:r>
        <w:rPr>
          <w:rFonts w:ascii="仿宋" w:hAnsi="仿宋" w:eastAsia="仿宋" w:cs="仿宋"/>
          <w:sz w:val="28"/>
          <w:szCs w:val="28"/>
        </w:rPr>
        <w:t>324</w:t>
      </w:r>
      <w:r>
        <w:rPr>
          <w:rFonts w:ascii="仿宋" w:hAnsi="仿宋" w:eastAsia="仿宋" w:cs="仿宋"/>
          <w:spacing w:val="-49"/>
          <w:sz w:val="28"/>
          <w:szCs w:val="28"/>
        </w:rPr>
        <w:t xml:space="preserve"> </w:t>
      </w:r>
      <w:r>
        <w:rPr>
          <w:rFonts w:ascii="仿宋" w:hAnsi="仿宋" w:eastAsia="仿宋" w:cs="仿宋"/>
          <w:sz w:val="28"/>
          <w:szCs w:val="28"/>
        </w:rPr>
        <w:t>个，各类邮政快递营业场所超过</w:t>
      </w:r>
      <w:r>
        <w:rPr>
          <w:rFonts w:ascii="仿宋" w:hAnsi="仿宋" w:eastAsia="仿宋" w:cs="仿宋"/>
          <w:spacing w:val="-32"/>
          <w:sz w:val="28"/>
          <w:szCs w:val="28"/>
        </w:rPr>
        <w:t xml:space="preserve"> </w:t>
      </w:r>
      <w:r>
        <w:rPr>
          <w:rFonts w:ascii="仿宋" w:hAnsi="仿宋" w:eastAsia="仿宋" w:cs="仿宋"/>
          <w:sz w:val="28"/>
          <w:szCs w:val="28"/>
        </w:rPr>
        <w:t>1000</w:t>
      </w:r>
      <w:r>
        <w:rPr>
          <w:rFonts w:ascii="仿宋" w:hAnsi="仿宋" w:eastAsia="仿宋" w:cs="仿宋"/>
          <w:spacing w:val="-49"/>
          <w:sz w:val="28"/>
          <w:szCs w:val="28"/>
        </w:rPr>
        <w:t xml:space="preserve"> </w:t>
      </w:r>
      <w:r>
        <w:rPr>
          <w:rFonts w:ascii="仿宋" w:hAnsi="仿宋" w:eastAsia="仿宋" w:cs="仿宋"/>
          <w:sz w:val="28"/>
          <w:szCs w:val="28"/>
        </w:rPr>
        <w:t>个</w:t>
      </w:r>
      <w:r>
        <w:rPr>
          <w:rFonts w:ascii="仿宋" w:hAnsi="仿宋" w:eastAsia="仿宋" w:cs="仿宋"/>
          <w:spacing w:val="-1"/>
          <w:sz w:val="28"/>
          <w:szCs w:val="28"/>
        </w:rPr>
        <w:t>；全市邮政</w:t>
      </w:r>
      <w:r>
        <w:rPr>
          <w:rFonts w:ascii="仿宋" w:hAnsi="仿宋" w:eastAsia="仿宋" w:cs="仿宋"/>
          <w:spacing w:val="5"/>
          <w:sz w:val="28"/>
          <w:szCs w:val="28"/>
        </w:rPr>
        <w:t>行业建成</w:t>
      </w:r>
      <w:r>
        <w:rPr>
          <w:rFonts w:ascii="仿宋" w:hAnsi="仿宋" w:eastAsia="仿宋" w:cs="仿宋"/>
          <w:spacing w:val="-26"/>
          <w:sz w:val="28"/>
          <w:szCs w:val="28"/>
        </w:rPr>
        <w:t xml:space="preserve"> </w:t>
      </w:r>
      <w:r>
        <w:rPr>
          <w:rFonts w:ascii="仿宋" w:hAnsi="仿宋" w:eastAsia="仿宋" w:cs="仿宋"/>
          <w:spacing w:val="5"/>
          <w:sz w:val="28"/>
          <w:szCs w:val="28"/>
        </w:rPr>
        <w:t>3</w:t>
      </w:r>
      <w:r>
        <w:rPr>
          <w:rFonts w:ascii="仿宋" w:hAnsi="仿宋" w:eastAsia="仿宋" w:cs="仿宋"/>
          <w:spacing w:val="-49"/>
          <w:sz w:val="28"/>
          <w:szCs w:val="28"/>
        </w:rPr>
        <w:t xml:space="preserve"> </w:t>
      </w:r>
      <w:r>
        <w:rPr>
          <w:rFonts w:ascii="仿宋" w:hAnsi="仿宋" w:eastAsia="仿宋" w:cs="仿宋"/>
          <w:spacing w:val="5"/>
          <w:sz w:val="28"/>
          <w:szCs w:val="28"/>
        </w:rPr>
        <w:t>个县级仓储中心、30</w:t>
      </w:r>
      <w:r>
        <w:rPr>
          <w:rFonts w:ascii="仿宋" w:hAnsi="仿宋" w:eastAsia="仿宋" w:cs="仿宋"/>
          <w:spacing w:val="-49"/>
          <w:sz w:val="28"/>
          <w:szCs w:val="28"/>
        </w:rPr>
        <w:t xml:space="preserve"> </w:t>
      </w:r>
      <w:r>
        <w:rPr>
          <w:rFonts w:ascii="仿宋" w:hAnsi="仿宋" w:eastAsia="仿宋" w:cs="仿宋"/>
          <w:spacing w:val="5"/>
          <w:sz w:val="28"/>
          <w:szCs w:val="28"/>
        </w:rPr>
        <w:t>个乡镇站点、村级邮乐购站点</w:t>
      </w:r>
      <w:r>
        <w:rPr>
          <w:rFonts w:ascii="仿宋" w:hAnsi="仿宋" w:eastAsia="仿宋" w:cs="仿宋"/>
          <w:spacing w:val="-30"/>
          <w:sz w:val="28"/>
          <w:szCs w:val="28"/>
        </w:rPr>
        <w:t xml:space="preserve"> </w:t>
      </w:r>
      <w:r>
        <w:rPr>
          <w:rFonts w:ascii="仿宋" w:hAnsi="仿宋" w:eastAsia="仿宋" w:cs="仿宋"/>
          <w:spacing w:val="5"/>
          <w:sz w:val="28"/>
          <w:szCs w:val="28"/>
        </w:rPr>
        <w:t>1244</w:t>
      </w:r>
      <w:r>
        <w:rPr>
          <w:rFonts w:ascii="仿宋" w:hAnsi="仿宋" w:eastAsia="仿宋" w:cs="仿宋"/>
          <w:spacing w:val="-49"/>
          <w:sz w:val="28"/>
          <w:szCs w:val="28"/>
        </w:rPr>
        <w:t xml:space="preserve"> </w:t>
      </w:r>
      <w:r>
        <w:rPr>
          <w:rFonts w:ascii="仿宋" w:hAnsi="仿宋" w:eastAsia="仿宋" w:cs="仿宋"/>
          <w:spacing w:val="5"/>
          <w:sz w:val="28"/>
          <w:szCs w:val="28"/>
        </w:rPr>
        <w:t>个，</w:t>
      </w:r>
      <w:r>
        <w:rPr>
          <w:rFonts w:ascii="仿宋" w:hAnsi="仿宋" w:eastAsia="仿宋" w:cs="仿宋"/>
          <w:spacing w:val="7"/>
          <w:sz w:val="28"/>
          <w:szCs w:val="28"/>
        </w:rPr>
        <w:t>基本形成县、乡、村三级电商服务体系和物流</w:t>
      </w:r>
      <w:r>
        <w:rPr>
          <w:rFonts w:ascii="仿宋" w:hAnsi="仿宋" w:eastAsia="仿宋" w:cs="仿宋"/>
          <w:spacing w:val="6"/>
          <w:sz w:val="28"/>
          <w:szCs w:val="28"/>
        </w:rPr>
        <w:t>配送体系。邮政快递企业服</w:t>
      </w:r>
      <w:r>
        <w:rPr>
          <w:rFonts w:ascii="仿宋" w:hAnsi="仿宋" w:eastAsia="仿宋" w:cs="仿宋"/>
          <w:spacing w:val="7"/>
          <w:sz w:val="28"/>
          <w:szCs w:val="28"/>
        </w:rPr>
        <w:t>务辖区农业，有效带动了农村经济的发展，促进了农民增收。</w:t>
      </w:r>
    </w:p>
    <w:p w14:paraId="69CFCFA1">
      <w:pPr>
        <w:spacing w:before="71" w:line="222" w:lineRule="auto"/>
        <w:ind w:left="564"/>
        <w:outlineLvl w:val="2"/>
        <w:rPr>
          <w:rFonts w:ascii="黑体" w:hAnsi="黑体" w:eastAsia="黑体" w:cs="黑体"/>
          <w:sz w:val="28"/>
          <w:szCs w:val="28"/>
        </w:rPr>
      </w:pPr>
      <w:bookmarkStart w:id="8" w:name="bookmark7"/>
      <w:bookmarkEnd w:id="8"/>
      <w:r>
        <w:rPr>
          <w:rFonts w:ascii="黑体" w:hAnsi="黑体" w:eastAsia="黑体" w:cs="黑体"/>
          <w:spacing w:val="-1"/>
          <w:sz w:val="28"/>
          <w:szCs w:val="28"/>
        </w:rPr>
        <w:t>4. 智慧交通建设积极推进</w:t>
      </w:r>
    </w:p>
    <w:p w14:paraId="48321593">
      <w:pPr>
        <w:spacing w:before="289" w:line="343" w:lineRule="auto"/>
        <w:ind w:left="10" w:firstLine="595"/>
        <w:jc w:val="both"/>
        <w:rPr>
          <w:rFonts w:ascii="仿宋" w:hAnsi="仿宋" w:eastAsia="仿宋" w:cs="仿宋"/>
          <w:sz w:val="28"/>
          <w:szCs w:val="28"/>
        </w:rPr>
      </w:pPr>
      <w:r>
        <w:rPr>
          <w:rFonts w:ascii="仿宋" w:hAnsi="仿宋" w:eastAsia="仿宋" w:cs="仿宋"/>
          <w:spacing w:val="6"/>
          <w:sz w:val="28"/>
          <w:szCs w:val="28"/>
        </w:rPr>
        <w:t>“十三五”期间，全市积极推进交通行业信息化建设</w:t>
      </w:r>
      <w:r>
        <w:rPr>
          <w:rFonts w:ascii="仿宋" w:hAnsi="仿宋" w:eastAsia="仿宋" w:cs="仿宋"/>
          <w:spacing w:val="5"/>
          <w:sz w:val="28"/>
          <w:szCs w:val="28"/>
        </w:rPr>
        <w:t>，加强政务信息</w:t>
      </w:r>
      <w:r>
        <w:rPr>
          <w:rFonts w:ascii="仿宋" w:hAnsi="仿宋" w:eastAsia="仿宋" w:cs="仿宋"/>
          <w:spacing w:val="8"/>
          <w:sz w:val="28"/>
          <w:szCs w:val="28"/>
        </w:rPr>
        <w:t>化建设，大力推进整合共享，智慧交通得到加快发展。推进</w:t>
      </w:r>
      <w:r>
        <w:rPr>
          <w:rFonts w:ascii="仿宋" w:hAnsi="仿宋" w:eastAsia="仿宋" w:cs="仿宋"/>
          <w:spacing w:val="-86"/>
          <w:sz w:val="28"/>
          <w:szCs w:val="28"/>
        </w:rPr>
        <w:t xml:space="preserve"> </w:t>
      </w:r>
      <w:r>
        <w:rPr>
          <w:rFonts w:ascii="仿宋" w:hAnsi="仿宋" w:eastAsia="仿宋" w:cs="仿宋"/>
          <w:spacing w:val="8"/>
          <w:sz w:val="28"/>
          <w:szCs w:val="28"/>
        </w:rPr>
        <w:t>“</w:t>
      </w:r>
      <w:r>
        <w:rPr>
          <w:rFonts w:ascii="仿宋" w:hAnsi="仿宋" w:eastAsia="仿宋" w:cs="仿宋"/>
          <w:spacing w:val="-105"/>
          <w:sz w:val="28"/>
          <w:szCs w:val="28"/>
        </w:rPr>
        <w:t xml:space="preserve"> </w:t>
      </w:r>
      <w:r>
        <w:rPr>
          <w:rFonts w:ascii="仿宋" w:hAnsi="仿宋" w:eastAsia="仿宋" w:cs="仿宋"/>
          <w:spacing w:val="8"/>
          <w:sz w:val="28"/>
          <w:szCs w:val="28"/>
        </w:rPr>
        <w:t>互联网+政</w:t>
      </w:r>
      <w:r>
        <w:rPr>
          <w:rFonts w:ascii="仿宋" w:hAnsi="仿宋" w:eastAsia="仿宋" w:cs="仿宋"/>
          <w:spacing w:val="4"/>
          <w:sz w:val="28"/>
          <w:szCs w:val="28"/>
        </w:rPr>
        <w:t>务服务”，实现所有市级审批事项并入市政务服务</w:t>
      </w:r>
      <w:r>
        <w:rPr>
          <w:rFonts w:ascii="仿宋" w:hAnsi="仿宋" w:eastAsia="仿宋" w:cs="仿宋"/>
          <w:spacing w:val="-94"/>
          <w:sz w:val="28"/>
          <w:szCs w:val="28"/>
        </w:rPr>
        <w:t xml:space="preserve"> </w:t>
      </w:r>
      <w:r>
        <w:rPr>
          <w:rFonts w:ascii="仿宋" w:hAnsi="仿宋" w:eastAsia="仿宋" w:cs="仿宋"/>
          <w:spacing w:val="4"/>
          <w:sz w:val="28"/>
          <w:szCs w:val="28"/>
        </w:rPr>
        <w:t>“</w:t>
      </w:r>
      <w:r>
        <w:rPr>
          <w:rFonts w:ascii="仿宋" w:hAnsi="仿宋" w:eastAsia="仿宋" w:cs="仿宋"/>
          <w:spacing w:val="-104"/>
          <w:sz w:val="28"/>
          <w:szCs w:val="28"/>
        </w:rPr>
        <w:t xml:space="preserve"> </w:t>
      </w:r>
      <w:r>
        <w:rPr>
          <w:rFonts w:ascii="仿宋" w:hAnsi="仿宋" w:eastAsia="仿宋" w:cs="仿宋"/>
          <w:spacing w:val="4"/>
          <w:sz w:val="28"/>
          <w:szCs w:val="28"/>
        </w:rPr>
        <w:t>一张网”；结合交通</w:t>
      </w:r>
      <w:r>
        <w:rPr>
          <w:rFonts w:ascii="仿宋" w:hAnsi="仿宋" w:eastAsia="仿宋" w:cs="仿宋"/>
          <w:spacing w:val="-8"/>
          <w:sz w:val="28"/>
          <w:szCs w:val="28"/>
        </w:rPr>
        <w:t>发展实际，制定形成《曲靖市“智慧交通”建设实施方案及年度工作计划》。</w:t>
      </w:r>
      <w:r>
        <w:rPr>
          <w:rFonts w:ascii="仿宋" w:hAnsi="仿宋" w:eastAsia="仿宋" w:cs="仿宋"/>
          <w:spacing w:val="-4"/>
          <w:sz w:val="28"/>
          <w:szCs w:val="28"/>
        </w:rPr>
        <w:t>推进</w:t>
      </w:r>
      <w:r>
        <w:rPr>
          <w:rFonts w:ascii="仿宋" w:hAnsi="仿宋" w:eastAsia="仿宋" w:cs="仿宋"/>
          <w:spacing w:val="-49"/>
          <w:sz w:val="28"/>
          <w:szCs w:val="28"/>
        </w:rPr>
        <w:t xml:space="preserve"> </w:t>
      </w:r>
      <w:r>
        <w:rPr>
          <w:rFonts w:ascii="仿宋" w:hAnsi="仿宋" w:eastAsia="仿宋" w:cs="仿宋"/>
          <w:spacing w:val="-4"/>
          <w:sz w:val="28"/>
          <w:szCs w:val="28"/>
        </w:rPr>
        <w:t>ETC</w:t>
      </w:r>
      <w:r>
        <w:rPr>
          <w:rFonts w:ascii="仿宋" w:hAnsi="仿宋" w:eastAsia="仿宋" w:cs="仿宋"/>
          <w:spacing w:val="-39"/>
          <w:sz w:val="28"/>
          <w:szCs w:val="28"/>
        </w:rPr>
        <w:t xml:space="preserve"> </w:t>
      </w:r>
      <w:r>
        <w:rPr>
          <w:rFonts w:ascii="仿宋" w:hAnsi="仿宋" w:eastAsia="仿宋" w:cs="仿宋"/>
          <w:spacing w:val="-4"/>
          <w:sz w:val="28"/>
          <w:szCs w:val="28"/>
        </w:rPr>
        <w:t>车道和</w:t>
      </w:r>
      <w:r>
        <w:rPr>
          <w:rFonts w:ascii="仿宋" w:hAnsi="仿宋" w:eastAsia="仿宋" w:cs="仿宋"/>
          <w:spacing w:val="-60"/>
          <w:sz w:val="28"/>
          <w:szCs w:val="28"/>
        </w:rPr>
        <w:t xml:space="preserve"> </w:t>
      </w:r>
      <w:r>
        <w:rPr>
          <w:rFonts w:ascii="仿宋" w:hAnsi="仿宋" w:eastAsia="仿宋" w:cs="仿宋"/>
          <w:spacing w:val="-4"/>
          <w:sz w:val="28"/>
          <w:szCs w:val="28"/>
        </w:rPr>
        <w:t>MTC</w:t>
      </w:r>
      <w:r>
        <w:rPr>
          <w:rFonts w:ascii="仿宋" w:hAnsi="仿宋" w:eastAsia="仿宋" w:cs="仿宋"/>
          <w:spacing w:val="-39"/>
          <w:sz w:val="28"/>
          <w:szCs w:val="28"/>
        </w:rPr>
        <w:t xml:space="preserve"> </w:t>
      </w:r>
      <w:r>
        <w:rPr>
          <w:rFonts w:ascii="仿宋" w:hAnsi="仿宋" w:eastAsia="仿宋" w:cs="仿宋"/>
          <w:spacing w:val="-4"/>
          <w:sz w:val="28"/>
          <w:szCs w:val="28"/>
        </w:rPr>
        <w:t>车道改造，实现高速公路</w:t>
      </w:r>
      <w:r>
        <w:rPr>
          <w:rFonts w:ascii="仿宋" w:hAnsi="仿宋" w:eastAsia="仿宋" w:cs="仿宋"/>
          <w:spacing w:val="-49"/>
          <w:sz w:val="28"/>
          <w:szCs w:val="28"/>
        </w:rPr>
        <w:t xml:space="preserve"> </w:t>
      </w:r>
      <w:r>
        <w:rPr>
          <w:rFonts w:ascii="仿宋" w:hAnsi="仿宋" w:eastAsia="仿宋" w:cs="仿宋"/>
          <w:spacing w:val="-4"/>
          <w:sz w:val="28"/>
          <w:szCs w:val="28"/>
        </w:rPr>
        <w:t>ETC</w:t>
      </w:r>
      <w:r>
        <w:rPr>
          <w:rFonts w:ascii="仿宋" w:hAnsi="仿宋" w:eastAsia="仿宋" w:cs="仿宋"/>
          <w:spacing w:val="-52"/>
          <w:sz w:val="28"/>
          <w:szCs w:val="28"/>
        </w:rPr>
        <w:t xml:space="preserve"> </w:t>
      </w:r>
      <w:r>
        <w:rPr>
          <w:rFonts w:ascii="仿宋" w:hAnsi="仿宋" w:eastAsia="仿宋" w:cs="仿宋"/>
          <w:spacing w:val="-4"/>
          <w:sz w:val="28"/>
          <w:szCs w:val="28"/>
        </w:rPr>
        <w:t>全国联网，全</w:t>
      </w:r>
      <w:r>
        <w:rPr>
          <w:rFonts w:ascii="仿宋" w:hAnsi="仿宋" w:eastAsia="仿宋" w:cs="仿宋"/>
          <w:spacing w:val="-5"/>
          <w:sz w:val="28"/>
          <w:szCs w:val="28"/>
        </w:rPr>
        <w:t>市汽车</w:t>
      </w:r>
      <w:r>
        <w:rPr>
          <w:rFonts w:ascii="仿宋" w:hAnsi="仿宋" w:eastAsia="仿宋" w:cs="仿宋"/>
          <w:spacing w:val="-47"/>
          <w:sz w:val="28"/>
          <w:szCs w:val="28"/>
        </w:rPr>
        <w:t xml:space="preserve"> </w:t>
      </w:r>
      <w:r>
        <w:rPr>
          <w:rFonts w:ascii="仿宋" w:hAnsi="仿宋" w:eastAsia="仿宋" w:cs="仿宋"/>
          <w:spacing w:val="-5"/>
          <w:sz w:val="28"/>
          <w:szCs w:val="28"/>
        </w:rPr>
        <w:t>ETC</w:t>
      </w:r>
    </w:p>
    <w:p w14:paraId="14D6FF19">
      <w:pPr>
        <w:spacing w:line="343" w:lineRule="auto"/>
        <w:rPr>
          <w:rFonts w:ascii="仿宋" w:hAnsi="仿宋" w:eastAsia="仿宋" w:cs="仿宋"/>
          <w:sz w:val="28"/>
          <w:szCs w:val="28"/>
        </w:rPr>
        <w:sectPr>
          <w:headerReference r:id="rId23" w:type="default"/>
          <w:footerReference r:id="rId24" w:type="default"/>
          <w:pgSz w:w="11906" w:h="16839"/>
          <w:pgMar w:top="1222" w:right="1054" w:bottom="1096" w:left="1587" w:header="885" w:footer="936" w:gutter="0"/>
          <w:cols w:space="720" w:num="1"/>
        </w:sectPr>
      </w:pPr>
    </w:p>
    <w:p w14:paraId="0B99B7F4">
      <w:pPr>
        <w:pStyle w:val="2"/>
        <w:spacing w:line="275" w:lineRule="auto"/>
      </w:pPr>
    </w:p>
    <w:p w14:paraId="02DDE55F">
      <w:pPr>
        <w:spacing w:before="91" w:line="343" w:lineRule="auto"/>
        <w:ind w:left="10" w:firstLine="5"/>
        <w:jc w:val="both"/>
        <w:rPr>
          <w:rFonts w:ascii="仿宋" w:hAnsi="仿宋" w:eastAsia="仿宋" w:cs="仿宋"/>
          <w:sz w:val="28"/>
          <w:szCs w:val="28"/>
        </w:rPr>
      </w:pPr>
      <w:r>
        <w:rPr>
          <w:rFonts w:ascii="仿宋" w:hAnsi="仿宋" w:eastAsia="仿宋" w:cs="仿宋"/>
          <w:spacing w:val="5"/>
          <w:sz w:val="28"/>
          <w:szCs w:val="28"/>
        </w:rPr>
        <w:t>安装率达</w:t>
      </w:r>
      <w:r>
        <w:rPr>
          <w:rFonts w:ascii="仿宋" w:hAnsi="仿宋" w:eastAsia="仿宋" w:cs="仿宋"/>
          <w:spacing w:val="-28"/>
          <w:sz w:val="28"/>
          <w:szCs w:val="28"/>
        </w:rPr>
        <w:t xml:space="preserve"> </w:t>
      </w:r>
      <w:r>
        <w:rPr>
          <w:rFonts w:ascii="仿宋" w:hAnsi="仿宋" w:eastAsia="仿宋" w:cs="仿宋"/>
          <w:spacing w:val="5"/>
          <w:sz w:val="28"/>
          <w:szCs w:val="28"/>
        </w:rPr>
        <w:t>80%以上，高速公路入口车辆使用</w:t>
      </w:r>
      <w:r>
        <w:rPr>
          <w:rFonts w:ascii="仿宋" w:hAnsi="仿宋" w:eastAsia="仿宋" w:cs="仿宋"/>
          <w:spacing w:val="-46"/>
          <w:sz w:val="28"/>
          <w:szCs w:val="28"/>
        </w:rPr>
        <w:t xml:space="preserve"> </w:t>
      </w:r>
      <w:r>
        <w:rPr>
          <w:rFonts w:ascii="仿宋" w:hAnsi="仿宋" w:eastAsia="仿宋" w:cs="仿宋"/>
          <w:sz w:val="28"/>
          <w:szCs w:val="28"/>
        </w:rPr>
        <w:t>ETC</w:t>
      </w:r>
      <w:r>
        <w:rPr>
          <w:rFonts w:ascii="仿宋" w:hAnsi="仿宋" w:eastAsia="仿宋" w:cs="仿宋"/>
          <w:spacing w:val="5"/>
          <w:sz w:val="28"/>
          <w:szCs w:val="28"/>
        </w:rPr>
        <w:t xml:space="preserve"> 比例达</w:t>
      </w:r>
      <w:r>
        <w:rPr>
          <w:rFonts w:ascii="仿宋" w:hAnsi="仿宋" w:eastAsia="仿宋" w:cs="仿宋"/>
          <w:spacing w:val="-32"/>
          <w:sz w:val="28"/>
          <w:szCs w:val="28"/>
        </w:rPr>
        <w:t xml:space="preserve"> </w:t>
      </w:r>
      <w:r>
        <w:rPr>
          <w:rFonts w:ascii="仿宋" w:hAnsi="仿宋" w:eastAsia="仿宋" w:cs="仿宋"/>
          <w:spacing w:val="5"/>
          <w:sz w:val="28"/>
          <w:szCs w:val="28"/>
        </w:rPr>
        <w:t>90%以上。全面落</w:t>
      </w:r>
      <w:r>
        <w:rPr>
          <w:rFonts w:ascii="仿宋" w:hAnsi="仿宋" w:eastAsia="仿宋" w:cs="仿宋"/>
          <w:spacing w:val="4"/>
          <w:sz w:val="28"/>
          <w:szCs w:val="28"/>
        </w:rPr>
        <w:t>实</w:t>
      </w:r>
      <w:r>
        <w:rPr>
          <w:rFonts w:ascii="仿宋" w:hAnsi="仿宋" w:eastAsia="仿宋" w:cs="仿宋"/>
          <w:spacing w:val="-95"/>
          <w:sz w:val="28"/>
          <w:szCs w:val="28"/>
        </w:rPr>
        <w:t xml:space="preserve"> </w:t>
      </w:r>
      <w:r>
        <w:rPr>
          <w:rFonts w:ascii="仿宋" w:hAnsi="仿宋" w:eastAsia="仿宋" w:cs="仿宋"/>
          <w:spacing w:val="4"/>
          <w:sz w:val="28"/>
          <w:szCs w:val="28"/>
        </w:rPr>
        <w:t>“</w:t>
      </w:r>
      <w:r>
        <w:rPr>
          <w:rFonts w:ascii="仿宋" w:hAnsi="仿宋" w:eastAsia="仿宋" w:cs="仿宋"/>
          <w:spacing w:val="-106"/>
          <w:sz w:val="28"/>
          <w:szCs w:val="28"/>
        </w:rPr>
        <w:t xml:space="preserve"> </w:t>
      </w:r>
      <w:r>
        <w:rPr>
          <w:rFonts w:ascii="仿宋" w:hAnsi="仿宋" w:eastAsia="仿宋" w:cs="仿宋"/>
          <w:spacing w:val="4"/>
          <w:sz w:val="28"/>
          <w:szCs w:val="28"/>
        </w:rPr>
        <w:t>两客一危”运输车辆使用具备限速功能或装置的工作，不具备限速功</w:t>
      </w:r>
      <w:r>
        <w:rPr>
          <w:rFonts w:ascii="仿宋" w:hAnsi="仿宋" w:eastAsia="仿宋" w:cs="仿宋"/>
          <w:spacing w:val="5"/>
          <w:sz w:val="28"/>
          <w:szCs w:val="28"/>
        </w:rPr>
        <w:t>能的客运车辆全部有序、稳妥退出运输市场；全面使用</w:t>
      </w:r>
      <w:r>
        <w:rPr>
          <w:rFonts w:ascii="仿宋" w:hAnsi="仿宋" w:eastAsia="仿宋" w:cs="仿宋"/>
          <w:spacing w:val="-93"/>
          <w:sz w:val="28"/>
          <w:szCs w:val="28"/>
        </w:rPr>
        <w:t xml:space="preserve"> </w:t>
      </w:r>
      <w:r>
        <w:rPr>
          <w:rFonts w:ascii="仿宋" w:hAnsi="仿宋" w:eastAsia="仿宋" w:cs="仿宋"/>
          <w:spacing w:val="5"/>
          <w:sz w:val="28"/>
          <w:szCs w:val="28"/>
        </w:rPr>
        <w:t>“云南省道路班线客运管理信息系统平台”、</w:t>
      </w:r>
      <w:r>
        <w:rPr>
          <w:rFonts w:ascii="仿宋" w:hAnsi="仿宋" w:eastAsia="仿宋" w:cs="仿宋"/>
          <w:spacing w:val="-91"/>
          <w:sz w:val="28"/>
          <w:szCs w:val="28"/>
        </w:rPr>
        <w:t xml:space="preserve"> </w:t>
      </w:r>
      <w:r>
        <w:rPr>
          <w:rFonts w:ascii="仿宋" w:hAnsi="仿宋" w:eastAsia="仿宋" w:cs="仿宋"/>
          <w:spacing w:val="5"/>
          <w:sz w:val="28"/>
          <w:szCs w:val="28"/>
        </w:rPr>
        <w:t>“云南省包车客运管理系统”，实现省际、市</w:t>
      </w:r>
      <w:r>
        <w:rPr>
          <w:rFonts w:ascii="仿宋" w:hAnsi="仿宋" w:eastAsia="仿宋" w:cs="仿宋"/>
          <w:spacing w:val="9"/>
          <w:sz w:val="28"/>
          <w:szCs w:val="28"/>
        </w:rPr>
        <w:t>际、县际班线客运实时动态监管；全市</w:t>
      </w:r>
      <w:r>
        <w:rPr>
          <w:rFonts w:ascii="仿宋" w:hAnsi="仿宋" w:eastAsia="仿宋" w:cs="仿宋"/>
          <w:spacing w:val="-37"/>
          <w:sz w:val="28"/>
          <w:szCs w:val="28"/>
        </w:rPr>
        <w:t xml:space="preserve"> </w:t>
      </w:r>
      <w:r>
        <w:rPr>
          <w:rFonts w:ascii="仿宋" w:hAnsi="仿宋" w:eastAsia="仿宋" w:cs="仿宋"/>
          <w:spacing w:val="9"/>
          <w:sz w:val="28"/>
          <w:szCs w:val="28"/>
        </w:rPr>
        <w:t>26</w:t>
      </w:r>
      <w:r>
        <w:rPr>
          <w:rFonts w:ascii="仿宋" w:hAnsi="仿宋" w:eastAsia="仿宋" w:cs="仿宋"/>
          <w:spacing w:val="-42"/>
          <w:sz w:val="28"/>
          <w:szCs w:val="28"/>
        </w:rPr>
        <w:t xml:space="preserve"> </w:t>
      </w:r>
      <w:r>
        <w:rPr>
          <w:rFonts w:ascii="仿宋" w:hAnsi="仿宋" w:eastAsia="仿宋" w:cs="仿宋"/>
          <w:spacing w:val="9"/>
          <w:sz w:val="28"/>
          <w:szCs w:val="28"/>
        </w:rPr>
        <w:t>家危货运企业完成</w:t>
      </w:r>
      <w:r>
        <w:rPr>
          <w:rFonts w:ascii="仿宋" w:hAnsi="仿宋" w:eastAsia="仿宋" w:cs="仿宋"/>
          <w:spacing w:val="8"/>
          <w:sz w:val="28"/>
          <w:szCs w:val="28"/>
        </w:rPr>
        <w:t>对车辆动态</w:t>
      </w:r>
      <w:r>
        <w:rPr>
          <w:rFonts w:ascii="仿宋" w:hAnsi="仿宋" w:eastAsia="仿宋" w:cs="仿宋"/>
          <w:spacing w:val="3"/>
          <w:sz w:val="28"/>
          <w:szCs w:val="28"/>
        </w:rPr>
        <w:t>视频监控系统的更新安装和使用。2019</w:t>
      </w:r>
      <w:r>
        <w:rPr>
          <w:rFonts w:ascii="仿宋" w:hAnsi="仿宋" w:eastAsia="仿宋" w:cs="仿宋"/>
          <w:spacing w:val="-48"/>
          <w:sz w:val="28"/>
          <w:szCs w:val="28"/>
        </w:rPr>
        <w:t xml:space="preserve"> </w:t>
      </w:r>
      <w:r>
        <w:rPr>
          <w:rFonts w:ascii="仿宋" w:hAnsi="仿宋" w:eastAsia="仿宋" w:cs="仿宋"/>
          <w:spacing w:val="3"/>
          <w:sz w:val="28"/>
          <w:szCs w:val="28"/>
        </w:rPr>
        <w:t>年实现</w:t>
      </w:r>
      <w:r>
        <w:rPr>
          <w:rFonts w:ascii="仿宋" w:hAnsi="仿宋" w:eastAsia="仿宋" w:cs="仿宋"/>
          <w:spacing w:val="-99"/>
          <w:sz w:val="28"/>
          <w:szCs w:val="28"/>
        </w:rPr>
        <w:t xml:space="preserve"> </w:t>
      </w:r>
      <w:r>
        <w:rPr>
          <w:rFonts w:ascii="仿宋" w:hAnsi="仿宋" w:eastAsia="仿宋" w:cs="仿宋"/>
          <w:spacing w:val="3"/>
          <w:sz w:val="28"/>
          <w:szCs w:val="28"/>
        </w:rPr>
        <w:t>“</w:t>
      </w:r>
      <w:r>
        <w:rPr>
          <w:rFonts w:ascii="仿宋" w:hAnsi="仿宋" w:eastAsia="仿宋" w:cs="仿宋"/>
          <w:spacing w:val="-109"/>
          <w:sz w:val="28"/>
          <w:szCs w:val="28"/>
        </w:rPr>
        <w:t xml:space="preserve"> </w:t>
      </w:r>
      <w:r>
        <w:rPr>
          <w:rFonts w:ascii="仿宋" w:hAnsi="仿宋" w:eastAsia="仿宋" w:cs="仿宋"/>
          <w:spacing w:val="2"/>
          <w:sz w:val="28"/>
          <w:szCs w:val="28"/>
        </w:rPr>
        <w:t>掌上公交”</w:t>
      </w:r>
      <w:r>
        <w:rPr>
          <w:rFonts w:ascii="仿宋" w:hAnsi="仿宋" w:eastAsia="仿宋" w:cs="仿宋"/>
          <w:sz w:val="28"/>
          <w:szCs w:val="28"/>
        </w:rPr>
        <w:t>APP</w:t>
      </w:r>
      <w:r>
        <w:rPr>
          <w:rFonts w:ascii="仿宋" w:hAnsi="仿宋" w:eastAsia="仿宋" w:cs="仿宋"/>
          <w:spacing w:val="-44"/>
          <w:sz w:val="28"/>
          <w:szCs w:val="28"/>
        </w:rPr>
        <w:t xml:space="preserve"> </w:t>
      </w:r>
      <w:r>
        <w:rPr>
          <w:rFonts w:ascii="仿宋" w:hAnsi="仿宋" w:eastAsia="仿宋" w:cs="仿宋"/>
          <w:spacing w:val="2"/>
          <w:sz w:val="28"/>
          <w:szCs w:val="28"/>
        </w:rPr>
        <w:t>上线；开</w:t>
      </w:r>
      <w:r>
        <w:rPr>
          <w:rFonts w:ascii="仿宋" w:hAnsi="仿宋" w:eastAsia="仿宋" w:cs="仿宋"/>
          <w:spacing w:val="6"/>
          <w:sz w:val="28"/>
          <w:szCs w:val="28"/>
        </w:rPr>
        <w:t>展城市交通运行指数发布、公交车来车信息实时预报，提高公共交通乘车</w:t>
      </w:r>
      <w:r>
        <w:rPr>
          <w:rFonts w:ascii="仿宋" w:hAnsi="仿宋" w:eastAsia="仿宋" w:cs="仿宋"/>
          <w:spacing w:val="2"/>
          <w:sz w:val="28"/>
          <w:szCs w:val="28"/>
        </w:rPr>
        <w:t>电子支付使用率；全市公交车安装卫星定位车</w:t>
      </w:r>
      <w:r>
        <w:rPr>
          <w:rFonts w:ascii="仿宋" w:hAnsi="仿宋" w:eastAsia="仿宋" w:cs="仿宋"/>
          <w:spacing w:val="1"/>
          <w:sz w:val="28"/>
          <w:szCs w:val="28"/>
        </w:rPr>
        <w:t>载终端的车辆占比达</w:t>
      </w:r>
      <w:r>
        <w:rPr>
          <w:rFonts w:ascii="仿宋" w:hAnsi="仿宋" w:eastAsia="仿宋" w:cs="仿宋"/>
          <w:spacing w:val="-37"/>
          <w:sz w:val="28"/>
          <w:szCs w:val="28"/>
        </w:rPr>
        <w:t xml:space="preserve"> </w:t>
      </w:r>
      <w:r>
        <w:rPr>
          <w:rFonts w:ascii="仿宋" w:hAnsi="仿宋" w:eastAsia="仿宋" w:cs="仿宋"/>
          <w:spacing w:val="1"/>
          <w:sz w:val="28"/>
          <w:szCs w:val="28"/>
        </w:rPr>
        <w:t>86.5%、</w:t>
      </w:r>
      <w:r>
        <w:rPr>
          <w:rFonts w:ascii="仿宋" w:hAnsi="仿宋" w:eastAsia="仿宋" w:cs="仿宋"/>
          <w:spacing w:val="5"/>
          <w:sz w:val="28"/>
          <w:szCs w:val="28"/>
        </w:rPr>
        <w:t>出租车安装卫星定位车载终端的车辆占比达</w:t>
      </w:r>
      <w:r>
        <w:rPr>
          <w:rFonts w:ascii="仿宋" w:hAnsi="仿宋" w:eastAsia="仿宋" w:cs="仿宋"/>
          <w:spacing w:val="-36"/>
          <w:sz w:val="28"/>
          <w:szCs w:val="28"/>
        </w:rPr>
        <w:t xml:space="preserve"> </w:t>
      </w:r>
      <w:r>
        <w:rPr>
          <w:rFonts w:ascii="仿宋" w:hAnsi="仿宋" w:eastAsia="仿宋" w:cs="仿宋"/>
          <w:spacing w:val="5"/>
          <w:sz w:val="28"/>
          <w:szCs w:val="28"/>
        </w:rPr>
        <w:t>89</w:t>
      </w:r>
      <w:r>
        <w:rPr>
          <w:rFonts w:ascii="仿宋" w:hAnsi="仿宋" w:eastAsia="仿宋" w:cs="仿宋"/>
          <w:spacing w:val="4"/>
          <w:sz w:val="28"/>
          <w:szCs w:val="28"/>
        </w:rPr>
        <w:t>.6%。</w:t>
      </w:r>
    </w:p>
    <w:p w14:paraId="263A167B">
      <w:pPr>
        <w:spacing w:before="72" w:line="222" w:lineRule="auto"/>
        <w:ind w:left="564"/>
        <w:outlineLvl w:val="2"/>
        <w:rPr>
          <w:rFonts w:ascii="黑体" w:hAnsi="黑体" w:eastAsia="黑体" w:cs="黑体"/>
          <w:sz w:val="28"/>
          <w:szCs w:val="28"/>
        </w:rPr>
      </w:pPr>
      <w:bookmarkStart w:id="9" w:name="bookmark8"/>
      <w:bookmarkEnd w:id="9"/>
      <w:r>
        <w:rPr>
          <w:rFonts w:ascii="黑体" w:hAnsi="黑体" w:eastAsia="黑体" w:cs="黑体"/>
          <w:spacing w:val="-1"/>
          <w:sz w:val="28"/>
          <w:szCs w:val="28"/>
        </w:rPr>
        <w:t>5. 安全保障能力不断增强</w:t>
      </w:r>
    </w:p>
    <w:p w14:paraId="2097D8B9">
      <w:pPr>
        <w:spacing w:before="289" w:line="343" w:lineRule="auto"/>
        <w:ind w:left="8" w:right="5" w:firstLine="596"/>
        <w:rPr>
          <w:rFonts w:ascii="仿宋" w:hAnsi="仿宋" w:eastAsia="仿宋" w:cs="仿宋"/>
          <w:sz w:val="28"/>
          <w:szCs w:val="28"/>
        </w:rPr>
      </w:pPr>
      <w:r>
        <w:rPr>
          <w:rFonts w:ascii="仿宋" w:hAnsi="仿宋" w:eastAsia="仿宋" w:cs="仿宋"/>
          <w:spacing w:val="6"/>
          <w:sz w:val="28"/>
          <w:szCs w:val="28"/>
        </w:rPr>
        <w:t>“十三五”期间，全市交通运输安全形势持续稳定，</w:t>
      </w:r>
      <w:r>
        <w:rPr>
          <w:rFonts w:ascii="仿宋" w:hAnsi="仿宋" w:eastAsia="仿宋" w:cs="仿宋"/>
          <w:spacing w:val="5"/>
          <w:sz w:val="28"/>
          <w:szCs w:val="28"/>
        </w:rPr>
        <w:t>总体受控，未发</w:t>
      </w:r>
      <w:r>
        <w:rPr>
          <w:rFonts w:ascii="仿宋" w:hAnsi="仿宋" w:eastAsia="仿宋" w:cs="仿宋"/>
          <w:spacing w:val="6"/>
          <w:sz w:val="28"/>
          <w:szCs w:val="28"/>
        </w:rPr>
        <w:t>生重特大道路水路运输安全事故。强化监督检查，共组织安全生产检查和明察暗访</w:t>
      </w:r>
      <w:r>
        <w:rPr>
          <w:rFonts w:ascii="仿宋" w:hAnsi="仿宋" w:eastAsia="仿宋" w:cs="仿宋"/>
          <w:spacing w:val="-15"/>
          <w:sz w:val="28"/>
          <w:szCs w:val="28"/>
        </w:rPr>
        <w:t xml:space="preserve"> </w:t>
      </w:r>
      <w:r>
        <w:rPr>
          <w:rFonts w:ascii="仿宋" w:hAnsi="仿宋" w:eastAsia="仿宋" w:cs="仿宋"/>
          <w:spacing w:val="6"/>
          <w:sz w:val="28"/>
          <w:szCs w:val="28"/>
        </w:rPr>
        <w:t>580</w:t>
      </w:r>
      <w:r>
        <w:rPr>
          <w:rFonts w:ascii="仿宋" w:hAnsi="仿宋" w:eastAsia="仿宋" w:cs="仿宋"/>
          <w:spacing w:val="-46"/>
          <w:sz w:val="28"/>
          <w:szCs w:val="28"/>
        </w:rPr>
        <w:t xml:space="preserve"> </w:t>
      </w:r>
      <w:r>
        <w:rPr>
          <w:rFonts w:ascii="仿宋" w:hAnsi="仿宋" w:eastAsia="仿宋" w:cs="仿宋"/>
          <w:spacing w:val="6"/>
          <w:sz w:val="28"/>
          <w:szCs w:val="28"/>
        </w:rPr>
        <w:t>余次，排查整治安全隐患</w:t>
      </w:r>
      <w:r>
        <w:rPr>
          <w:rFonts w:ascii="仿宋" w:hAnsi="仿宋" w:eastAsia="仿宋" w:cs="仿宋"/>
          <w:spacing w:val="-30"/>
          <w:sz w:val="28"/>
          <w:szCs w:val="28"/>
        </w:rPr>
        <w:t xml:space="preserve"> </w:t>
      </w:r>
      <w:r>
        <w:rPr>
          <w:rFonts w:ascii="仿宋" w:hAnsi="仿宋" w:eastAsia="仿宋" w:cs="仿宋"/>
          <w:spacing w:val="6"/>
          <w:sz w:val="28"/>
          <w:szCs w:val="28"/>
        </w:rPr>
        <w:t>1790</w:t>
      </w:r>
      <w:r>
        <w:rPr>
          <w:rFonts w:ascii="仿宋" w:hAnsi="仿宋" w:eastAsia="仿宋" w:cs="仿宋"/>
          <w:spacing w:val="-47"/>
          <w:sz w:val="28"/>
          <w:szCs w:val="28"/>
        </w:rPr>
        <w:t xml:space="preserve"> </w:t>
      </w:r>
      <w:r>
        <w:rPr>
          <w:rFonts w:ascii="仿宋" w:hAnsi="仿宋" w:eastAsia="仿宋" w:cs="仿宋"/>
          <w:spacing w:val="6"/>
          <w:sz w:val="28"/>
          <w:szCs w:val="28"/>
        </w:rPr>
        <w:t>余处，开展在建高速公路质量安全检查</w:t>
      </w:r>
      <w:r>
        <w:rPr>
          <w:rFonts w:ascii="仿宋" w:hAnsi="仿宋" w:eastAsia="仿宋" w:cs="仿宋"/>
          <w:spacing w:val="-17"/>
          <w:sz w:val="28"/>
          <w:szCs w:val="28"/>
        </w:rPr>
        <w:t xml:space="preserve"> </w:t>
      </w:r>
      <w:r>
        <w:rPr>
          <w:rFonts w:ascii="仿宋" w:hAnsi="仿宋" w:eastAsia="仿宋" w:cs="仿宋"/>
          <w:spacing w:val="6"/>
          <w:sz w:val="28"/>
          <w:szCs w:val="28"/>
        </w:rPr>
        <w:t>200</w:t>
      </w:r>
      <w:r>
        <w:rPr>
          <w:rFonts w:ascii="仿宋" w:hAnsi="仿宋" w:eastAsia="仿宋" w:cs="仿宋"/>
          <w:spacing w:val="-49"/>
          <w:sz w:val="28"/>
          <w:szCs w:val="28"/>
        </w:rPr>
        <w:t xml:space="preserve"> </w:t>
      </w:r>
      <w:r>
        <w:rPr>
          <w:rFonts w:ascii="仿宋" w:hAnsi="仿宋" w:eastAsia="仿宋" w:cs="仿宋"/>
          <w:spacing w:val="6"/>
          <w:sz w:val="28"/>
          <w:szCs w:val="28"/>
        </w:rPr>
        <w:t>余次，查扣非法营运车辆</w:t>
      </w:r>
      <w:r>
        <w:rPr>
          <w:rFonts w:ascii="仿宋" w:hAnsi="仿宋" w:eastAsia="仿宋" w:cs="仿宋"/>
          <w:spacing w:val="-23"/>
          <w:sz w:val="28"/>
          <w:szCs w:val="28"/>
        </w:rPr>
        <w:t xml:space="preserve"> </w:t>
      </w:r>
      <w:r>
        <w:rPr>
          <w:rFonts w:ascii="仿宋" w:hAnsi="仿宋" w:eastAsia="仿宋" w:cs="仿宋"/>
          <w:spacing w:val="6"/>
          <w:sz w:val="28"/>
          <w:szCs w:val="28"/>
        </w:rPr>
        <w:t>3700</w:t>
      </w:r>
      <w:r>
        <w:rPr>
          <w:rFonts w:ascii="仿宋" w:hAnsi="仿宋" w:eastAsia="仿宋" w:cs="仿宋"/>
          <w:spacing w:val="-49"/>
          <w:sz w:val="28"/>
          <w:szCs w:val="28"/>
        </w:rPr>
        <w:t xml:space="preserve"> </w:t>
      </w:r>
      <w:r>
        <w:rPr>
          <w:rFonts w:ascii="仿宋" w:hAnsi="仿宋" w:eastAsia="仿宋" w:cs="仿宋"/>
          <w:spacing w:val="6"/>
          <w:sz w:val="28"/>
          <w:szCs w:val="28"/>
        </w:rPr>
        <w:t>余辆。成立曲靖市客运领</w:t>
      </w:r>
      <w:r>
        <w:rPr>
          <w:rFonts w:ascii="仿宋" w:hAnsi="仿宋" w:eastAsia="仿宋" w:cs="仿宋"/>
          <w:spacing w:val="8"/>
          <w:sz w:val="28"/>
          <w:szCs w:val="28"/>
        </w:rPr>
        <w:t>域打非治违专项整治行动领导小组，确保道路运输安全运行。针对地震、</w:t>
      </w:r>
      <w:r>
        <w:rPr>
          <w:rFonts w:ascii="仿宋" w:hAnsi="仿宋" w:eastAsia="仿宋" w:cs="仿宋"/>
          <w:spacing w:val="6"/>
          <w:sz w:val="28"/>
          <w:szCs w:val="28"/>
        </w:rPr>
        <w:t>汛期、冰冻等自然灾害特点，不断健全和完善防震减灾、水毁保通及冰雪</w:t>
      </w:r>
      <w:r>
        <w:rPr>
          <w:rFonts w:ascii="仿宋" w:hAnsi="仿宋" w:eastAsia="仿宋" w:cs="仿宋"/>
          <w:spacing w:val="9"/>
          <w:sz w:val="28"/>
          <w:szCs w:val="28"/>
        </w:rPr>
        <w:t>灾害等应急预案，在各县(市、</w:t>
      </w:r>
      <w:r>
        <w:rPr>
          <w:rFonts w:ascii="仿宋" w:hAnsi="仿宋" w:eastAsia="仿宋" w:cs="仿宋"/>
          <w:spacing w:val="-71"/>
          <w:sz w:val="28"/>
          <w:szCs w:val="28"/>
        </w:rPr>
        <w:t xml:space="preserve"> </w:t>
      </w:r>
      <w:r>
        <w:rPr>
          <w:rFonts w:ascii="仿宋" w:hAnsi="仿宋" w:eastAsia="仿宋" w:cs="仿宋"/>
          <w:spacing w:val="9"/>
          <w:sz w:val="28"/>
          <w:szCs w:val="28"/>
        </w:rPr>
        <w:t>区）成立应急抢险大队</w:t>
      </w:r>
      <w:r>
        <w:rPr>
          <w:rFonts w:ascii="仿宋" w:hAnsi="仿宋" w:eastAsia="仿宋" w:cs="仿宋"/>
          <w:spacing w:val="8"/>
          <w:sz w:val="28"/>
          <w:szCs w:val="28"/>
        </w:rPr>
        <w:t>，做到统一指挥调</w:t>
      </w:r>
      <w:r>
        <w:rPr>
          <w:rFonts w:ascii="仿宋" w:hAnsi="仿宋" w:eastAsia="仿宋" w:cs="仿宋"/>
          <w:spacing w:val="7"/>
          <w:sz w:val="28"/>
          <w:szCs w:val="28"/>
        </w:rPr>
        <w:t>度，实现人员、技术、设备、物资、信息等</w:t>
      </w:r>
      <w:r>
        <w:rPr>
          <w:rFonts w:ascii="仿宋" w:hAnsi="仿宋" w:eastAsia="仿宋" w:cs="仿宋"/>
          <w:spacing w:val="6"/>
          <w:sz w:val="28"/>
          <w:szCs w:val="28"/>
        </w:rPr>
        <w:t>及时共享，交通应急队伍建设不断强化，应急抢险能力持续提升。加大资金投入，加强沿线警示路牌设置、路面维修治理、危桥改造加固、公路安防工程建设等安防工作，安全</w:t>
      </w:r>
      <w:r>
        <w:rPr>
          <w:rFonts w:ascii="仿宋" w:hAnsi="仿宋" w:eastAsia="仿宋" w:cs="仿宋"/>
          <w:sz w:val="28"/>
          <w:szCs w:val="28"/>
        </w:rPr>
        <w:t>应急保障能力持续提升。以“安全生产月”“</w:t>
      </w:r>
      <w:r>
        <w:rPr>
          <w:rFonts w:hint="eastAsia" w:ascii="仿宋" w:hAnsi="仿宋" w:eastAsia="仿宋" w:cs="仿宋"/>
          <w:sz w:val="28"/>
          <w:szCs w:val="28"/>
          <w:lang w:eastAsia="zh-CN"/>
        </w:rPr>
        <w:t>法治宣传</w:t>
      </w:r>
      <w:r>
        <w:rPr>
          <w:rFonts w:ascii="仿宋" w:hAnsi="仿宋" w:eastAsia="仿宋" w:cs="仿宋"/>
          <w:sz w:val="28"/>
          <w:szCs w:val="28"/>
        </w:rPr>
        <w:t>日”等活动为契机，</w:t>
      </w:r>
      <w:r>
        <w:rPr>
          <w:rFonts w:ascii="仿宋" w:hAnsi="仿宋" w:eastAsia="仿宋" w:cs="仿宋"/>
          <w:spacing w:val="-1"/>
          <w:sz w:val="28"/>
          <w:szCs w:val="28"/>
        </w:rPr>
        <w:t>扩大安全教育面、安全常识普及面，全系统累计发放安全生产宣传材料</w:t>
      </w:r>
      <w:r>
        <w:rPr>
          <w:rFonts w:ascii="仿宋" w:hAnsi="仿宋" w:eastAsia="仿宋" w:cs="仿宋"/>
          <w:spacing w:val="-34"/>
          <w:sz w:val="28"/>
          <w:szCs w:val="28"/>
        </w:rPr>
        <w:t xml:space="preserve"> </w:t>
      </w:r>
      <w:r>
        <w:rPr>
          <w:rFonts w:ascii="仿宋" w:hAnsi="仿宋" w:eastAsia="仿宋" w:cs="仿宋"/>
          <w:spacing w:val="-1"/>
          <w:sz w:val="28"/>
          <w:szCs w:val="28"/>
        </w:rPr>
        <w:t>2.5</w:t>
      </w:r>
      <w:r>
        <w:rPr>
          <w:rFonts w:ascii="仿宋" w:hAnsi="仿宋" w:eastAsia="仿宋" w:cs="仿宋"/>
          <w:spacing w:val="6"/>
          <w:sz w:val="28"/>
          <w:szCs w:val="28"/>
        </w:rPr>
        <w:t>万余份；采取以会代训的方式利用各种会议加大安全管理教育培训，认真</w:t>
      </w:r>
      <w:r>
        <w:rPr>
          <w:rFonts w:ascii="仿宋" w:hAnsi="仿宋" w:eastAsia="仿宋" w:cs="仿宋"/>
          <w:spacing w:val="3"/>
          <w:sz w:val="28"/>
          <w:szCs w:val="28"/>
        </w:rPr>
        <w:t>组织开展交通运输安全管理人员培训</w:t>
      </w:r>
      <w:r>
        <w:rPr>
          <w:rFonts w:ascii="仿宋" w:hAnsi="仿宋" w:eastAsia="仿宋" w:cs="仿宋"/>
          <w:spacing w:val="-33"/>
          <w:sz w:val="28"/>
          <w:szCs w:val="28"/>
        </w:rPr>
        <w:t xml:space="preserve"> </w:t>
      </w:r>
      <w:r>
        <w:rPr>
          <w:rFonts w:ascii="仿宋" w:hAnsi="仿宋" w:eastAsia="仿宋" w:cs="仿宋"/>
          <w:spacing w:val="3"/>
          <w:sz w:val="28"/>
          <w:szCs w:val="28"/>
        </w:rPr>
        <w:t>1000</w:t>
      </w:r>
      <w:r>
        <w:rPr>
          <w:rFonts w:ascii="仿宋" w:hAnsi="仿宋" w:eastAsia="仿宋" w:cs="仿宋"/>
          <w:spacing w:val="-51"/>
          <w:sz w:val="28"/>
          <w:szCs w:val="28"/>
        </w:rPr>
        <w:t xml:space="preserve"> </w:t>
      </w:r>
      <w:r>
        <w:rPr>
          <w:rFonts w:ascii="仿宋" w:hAnsi="仿宋" w:eastAsia="仿宋" w:cs="仿宋"/>
          <w:spacing w:val="3"/>
          <w:sz w:val="28"/>
          <w:szCs w:val="28"/>
        </w:rPr>
        <w:t>余人，安全防范意识不断</w:t>
      </w:r>
      <w:r>
        <w:rPr>
          <w:rFonts w:ascii="仿宋" w:hAnsi="仿宋" w:eastAsia="仿宋" w:cs="仿宋"/>
          <w:spacing w:val="2"/>
          <w:sz w:val="28"/>
          <w:szCs w:val="28"/>
        </w:rPr>
        <w:t>提高。</w:t>
      </w:r>
    </w:p>
    <w:p w14:paraId="447A234F">
      <w:pPr>
        <w:spacing w:before="69" w:line="222" w:lineRule="auto"/>
        <w:ind w:left="570"/>
        <w:outlineLvl w:val="2"/>
        <w:rPr>
          <w:rFonts w:ascii="黑体" w:hAnsi="黑体" w:eastAsia="黑体" w:cs="黑体"/>
          <w:sz w:val="28"/>
          <w:szCs w:val="28"/>
        </w:rPr>
      </w:pPr>
      <w:bookmarkStart w:id="10" w:name="bookmark9"/>
      <w:bookmarkEnd w:id="10"/>
      <w:r>
        <w:rPr>
          <w:rFonts w:ascii="黑体" w:hAnsi="黑体" w:eastAsia="黑体" w:cs="黑体"/>
          <w:spacing w:val="-1"/>
          <w:sz w:val="28"/>
          <w:szCs w:val="28"/>
        </w:rPr>
        <w:t>6. 绿色交通发展有序推进</w:t>
      </w:r>
    </w:p>
    <w:p w14:paraId="3CB782A0">
      <w:pPr>
        <w:spacing w:before="291" w:line="215" w:lineRule="auto"/>
        <w:jc w:val="right"/>
        <w:rPr>
          <w:rFonts w:ascii="仿宋" w:hAnsi="仿宋" w:eastAsia="仿宋" w:cs="仿宋"/>
          <w:sz w:val="28"/>
          <w:szCs w:val="28"/>
        </w:rPr>
      </w:pPr>
      <w:r>
        <w:rPr>
          <w:rFonts w:ascii="仿宋" w:hAnsi="仿宋" w:eastAsia="仿宋" w:cs="仿宋"/>
          <w:spacing w:val="-1"/>
          <w:sz w:val="28"/>
          <w:szCs w:val="28"/>
        </w:rPr>
        <w:t>“十三五”期间，全市全面推动低碳交通运输发展，加速淘汰黄标车、</w:t>
      </w:r>
    </w:p>
    <w:p w14:paraId="0A735E9D">
      <w:pPr>
        <w:spacing w:line="215" w:lineRule="auto"/>
        <w:rPr>
          <w:rFonts w:ascii="仿宋" w:hAnsi="仿宋" w:eastAsia="仿宋" w:cs="仿宋"/>
          <w:sz w:val="28"/>
          <w:szCs w:val="28"/>
        </w:rPr>
        <w:sectPr>
          <w:headerReference r:id="rId25" w:type="default"/>
          <w:footerReference r:id="rId26" w:type="default"/>
          <w:pgSz w:w="11906" w:h="16839"/>
          <w:pgMar w:top="1222" w:right="1501" w:bottom="1156" w:left="1134" w:header="885" w:footer="920" w:gutter="0"/>
          <w:cols w:space="720" w:num="1"/>
        </w:sectPr>
      </w:pPr>
    </w:p>
    <w:p w14:paraId="79ECD481">
      <w:pPr>
        <w:pStyle w:val="2"/>
        <w:spacing w:line="275" w:lineRule="auto"/>
      </w:pPr>
    </w:p>
    <w:p w14:paraId="5F7B7100">
      <w:pPr>
        <w:spacing w:before="91" w:line="343" w:lineRule="auto"/>
        <w:ind w:left="5" w:right="90" w:firstLine="5"/>
        <w:jc w:val="both"/>
        <w:rPr>
          <w:rFonts w:ascii="仿宋" w:hAnsi="仿宋" w:eastAsia="仿宋" w:cs="仿宋"/>
          <w:sz w:val="28"/>
          <w:szCs w:val="28"/>
        </w:rPr>
      </w:pPr>
      <w:r>
        <w:rPr>
          <w:rFonts w:ascii="仿宋" w:hAnsi="仿宋" w:eastAsia="仿宋" w:cs="仿宋"/>
          <w:spacing w:val="3"/>
          <w:sz w:val="28"/>
          <w:szCs w:val="28"/>
        </w:rPr>
        <w:t>老旧机动车等，逐步淘汰高油耗、高排放车辆。2017</w:t>
      </w:r>
      <w:r>
        <w:rPr>
          <w:rFonts w:ascii="仿宋" w:hAnsi="仿宋" w:eastAsia="仿宋" w:cs="仿宋"/>
          <w:spacing w:val="-34"/>
          <w:sz w:val="28"/>
          <w:szCs w:val="28"/>
        </w:rPr>
        <w:t xml:space="preserve"> </w:t>
      </w:r>
      <w:r>
        <w:rPr>
          <w:rFonts w:ascii="仿宋" w:hAnsi="仿宋" w:eastAsia="仿宋" w:cs="仿宋"/>
          <w:spacing w:val="3"/>
          <w:sz w:val="28"/>
          <w:szCs w:val="28"/>
        </w:rPr>
        <w:t>年全市范围内基本淘</w:t>
      </w:r>
      <w:r>
        <w:rPr>
          <w:rFonts w:ascii="仿宋" w:hAnsi="仿宋" w:eastAsia="仿宋" w:cs="仿宋"/>
          <w:spacing w:val="6"/>
          <w:sz w:val="28"/>
          <w:szCs w:val="28"/>
        </w:rPr>
        <w:t>汰黄标车，并供应符合国</w:t>
      </w:r>
      <w:r>
        <w:rPr>
          <w:rFonts w:ascii="仿宋" w:hAnsi="仿宋" w:eastAsia="仿宋" w:cs="仿宋"/>
          <w:spacing w:val="-61"/>
          <w:sz w:val="28"/>
          <w:szCs w:val="28"/>
        </w:rPr>
        <w:t xml:space="preserve"> </w:t>
      </w:r>
      <w:r>
        <w:rPr>
          <w:rFonts w:ascii="宋体" w:hAnsi="宋体" w:eastAsia="宋体" w:cs="宋体"/>
          <w:spacing w:val="6"/>
          <w:sz w:val="28"/>
          <w:szCs w:val="28"/>
        </w:rPr>
        <w:t>ⅴ</w:t>
      </w:r>
      <w:r>
        <w:rPr>
          <w:rFonts w:ascii="仿宋" w:hAnsi="仿宋" w:eastAsia="仿宋" w:cs="仿宋"/>
          <w:spacing w:val="6"/>
          <w:sz w:val="28"/>
          <w:szCs w:val="28"/>
        </w:rPr>
        <w:t>标准的车用汽油、柴油，动员</w:t>
      </w:r>
      <w:r>
        <w:rPr>
          <w:rFonts w:ascii="仿宋" w:hAnsi="仿宋" w:eastAsia="仿宋" w:cs="仿宋"/>
          <w:spacing w:val="-27"/>
          <w:sz w:val="28"/>
          <w:szCs w:val="28"/>
        </w:rPr>
        <w:t xml:space="preserve"> </w:t>
      </w:r>
      <w:r>
        <w:rPr>
          <w:rFonts w:ascii="仿宋" w:hAnsi="仿宋" w:eastAsia="仿宋" w:cs="仿宋"/>
          <w:spacing w:val="6"/>
          <w:sz w:val="28"/>
          <w:szCs w:val="28"/>
        </w:rPr>
        <w:t>13</w:t>
      </w:r>
      <w:r>
        <w:rPr>
          <w:rFonts w:ascii="仿宋" w:hAnsi="仿宋" w:eastAsia="仿宋" w:cs="仿宋"/>
          <w:spacing w:val="-33"/>
          <w:sz w:val="28"/>
          <w:szCs w:val="28"/>
        </w:rPr>
        <w:t xml:space="preserve"> </w:t>
      </w:r>
      <w:r>
        <w:rPr>
          <w:rFonts w:ascii="仿宋" w:hAnsi="仿宋" w:eastAsia="仿宋" w:cs="仿宋"/>
          <w:spacing w:val="6"/>
          <w:sz w:val="28"/>
          <w:szCs w:val="28"/>
        </w:rPr>
        <w:t>户具备柴油</w:t>
      </w:r>
      <w:r>
        <w:rPr>
          <w:rFonts w:ascii="仿宋" w:hAnsi="仿宋" w:eastAsia="仿宋" w:cs="仿宋"/>
          <w:spacing w:val="9"/>
          <w:sz w:val="28"/>
          <w:szCs w:val="28"/>
        </w:rPr>
        <w:t>货车维修资质的汽车维修企业登记成为汽车排放性能维护（</w:t>
      </w:r>
      <w:r>
        <w:rPr>
          <w:rFonts w:ascii="仿宋" w:hAnsi="仿宋" w:eastAsia="仿宋" w:cs="仿宋"/>
          <w:spacing w:val="-74"/>
          <w:sz w:val="28"/>
          <w:szCs w:val="28"/>
        </w:rPr>
        <w:t xml:space="preserve"> </w:t>
      </w:r>
      <w:r>
        <w:rPr>
          <w:rFonts w:ascii="仿宋" w:hAnsi="仿宋" w:eastAsia="仿宋" w:cs="仿宋"/>
          <w:spacing w:val="9"/>
          <w:sz w:val="28"/>
          <w:szCs w:val="28"/>
        </w:rPr>
        <w:t>维修）站（M</w:t>
      </w:r>
      <w:r>
        <w:rPr>
          <w:rFonts w:ascii="仿宋" w:hAnsi="仿宋" w:eastAsia="仿宋" w:cs="仿宋"/>
          <w:spacing w:val="5"/>
          <w:sz w:val="28"/>
          <w:szCs w:val="28"/>
        </w:rPr>
        <w:t>站）并使用</w:t>
      </w:r>
      <w:r>
        <w:rPr>
          <w:rFonts w:ascii="仿宋" w:hAnsi="仿宋" w:eastAsia="仿宋" w:cs="仿宋"/>
          <w:spacing w:val="-89"/>
          <w:sz w:val="28"/>
          <w:szCs w:val="28"/>
        </w:rPr>
        <w:t xml:space="preserve"> </w:t>
      </w:r>
      <w:r>
        <w:rPr>
          <w:rFonts w:ascii="仿宋" w:hAnsi="仿宋" w:eastAsia="仿宋" w:cs="仿宋"/>
          <w:spacing w:val="5"/>
          <w:sz w:val="28"/>
          <w:szCs w:val="28"/>
        </w:rPr>
        <w:t>“云南汽车电子健康档案信息服务网”，实现联网对接和适时</w:t>
      </w:r>
      <w:r>
        <w:rPr>
          <w:rFonts w:ascii="仿宋" w:hAnsi="仿宋" w:eastAsia="仿宋" w:cs="仿宋"/>
          <w:spacing w:val="7"/>
          <w:sz w:val="28"/>
          <w:szCs w:val="28"/>
        </w:rPr>
        <w:t>上传维修数据；加大对汽车维修业户非法改</w:t>
      </w:r>
      <w:r>
        <w:rPr>
          <w:rFonts w:ascii="仿宋" w:hAnsi="仿宋" w:eastAsia="仿宋" w:cs="仿宋"/>
          <w:spacing w:val="6"/>
          <w:sz w:val="28"/>
          <w:szCs w:val="28"/>
        </w:rPr>
        <w:t>装柴油货车清理整顿力度，共</w:t>
      </w:r>
      <w:r>
        <w:rPr>
          <w:rFonts w:ascii="仿宋" w:hAnsi="仿宋" w:eastAsia="仿宋" w:cs="仿宋"/>
          <w:spacing w:val="4"/>
          <w:sz w:val="28"/>
          <w:szCs w:val="28"/>
        </w:rPr>
        <w:t>清理维修业户</w:t>
      </w:r>
      <w:r>
        <w:rPr>
          <w:rFonts w:ascii="仿宋" w:hAnsi="仿宋" w:eastAsia="仿宋" w:cs="仿宋"/>
          <w:spacing w:val="-23"/>
          <w:sz w:val="28"/>
          <w:szCs w:val="28"/>
        </w:rPr>
        <w:t xml:space="preserve"> </w:t>
      </w:r>
      <w:r>
        <w:rPr>
          <w:rFonts w:ascii="仿宋" w:hAnsi="仿宋" w:eastAsia="仿宋" w:cs="仿宋"/>
          <w:spacing w:val="4"/>
          <w:sz w:val="28"/>
          <w:szCs w:val="28"/>
        </w:rPr>
        <w:t>1000</w:t>
      </w:r>
      <w:r>
        <w:rPr>
          <w:rFonts w:ascii="仿宋" w:hAnsi="仿宋" w:eastAsia="仿宋" w:cs="仿宋"/>
          <w:spacing w:val="-33"/>
          <w:sz w:val="28"/>
          <w:szCs w:val="28"/>
        </w:rPr>
        <w:t xml:space="preserve"> </w:t>
      </w:r>
      <w:r>
        <w:rPr>
          <w:rFonts w:ascii="仿宋" w:hAnsi="仿宋" w:eastAsia="仿宋" w:cs="仿宋"/>
          <w:spacing w:val="4"/>
          <w:sz w:val="28"/>
          <w:szCs w:val="28"/>
        </w:rPr>
        <w:t>户、下发整改通知</w:t>
      </w:r>
      <w:r>
        <w:rPr>
          <w:rFonts w:ascii="仿宋" w:hAnsi="仿宋" w:eastAsia="仿宋" w:cs="仿宋"/>
          <w:spacing w:val="-30"/>
          <w:sz w:val="28"/>
          <w:szCs w:val="28"/>
        </w:rPr>
        <w:t xml:space="preserve"> </w:t>
      </w:r>
      <w:r>
        <w:rPr>
          <w:rFonts w:ascii="仿宋" w:hAnsi="仿宋" w:eastAsia="仿宋" w:cs="仿宋"/>
          <w:spacing w:val="4"/>
          <w:sz w:val="28"/>
          <w:szCs w:val="28"/>
        </w:rPr>
        <w:t>117</w:t>
      </w:r>
      <w:r>
        <w:rPr>
          <w:rFonts w:ascii="仿宋" w:hAnsi="仿宋" w:eastAsia="仿宋" w:cs="仿宋"/>
          <w:spacing w:val="-49"/>
          <w:sz w:val="28"/>
          <w:szCs w:val="28"/>
        </w:rPr>
        <w:t xml:space="preserve"> </w:t>
      </w:r>
      <w:r>
        <w:rPr>
          <w:rFonts w:ascii="仿宋" w:hAnsi="仿宋" w:eastAsia="仿宋" w:cs="仿宋"/>
          <w:spacing w:val="4"/>
          <w:sz w:val="28"/>
          <w:szCs w:val="28"/>
        </w:rPr>
        <w:t>份、取缔</w:t>
      </w:r>
      <w:r>
        <w:rPr>
          <w:rFonts w:ascii="仿宋" w:hAnsi="仿宋" w:eastAsia="仿宋" w:cs="仿宋"/>
          <w:spacing w:val="-32"/>
          <w:sz w:val="28"/>
          <w:szCs w:val="28"/>
        </w:rPr>
        <w:t xml:space="preserve"> </w:t>
      </w:r>
      <w:r>
        <w:rPr>
          <w:rFonts w:ascii="仿宋" w:hAnsi="仿宋" w:eastAsia="仿宋" w:cs="仿宋"/>
          <w:spacing w:val="4"/>
          <w:sz w:val="28"/>
          <w:szCs w:val="28"/>
        </w:rPr>
        <w:t>9</w:t>
      </w:r>
      <w:r>
        <w:rPr>
          <w:rFonts w:ascii="仿宋" w:hAnsi="仿宋" w:eastAsia="仿宋" w:cs="仿宋"/>
          <w:spacing w:val="-38"/>
          <w:sz w:val="28"/>
          <w:szCs w:val="28"/>
        </w:rPr>
        <w:t xml:space="preserve"> </w:t>
      </w:r>
      <w:r>
        <w:rPr>
          <w:rFonts w:ascii="仿宋" w:hAnsi="仿宋" w:eastAsia="仿宋" w:cs="仿宋"/>
          <w:spacing w:val="4"/>
          <w:sz w:val="28"/>
          <w:szCs w:val="28"/>
        </w:rPr>
        <w:t>户、查处非法改装</w:t>
      </w:r>
      <w:r>
        <w:rPr>
          <w:rFonts w:ascii="仿宋" w:hAnsi="仿宋" w:eastAsia="仿宋" w:cs="仿宋"/>
          <w:spacing w:val="9"/>
          <w:sz w:val="28"/>
          <w:szCs w:val="28"/>
        </w:rPr>
        <w:t>车辆</w:t>
      </w:r>
      <w:r>
        <w:rPr>
          <w:rFonts w:ascii="仿宋" w:hAnsi="仿宋" w:eastAsia="仿宋" w:cs="仿宋"/>
          <w:spacing w:val="-37"/>
          <w:sz w:val="28"/>
          <w:szCs w:val="28"/>
        </w:rPr>
        <w:t xml:space="preserve"> </w:t>
      </w:r>
      <w:r>
        <w:rPr>
          <w:rFonts w:ascii="仿宋" w:hAnsi="仿宋" w:eastAsia="仿宋" w:cs="仿宋"/>
          <w:spacing w:val="9"/>
          <w:sz w:val="28"/>
          <w:szCs w:val="28"/>
        </w:rPr>
        <w:t>2231</w:t>
      </w:r>
      <w:r>
        <w:rPr>
          <w:rFonts w:ascii="仿宋" w:hAnsi="仿宋" w:eastAsia="仿宋" w:cs="仿宋"/>
          <w:spacing w:val="-46"/>
          <w:sz w:val="28"/>
          <w:szCs w:val="28"/>
        </w:rPr>
        <w:t xml:space="preserve"> </w:t>
      </w:r>
      <w:r>
        <w:rPr>
          <w:rFonts w:ascii="仿宋" w:hAnsi="仿宋" w:eastAsia="仿宋" w:cs="仿宋"/>
          <w:spacing w:val="9"/>
          <w:sz w:val="28"/>
          <w:szCs w:val="28"/>
        </w:rPr>
        <w:t>辆；积极推广甩挂运输，创新公路客运班线组织模式，</w:t>
      </w:r>
      <w:r>
        <w:rPr>
          <w:rFonts w:ascii="仿宋" w:hAnsi="仿宋" w:eastAsia="仿宋" w:cs="仿宋"/>
          <w:spacing w:val="8"/>
          <w:sz w:val="28"/>
          <w:szCs w:val="28"/>
        </w:rPr>
        <w:t>推进绿</w:t>
      </w:r>
      <w:r>
        <w:rPr>
          <w:rFonts w:ascii="仿宋" w:hAnsi="仿宋" w:eastAsia="仿宋" w:cs="仿宋"/>
          <w:spacing w:val="7"/>
          <w:sz w:val="28"/>
          <w:szCs w:val="28"/>
        </w:rPr>
        <w:t>色航运建设，客货运结构持续优化，绿色交通发</w:t>
      </w:r>
      <w:r>
        <w:rPr>
          <w:rFonts w:ascii="仿宋" w:hAnsi="仿宋" w:eastAsia="仿宋" w:cs="仿宋"/>
          <w:spacing w:val="6"/>
          <w:sz w:val="28"/>
          <w:szCs w:val="28"/>
        </w:rPr>
        <w:t>展取得新进展。引导推广</w:t>
      </w:r>
      <w:r>
        <w:rPr>
          <w:rFonts w:ascii="仿宋" w:hAnsi="仿宋" w:eastAsia="仿宋" w:cs="仿宋"/>
          <w:spacing w:val="7"/>
          <w:sz w:val="28"/>
          <w:szCs w:val="28"/>
        </w:rPr>
        <w:t>节能环保汽车、新能源汽车、天然气（</w:t>
      </w:r>
      <w:r>
        <w:rPr>
          <w:rFonts w:ascii="仿宋" w:hAnsi="仿宋" w:eastAsia="仿宋" w:cs="仿宋"/>
          <w:spacing w:val="-77"/>
          <w:sz w:val="28"/>
          <w:szCs w:val="28"/>
        </w:rPr>
        <w:t xml:space="preserve"> </w:t>
      </w:r>
      <w:r>
        <w:rPr>
          <w:rFonts w:ascii="仿宋" w:hAnsi="仿宋" w:eastAsia="仿宋" w:cs="仿宋"/>
          <w:sz w:val="28"/>
          <w:szCs w:val="28"/>
        </w:rPr>
        <w:t>CAG</w:t>
      </w:r>
      <w:r>
        <w:rPr>
          <w:rFonts w:ascii="仿宋" w:hAnsi="仿宋" w:eastAsia="仿宋" w:cs="仿宋"/>
          <w:spacing w:val="7"/>
          <w:sz w:val="28"/>
          <w:szCs w:val="28"/>
        </w:rPr>
        <w:t>/</w:t>
      </w:r>
      <w:r>
        <w:rPr>
          <w:rFonts w:ascii="仿宋" w:hAnsi="仿宋" w:eastAsia="仿宋" w:cs="仿宋"/>
          <w:sz w:val="28"/>
          <w:szCs w:val="28"/>
        </w:rPr>
        <w:t>LNG</w:t>
      </w:r>
      <w:r>
        <w:rPr>
          <w:rFonts w:ascii="仿宋" w:hAnsi="仿宋" w:eastAsia="仿宋" w:cs="仿宋"/>
          <w:spacing w:val="-55"/>
          <w:sz w:val="28"/>
          <w:szCs w:val="28"/>
        </w:rPr>
        <w:t xml:space="preserve"> </w:t>
      </w:r>
      <w:r>
        <w:rPr>
          <w:rFonts w:ascii="仿宋" w:hAnsi="仿宋" w:eastAsia="仿宋" w:cs="仿宋"/>
          <w:spacing w:val="7"/>
          <w:sz w:val="28"/>
          <w:szCs w:val="28"/>
        </w:rPr>
        <w:t>）清洁能源汽车等绿色低</w:t>
      </w:r>
      <w:r>
        <w:rPr>
          <w:rFonts w:ascii="仿宋" w:hAnsi="仿宋" w:eastAsia="仿宋" w:cs="仿宋"/>
          <w:spacing w:val="6"/>
          <w:sz w:val="28"/>
          <w:szCs w:val="28"/>
        </w:rPr>
        <w:t>碳车辆投入客运市场，促进交通用能清洁化，2018</w:t>
      </w:r>
      <w:r>
        <w:rPr>
          <w:rFonts w:ascii="仿宋" w:hAnsi="仿宋" w:eastAsia="仿宋" w:cs="仿宋"/>
          <w:spacing w:val="-45"/>
          <w:sz w:val="28"/>
          <w:szCs w:val="28"/>
        </w:rPr>
        <w:t xml:space="preserve"> </w:t>
      </w:r>
      <w:r>
        <w:rPr>
          <w:rFonts w:ascii="仿宋" w:hAnsi="仿宋" w:eastAsia="仿宋" w:cs="仿宋"/>
          <w:spacing w:val="6"/>
          <w:sz w:val="28"/>
          <w:szCs w:val="28"/>
        </w:rPr>
        <w:t>年</w:t>
      </w:r>
      <w:r>
        <w:rPr>
          <w:rFonts w:ascii="仿宋" w:hAnsi="仿宋" w:eastAsia="仿宋" w:cs="仿宋"/>
          <w:spacing w:val="5"/>
          <w:sz w:val="28"/>
          <w:szCs w:val="28"/>
        </w:rPr>
        <w:t>推广应用</w:t>
      </w:r>
      <w:r>
        <w:rPr>
          <w:rFonts w:ascii="仿宋" w:hAnsi="仿宋" w:eastAsia="仿宋" w:cs="仿宋"/>
          <w:spacing w:val="-33"/>
          <w:sz w:val="28"/>
          <w:szCs w:val="28"/>
        </w:rPr>
        <w:t xml:space="preserve"> </w:t>
      </w:r>
      <w:r>
        <w:rPr>
          <w:rFonts w:ascii="仿宋" w:hAnsi="仿宋" w:eastAsia="仿宋" w:cs="仿宋"/>
          <w:spacing w:val="5"/>
          <w:sz w:val="28"/>
          <w:szCs w:val="28"/>
        </w:rPr>
        <w:t>5000</w:t>
      </w:r>
      <w:r>
        <w:rPr>
          <w:rFonts w:ascii="仿宋" w:hAnsi="仿宋" w:eastAsia="仿宋" w:cs="仿宋"/>
          <w:spacing w:val="-51"/>
          <w:sz w:val="28"/>
          <w:szCs w:val="28"/>
        </w:rPr>
        <w:t xml:space="preserve"> </w:t>
      </w:r>
      <w:r>
        <w:rPr>
          <w:rFonts w:ascii="仿宋" w:hAnsi="仿宋" w:eastAsia="仿宋" w:cs="仿宋"/>
          <w:spacing w:val="5"/>
          <w:sz w:val="28"/>
          <w:szCs w:val="28"/>
        </w:rPr>
        <w:t>辆新</w:t>
      </w:r>
      <w:r>
        <w:rPr>
          <w:rFonts w:ascii="仿宋" w:hAnsi="仿宋" w:eastAsia="仿宋" w:cs="仿宋"/>
          <w:spacing w:val="3"/>
          <w:sz w:val="28"/>
          <w:szCs w:val="28"/>
        </w:rPr>
        <w:t>能源汽车，新增充电桩</w:t>
      </w:r>
      <w:r>
        <w:rPr>
          <w:rFonts w:ascii="仿宋" w:hAnsi="仿宋" w:eastAsia="仿宋" w:cs="仿宋"/>
          <w:spacing w:val="-32"/>
          <w:sz w:val="28"/>
          <w:szCs w:val="28"/>
        </w:rPr>
        <w:t xml:space="preserve"> </w:t>
      </w:r>
      <w:r>
        <w:rPr>
          <w:rFonts w:ascii="仿宋" w:hAnsi="仿宋" w:eastAsia="仿宋" w:cs="仿宋"/>
          <w:spacing w:val="3"/>
          <w:sz w:val="28"/>
          <w:szCs w:val="28"/>
        </w:rPr>
        <w:t>1250</w:t>
      </w:r>
      <w:r>
        <w:rPr>
          <w:rFonts w:ascii="仿宋" w:hAnsi="仿宋" w:eastAsia="仿宋" w:cs="仿宋"/>
          <w:spacing w:val="-49"/>
          <w:sz w:val="28"/>
          <w:szCs w:val="28"/>
        </w:rPr>
        <w:t xml:space="preserve"> </w:t>
      </w:r>
      <w:r>
        <w:rPr>
          <w:rFonts w:ascii="仿宋" w:hAnsi="仿宋" w:eastAsia="仿宋" w:cs="仿宋"/>
          <w:spacing w:val="3"/>
          <w:sz w:val="28"/>
          <w:szCs w:val="28"/>
        </w:rPr>
        <w:t>个，集中式充电站</w:t>
      </w:r>
      <w:r>
        <w:rPr>
          <w:rFonts w:ascii="仿宋" w:hAnsi="仿宋" w:eastAsia="仿宋" w:cs="仿宋"/>
          <w:spacing w:val="-39"/>
          <w:sz w:val="28"/>
          <w:szCs w:val="28"/>
        </w:rPr>
        <w:t xml:space="preserve"> </w:t>
      </w:r>
      <w:r>
        <w:rPr>
          <w:rFonts w:ascii="仿宋" w:hAnsi="仿宋" w:eastAsia="仿宋" w:cs="仿宋"/>
          <w:spacing w:val="3"/>
          <w:sz w:val="28"/>
          <w:szCs w:val="28"/>
        </w:rPr>
        <w:t>20</w:t>
      </w:r>
      <w:r>
        <w:rPr>
          <w:rFonts w:ascii="仿宋" w:hAnsi="仿宋" w:eastAsia="仿宋" w:cs="仿宋"/>
          <w:spacing w:val="-49"/>
          <w:sz w:val="28"/>
          <w:szCs w:val="28"/>
        </w:rPr>
        <w:t xml:space="preserve"> </w:t>
      </w:r>
      <w:r>
        <w:rPr>
          <w:rFonts w:ascii="仿宋" w:hAnsi="仿宋" w:eastAsia="仿宋" w:cs="仿宋"/>
          <w:spacing w:val="3"/>
          <w:sz w:val="28"/>
          <w:szCs w:val="28"/>
        </w:rPr>
        <w:t>个。全面开展绿色出行</w:t>
      </w:r>
      <w:r>
        <w:rPr>
          <w:rFonts w:ascii="仿宋" w:hAnsi="仿宋" w:eastAsia="仿宋" w:cs="仿宋"/>
          <w:spacing w:val="7"/>
          <w:sz w:val="28"/>
          <w:szCs w:val="28"/>
        </w:rPr>
        <w:t>行动，进一步提升公交、慢性交通等出行方式比</w:t>
      </w:r>
      <w:r>
        <w:rPr>
          <w:rFonts w:ascii="仿宋" w:hAnsi="仿宋" w:eastAsia="仿宋" w:cs="仿宋"/>
          <w:spacing w:val="6"/>
          <w:sz w:val="28"/>
          <w:szCs w:val="28"/>
        </w:rPr>
        <w:t>重，居民出行条件明显改</w:t>
      </w:r>
      <w:r>
        <w:rPr>
          <w:rFonts w:ascii="仿宋" w:hAnsi="仿宋" w:eastAsia="仿宋" w:cs="仿宋"/>
          <w:spacing w:val="7"/>
          <w:sz w:val="28"/>
          <w:szCs w:val="28"/>
        </w:rPr>
        <w:t>善；积极引导规范私人小客车合乘、互联网租赁</w:t>
      </w:r>
      <w:r>
        <w:rPr>
          <w:rFonts w:ascii="仿宋" w:hAnsi="仿宋" w:eastAsia="仿宋" w:cs="仿宋"/>
          <w:spacing w:val="6"/>
          <w:sz w:val="28"/>
          <w:szCs w:val="28"/>
        </w:rPr>
        <w:t>自行车等健康发展，市内</w:t>
      </w:r>
      <w:r>
        <w:rPr>
          <w:rFonts w:ascii="仿宋" w:hAnsi="仿宋" w:eastAsia="仿宋" w:cs="仿宋"/>
          <w:spacing w:val="4"/>
          <w:sz w:val="28"/>
          <w:szCs w:val="28"/>
        </w:rPr>
        <w:t>城市公共自行车投放约</w:t>
      </w:r>
      <w:r>
        <w:rPr>
          <w:rFonts w:ascii="仿宋" w:hAnsi="仿宋" w:eastAsia="仿宋" w:cs="仿宋"/>
          <w:spacing w:val="-26"/>
          <w:sz w:val="28"/>
          <w:szCs w:val="28"/>
        </w:rPr>
        <w:t xml:space="preserve"> </w:t>
      </w:r>
      <w:r>
        <w:rPr>
          <w:rFonts w:ascii="仿宋" w:hAnsi="仿宋" w:eastAsia="仿宋" w:cs="仿宋"/>
          <w:spacing w:val="4"/>
          <w:sz w:val="28"/>
          <w:szCs w:val="28"/>
        </w:rPr>
        <w:t>1.8</w:t>
      </w:r>
      <w:r>
        <w:rPr>
          <w:rFonts w:ascii="仿宋" w:hAnsi="仿宋" w:eastAsia="仿宋" w:cs="仿宋"/>
          <w:spacing w:val="-35"/>
          <w:sz w:val="28"/>
          <w:szCs w:val="28"/>
        </w:rPr>
        <w:t xml:space="preserve"> </w:t>
      </w:r>
      <w:r>
        <w:rPr>
          <w:rFonts w:ascii="仿宋" w:hAnsi="仿宋" w:eastAsia="仿宋" w:cs="仿宋"/>
          <w:spacing w:val="4"/>
          <w:sz w:val="28"/>
          <w:szCs w:val="28"/>
        </w:rPr>
        <w:t>万辆。加强绿色出行宣传和科普教育，组织开</w:t>
      </w:r>
      <w:r>
        <w:rPr>
          <w:rFonts w:ascii="仿宋" w:hAnsi="仿宋" w:eastAsia="仿宋" w:cs="仿宋"/>
          <w:spacing w:val="5"/>
          <w:sz w:val="28"/>
          <w:szCs w:val="28"/>
        </w:rPr>
        <w:t>展绿色交通专题教育培训和绿色出行宣传月活动及</w:t>
      </w:r>
      <w:r>
        <w:rPr>
          <w:rFonts w:ascii="仿宋" w:hAnsi="仿宋" w:eastAsia="仿宋" w:cs="仿宋"/>
          <w:spacing w:val="-87"/>
          <w:sz w:val="28"/>
          <w:szCs w:val="28"/>
        </w:rPr>
        <w:t xml:space="preserve"> </w:t>
      </w:r>
      <w:r>
        <w:rPr>
          <w:rFonts w:ascii="仿宋" w:hAnsi="仿宋" w:eastAsia="仿宋" w:cs="仿宋"/>
          <w:spacing w:val="5"/>
          <w:sz w:val="28"/>
          <w:szCs w:val="28"/>
        </w:rPr>
        <w:t>“无车日”活动，推广</w:t>
      </w:r>
      <w:r>
        <w:rPr>
          <w:rFonts w:ascii="仿宋" w:hAnsi="仿宋" w:eastAsia="仿宋" w:cs="仿宋"/>
          <w:spacing w:val="7"/>
          <w:sz w:val="28"/>
          <w:szCs w:val="28"/>
        </w:rPr>
        <w:t>绿色交通先进技术和经验，广大群众及行业</w:t>
      </w:r>
      <w:r>
        <w:rPr>
          <w:rFonts w:ascii="仿宋" w:hAnsi="仿宋" w:eastAsia="仿宋" w:cs="仿宋"/>
          <w:spacing w:val="6"/>
          <w:sz w:val="28"/>
          <w:szCs w:val="28"/>
        </w:rPr>
        <w:t>从业人员的节能环保意识大幅</w:t>
      </w:r>
      <w:r>
        <w:rPr>
          <w:rFonts w:ascii="仿宋" w:hAnsi="仿宋" w:eastAsia="仿宋" w:cs="仿宋"/>
          <w:spacing w:val="7"/>
          <w:sz w:val="28"/>
          <w:szCs w:val="28"/>
        </w:rPr>
        <w:t>提升。加大对绿色交通发展的督查考核力度，行业监管能力显著提升。</w:t>
      </w:r>
    </w:p>
    <w:p w14:paraId="22C27D06">
      <w:pPr>
        <w:spacing w:before="69" w:line="222" w:lineRule="auto"/>
        <w:ind w:left="573"/>
        <w:outlineLvl w:val="2"/>
        <w:rPr>
          <w:rFonts w:ascii="黑体" w:hAnsi="黑体" w:eastAsia="黑体" w:cs="黑体"/>
          <w:sz w:val="28"/>
          <w:szCs w:val="28"/>
        </w:rPr>
      </w:pPr>
      <w:bookmarkStart w:id="11" w:name="bookmark10"/>
      <w:bookmarkEnd w:id="11"/>
      <w:r>
        <w:rPr>
          <w:rFonts w:ascii="黑体" w:hAnsi="黑体" w:eastAsia="黑体" w:cs="黑体"/>
          <w:spacing w:val="-1"/>
          <w:sz w:val="28"/>
          <w:szCs w:val="28"/>
        </w:rPr>
        <w:t>7. 行业治理迈上新的台阶</w:t>
      </w:r>
    </w:p>
    <w:p w14:paraId="2DC26C89">
      <w:pPr>
        <w:spacing w:before="291" w:line="343" w:lineRule="auto"/>
        <w:ind w:left="19" w:right="91" w:firstLine="586"/>
        <w:jc w:val="both"/>
        <w:rPr>
          <w:rFonts w:ascii="仿宋" w:hAnsi="仿宋" w:eastAsia="仿宋" w:cs="仿宋"/>
          <w:sz w:val="28"/>
          <w:szCs w:val="28"/>
        </w:rPr>
      </w:pPr>
      <w:r>
        <w:rPr>
          <w:rFonts w:ascii="仿宋" w:hAnsi="仿宋" w:eastAsia="仿宋" w:cs="仿宋"/>
          <w:spacing w:val="6"/>
          <w:sz w:val="28"/>
          <w:szCs w:val="28"/>
        </w:rPr>
        <w:t>“十三五”期间，全市综合交通体制机制改革进一步</w:t>
      </w:r>
      <w:r>
        <w:rPr>
          <w:rFonts w:ascii="仿宋" w:hAnsi="仿宋" w:eastAsia="仿宋" w:cs="仿宋"/>
          <w:spacing w:val="5"/>
          <w:sz w:val="28"/>
          <w:szCs w:val="28"/>
        </w:rPr>
        <w:t>深化，交通运输</w:t>
      </w:r>
      <w:r>
        <w:rPr>
          <w:rFonts w:ascii="仿宋" w:hAnsi="仿宋" w:eastAsia="仿宋" w:cs="仿宋"/>
          <w:spacing w:val="4"/>
          <w:sz w:val="28"/>
          <w:szCs w:val="28"/>
        </w:rPr>
        <w:t>规范管理、高效运转的</w:t>
      </w:r>
      <w:r>
        <w:rPr>
          <w:rFonts w:ascii="仿宋" w:hAnsi="仿宋" w:eastAsia="仿宋" w:cs="仿宋"/>
          <w:spacing w:val="-99"/>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大交通”体制机制正逐步形成，交通运输行</w:t>
      </w:r>
      <w:r>
        <w:rPr>
          <w:rFonts w:ascii="仿宋" w:hAnsi="仿宋" w:eastAsia="仿宋" w:cs="仿宋"/>
          <w:spacing w:val="3"/>
          <w:sz w:val="28"/>
          <w:szCs w:val="28"/>
        </w:rPr>
        <w:t>政许</w:t>
      </w:r>
      <w:r>
        <w:rPr>
          <w:rFonts w:ascii="仿宋" w:hAnsi="仿宋" w:eastAsia="仿宋" w:cs="仿宋"/>
          <w:spacing w:val="6"/>
          <w:sz w:val="28"/>
          <w:szCs w:val="28"/>
        </w:rPr>
        <w:t>可事项持续精简，行业治理能力不断提升，特别是路政、运政管理及执法</w:t>
      </w:r>
      <w:r>
        <w:rPr>
          <w:rFonts w:ascii="仿宋" w:hAnsi="仿宋" w:eastAsia="仿宋" w:cs="仿宋"/>
          <w:spacing w:val="5"/>
          <w:sz w:val="28"/>
          <w:szCs w:val="28"/>
        </w:rPr>
        <w:t>能力、服务水平明显提升。</w:t>
      </w:r>
    </w:p>
    <w:p w14:paraId="471EF728">
      <w:pPr>
        <w:spacing w:before="3" w:line="342" w:lineRule="auto"/>
        <w:ind w:left="10" w:firstLine="593"/>
        <w:jc w:val="both"/>
        <w:rPr>
          <w:rFonts w:ascii="仿宋" w:hAnsi="仿宋" w:eastAsia="仿宋" w:cs="仿宋"/>
          <w:sz w:val="28"/>
          <w:szCs w:val="28"/>
        </w:rPr>
      </w:pPr>
      <w:r>
        <w:rPr>
          <w:rFonts w:ascii="仿宋" w:hAnsi="仿宋" w:eastAsia="仿宋" w:cs="仿宋"/>
          <w:spacing w:val="6"/>
          <w:sz w:val="28"/>
          <w:szCs w:val="28"/>
        </w:rPr>
        <w:t>一方面强化日常路巡管理，大力开展交通标志专项</w:t>
      </w:r>
      <w:r>
        <w:rPr>
          <w:rFonts w:ascii="仿宋" w:hAnsi="仿宋" w:eastAsia="仿宋" w:cs="仿宋"/>
          <w:spacing w:val="5"/>
          <w:sz w:val="28"/>
          <w:szCs w:val="28"/>
        </w:rPr>
        <w:t>整治，围绕整治辖区公路路域环境管理突出问题，对</w:t>
      </w:r>
      <w:r>
        <w:rPr>
          <w:rFonts w:ascii="仿宋" w:hAnsi="仿宋" w:eastAsia="仿宋" w:cs="仿宋"/>
          <w:spacing w:val="-90"/>
          <w:sz w:val="28"/>
          <w:szCs w:val="28"/>
        </w:rPr>
        <w:t xml:space="preserve"> </w:t>
      </w:r>
      <w:r>
        <w:rPr>
          <w:rFonts w:ascii="仿宋" w:hAnsi="仿宋" w:eastAsia="仿宋" w:cs="仿宋"/>
          <w:spacing w:val="5"/>
          <w:sz w:val="28"/>
          <w:szCs w:val="28"/>
        </w:rPr>
        <w:t>“老、大、难”公路路段，开展优化路</w:t>
      </w:r>
      <w:r>
        <w:rPr>
          <w:rFonts w:ascii="仿宋" w:hAnsi="仿宋" w:eastAsia="仿宋" w:cs="仿宋"/>
          <w:spacing w:val="1"/>
          <w:sz w:val="28"/>
          <w:szCs w:val="28"/>
        </w:rPr>
        <w:t>域环境专项治理；巩固与地方政府、交警等部</w:t>
      </w:r>
      <w:r>
        <w:rPr>
          <w:rFonts w:ascii="仿宋" w:hAnsi="仿宋" w:eastAsia="仿宋" w:cs="仿宋"/>
          <w:sz w:val="28"/>
          <w:szCs w:val="28"/>
        </w:rPr>
        <w:t>门达成的路地、路警、路运、</w:t>
      </w:r>
      <w:r>
        <w:rPr>
          <w:rFonts w:ascii="仿宋" w:hAnsi="仿宋" w:eastAsia="仿宋" w:cs="仿宋"/>
          <w:spacing w:val="6"/>
          <w:sz w:val="28"/>
          <w:szCs w:val="28"/>
        </w:rPr>
        <w:t>路养协作机制，进一步健全与沿线公安机关之间的涉路安全和涉路治安联</w:t>
      </w:r>
    </w:p>
    <w:p w14:paraId="09B5AAB8">
      <w:pPr>
        <w:spacing w:line="342" w:lineRule="auto"/>
        <w:rPr>
          <w:rFonts w:ascii="仿宋" w:hAnsi="仿宋" w:eastAsia="仿宋" w:cs="仿宋"/>
          <w:sz w:val="28"/>
          <w:szCs w:val="28"/>
        </w:rPr>
        <w:sectPr>
          <w:headerReference r:id="rId27" w:type="default"/>
          <w:footerReference r:id="rId28" w:type="default"/>
          <w:pgSz w:w="11906" w:h="16839"/>
          <w:pgMar w:top="1222" w:right="1047" w:bottom="1096" w:left="1587" w:header="885" w:footer="936" w:gutter="0"/>
          <w:cols w:space="720" w:num="1"/>
        </w:sectPr>
      </w:pPr>
    </w:p>
    <w:p w14:paraId="51DE4528">
      <w:pPr>
        <w:pStyle w:val="2"/>
        <w:spacing w:line="276" w:lineRule="auto"/>
      </w:pPr>
    </w:p>
    <w:p w14:paraId="09BC7B36">
      <w:pPr>
        <w:spacing w:before="91" w:line="343" w:lineRule="auto"/>
        <w:ind w:left="3" w:right="283" w:firstLine="21"/>
        <w:rPr>
          <w:rFonts w:ascii="仿宋" w:hAnsi="仿宋" w:eastAsia="仿宋" w:cs="仿宋"/>
          <w:sz w:val="28"/>
          <w:szCs w:val="28"/>
        </w:rPr>
      </w:pPr>
      <w:r>
        <w:rPr>
          <w:rFonts w:ascii="仿宋" w:hAnsi="仿宋" w:eastAsia="仿宋" w:cs="仿宋"/>
          <w:spacing w:val="6"/>
          <w:sz w:val="28"/>
          <w:szCs w:val="28"/>
        </w:rPr>
        <w:t>动联勤、联合执法治理的长效机制。完善路政基础管理，累计办理路政案</w:t>
      </w:r>
      <w:r>
        <w:rPr>
          <w:rFonts w:ascii="仿宋" w:hAnsi="仿宋" w:eastAsia="仿宋" w:cs="仿宋"/>
          <w:spacing w:val="3"/>
          <w:sz w:val="28"/>
          <w:szCs w:val="28"/>
        </w:rPr>
        <w:t>件</w:t>
      </w:r>
      <w:r>
        <w:rPr>
          <w:rFonts w:ascii="仿宋" w:hAnsi="仿宋" w:eastAsia="仿宋" w:cs="仿宋"/>
          <w:spacing w:val="-28"/>
          <w:sz w:val="28"/>
          <w:szCs w:val="28"/>
        </w:rPr>
        <w:t xml:space="preserve"> </w:t>
      </w:r>
      <w:r>
        <w:rPr>
          <w:rFonts w:ascii="仿宋" w:hAnsi="仿宋" w:eastAsia="仿宋" w:cs="仿宋"/>
          <w:spacing w:val="3"/>
          <w:sz w:val="28"/>
          <w:szCs w:val="28"/>
        </w:rPr>
        <w:t>309</w:t>
      </w:r>
      <w:r>
        <w:rPr>
          <w:rFonts w:ascii="仿宋" w:hAnsi="仿宋" w:eastAsia="仿宋" w:cs="仿宋"/>
          <w:spacing w:val="-49"/>
          <w:sz w:val="28"/>
          <w:szCs w:val="28"/>
        </w:rPr>
        <w:t xml:space="preserve"> </w:t>
      </w:r>
      <w:r>
        <w:rPr>
          <w:rFonts w:ascii="仿宋" w:hAnsi="仿宋" w:eastAsia="仿宋" w:cs="仿宋"/>
          <w:spacing w:val="3"/>
          <w:sz w:val="28"/>
          <w:szCs w:val="28"/>
        </w:rPr>
        <w:t>起，累计完成安全隐患排查</w:t>
      </w:r>
      <w:r>
        <w:rPr>
          <w:rFonts w:ascii="仿宋" w:hAnsi="仿宋" w:eastAsia="仿宋" w:cs="仿宋"/>
          <w:spacing w:val="-35"/>
          <w:sz w:val="28"/>
          <w:szCs w:val="28"/>
        </w:rPr>
        <w:t xml:space="preserve"> </w:t>
      </w:r>
      <w:r>
        <w:rPr>
          <w:rFonts w:ascii="仿宋" w:hAnsi="仿宋" w:eastAsia="仿宋" w:cs="仿宋"/>
          <w:spacing w:val="3"/>
          <w:sz w:val="28"/>
          <w:szCs w:val="28"/>
        </w:rPr>
        <w:t>576</w:t>
      </w:r>
      <w:r>
        <w:rPr>
          <w:rFonts w:ascii="仿宋" w:hAnsi="仿宋" w:eastAsia="仿宋" w:cs="仿宋"/>
          <w:spacing w:val="-43"/>
          <w:sz w:val="28"/>
          <w:szCs w:val="28"/>
        </w:rPr>
        <w:t xml:space="preserve"> </w:t>
      </w:r>
      <w:r>
        <w:rPr>
          <w:rFonts w:ascii="仿宋" w:hAnsi="仿宋" w:eastAsia="仿宋" w:cs="仿宋"/>
          <w:spacing w:val="3"/>
          <w:sz w:val="28"/>
          <w:szCs w:val="28"/>
        </w:rPr>
        <w:t>次，</w:t>
      </w:r>
      <w:r>
        <w:rPr>
          <w:rFonts w:ascii="仿宋" w:hAnsi="仿宋" w:eastAsia="仿宋" w:cs="仿宋"/>
          <w:spacing w:val="2"/>
          <w:sz w:val="28"/>
          <w:szCs w:val="28"/>
        </w:rPr>
        <w:t>路政管理效能进一步提升。充</w:t>
      </w:r>
      <w:r>
        <w:rPr>
          <w:rFonts w:ascii="仿宋" w:hAnsi="仿宋" w:eastAsia="仿宋" w:cs="仿宋"/>
          <w:spacing w:val="4"/>
          <w:sz w:val="28"/>
          <w:szCs w:val="28"/>
        </w:rPr>
        <w:t>分利用路政宣传月、国家宪法日、</w:t>
      </w:r>
      <w:r>
        <w:rPr>
          <w:rFonts w:ascii="仿宋" w:hAnsi="仿宋" w:eastAsia="仿宋" w:cs="仿宋"/>
          <w:spacing w:val="-54"/>
          <w:sz w:val="28"/>
          <w:szCs w:val="28"/>
        </w:rPr>
        <w:t xml:space="preserve"> </w:t>
      </w:r>
      <w:r>
        <w:rPr>
          <w:rFonts w:ascii="仿宋" w:hAnsi="仿宋" w:eastAsia="仿宋" w:cs="仿宋"/>
          <w:spacing w:val="4"/>
          <w:sz w:val="28"/>
          <w:szCs w:val="28"/>
        </w:rPr>
        <w:t>日常路政巡查等有利时机，深入学习宣传路政管理法律法规，健全</w:t>
      </w:r>
      <w:r>
        <w:rPr>
          <w:rFonts w:hint="eastAsia" w:ascii="仿宋" w:hAnsi="仿宋" w:eastAsia="仿宋" w:cs="仿宋"/>
          <w:spacing w:val="4"/>
          <w:sz w:val="28"/>
          <w:szCs w:val="28"/>
          <w:lang w:eastAsia="zh-CN"/>
        </w:rPr>
        <w:t>法治宣传</w:t>
      </w:r>
      <w:r>
        <w:rPr>
          <w:rFonts w:ascii="仿宋" w:hAnsi="仿宋" w:eastAsia="仿宋" w:cs="仿宋"/>
          <w:spacing w:val="4"/>
          <w:sz w:val="28"/>
          <w:szCs w:val="28"/>
        </w:rPr>
        <w:t>制度，</w:t>
      </w:r>
      <w:r>
        <w:rPr>
          <w:rFonts w:ascii="仿宋" w:hAnsi="仿宋" w:eastAsia="仿宋" w:cs="仿宋"/>
          <w:spacing w:val="-77"/>
          <w:sz w:val="28"/>
          <w:szCs w:val="28"/>
        </w:rPr>
        <w:t xml:space="preserve"> </w:t>
      </w:r>
      <w:r>
        <w:rPr>
          <w:rFonts w:ascii="仿宋" w:hAnsi="仿宋" w:eastAsia="仿宋" w:cs="仿宋"/>
          <w:spacing w:val="4"/>
          <w:sz w:val="28"/>
          <w:szCs w:val="28"/>
        </w:rPr>
        <w:t>以提升公路管理者、经营者、</w:t>
      </w:r>
    </w:p>
    <w:p w14:paraId="1820FB76">
      <w:pPr>
        <w:spacing w:before="3" w:line="342" w:lineRule="auto"/>
        <w:ind w:left="8" w:right="281" w:hanging="2"/>
        <w:rPr>
          <w:rFonts w:ascii="仿宋" w:hAnsi="仿宋" w:eastAsia="仿宋" w:cs="仿宋"/>
          <w:sz w:val="28"/>
          <w:szCs w:val="28"/>
        </w:rPr>
      </w:pPr>
      <w:r>
        <w:rPr>
          <w:rFonts w:ascii="仿宋" w:hAnsi="仿宋" w:eastAsia="仿宋" w:cs="仿宋"/>
          <w:spacing w:val="7"/>
          <w:sz w:val="28"/>
          <w:szCs w:val="28"/>
        </w:rPr>
        <w:t>使用者以及公路沿线群众的</w:t>
      </w:r>
      <w:r>
        <w:rPr>
          <w:rFonts w:hint="eastAsia" w:ascii="仿宋" w:hAnsi="仿宋" w:eastAsia="仿宋" w:cs="仿宋"/>
          <w:spacing w:val="7"/>
          <w:sz w:val="28"/>
          <w:szCs w:val="28"/>
          <w:lang w:eastAsia="zh-CN"/>
        </w:rPr>
        <w:t>法治意识</w:t>
      </w:r>
      <w:r>
        <w:rPr>
          <w:rFonts w:ascii="仿宋" w:hAnsi="仿宋" w:eastAsia="仿宋" w:cs="仿宋"/>
          <w:spacing w:val="7"/>
          <w:sz w:val="28"/>
          <w:szCs w:val="28"/>
        </w:rPr>
        <w:t>和爱路</w:t>
      </w:r>
      <w:r>
        <w:rPr>
          <w:rFonts w:ascii="仿宋" w:hAnsi="仿宋" w:eastAsia="仿宋" w:cs="仿宋"/>
          <w:spacing w:val="6"/>
          <w:sz w:val="28"/>
          <w:szCs w:val="28"/>
        </w:rPr>
        <w:t>意识为着力点，加强路政执法</w:t>
      </w:r>
      <w:r>
        <w:rPr>
          <w:rFonts w:ascii="仿宋" w:hAnsi="仿宋" w:eastAsia="仿宋" w:cs="仿宋"/>
          <w:spacing w:val="4"/>
          <w:sz w:val="28"/>
          <w:szCs w:val="28"/>
        </w:rPr>
        <w:t>规范化建设，切实推进</w:t>
      </w:r>
      <w:r>
        <w:rPr>
          <w:rFonts w:ascii="仿宋" w:hAnsi="仿宋" w:eastAsia="仿宋" w:cs="仿宋"/>
          <w:spacing w:val="-95"/>
          <w:sz w:val="28"/>
          <w:szCs w:val="28"/>
        </w:rPr>
        <w:t xml:space="preserve"> </w:t>
      </w:r>
      <w:r>
        <w:rPr>
          <w:rFonts w:ascii="仿宋" w:hAnsi="仿宋" w:eastAsia="仿宋" w:cs="仿宋"/>
          <w:spacing w:val="4"/>
          <w:sz w:val="28"/>
          <w:szCs w:val="28"/>
        </w:rPr>
        <w:t>“</w:t>
      </w:r>
      <w:r>
        <w:rPr>
          <w:rFonts w:ascii="仿宋" w:hAnsi="仿宋" w:eastAsia="仿宋" w:cs="仿宋"/>
          <w:spacing w:val="-102"/>
          <w:sz w:val="28"/>
          <w:szCs w:val="28"/>
        </w:rPr>
        <w:t xml:space="preserve"> </w:t>
      </w:r>
      <w:r>
        <w:rPr>
          <w:rFonts w:ascii="仿宋" w:hAnsi="仿宋" w:eastAsia="仿宋" w:cs="仿宋"/>
          <w:spacing w:val="4"/>
          <w:sz w:val="28"/>
          <w:szCs w:val="28"/>
        </w:rPr>
        <w:t>三项制度”落实，路政执法效能进一步提升。积</w:t>
      </w:r>
      <w:r>
        <w:rPr>
          <w:rFonts w:ascii="仿宋" w:hAnsi="仿宋" w:eastAsia="仿宋" w:cs="仿宋"/>
          <w:spacing w:val="5"/>
          <w:sz w:val="28"/>
          <w:szCs w:val="28"/>
        </w:rPr>
        <w:t>极探寻公路管理科技创新手段，如单位之间通过共享综合信息管理平台，</w:t>
      </w:r>
    </w:p>
    <w:p w14:paraId="293BB48D">
      <w:pPr>
        <w:spacing w:before="4" w:line="342" w:lineRule="auto"/>
        <w:ind w:left="9" w:right="283" w:firstLine="14"/>
        <w:rPr>
          <w:rFonts w:ascii="仿宋" w:hAnsi="仿宋" w:eastAsia="仿宋" w:cs="仿宋"/>
          <w:sz w:val="28"/>
          <w:szCs w:val="28"/>
        </w:rPr>
      </w:pPr>
      <w:r>
        <w:rPr>
          <w:rFonts w:ascii="仿宋" w:hAnsi="仿宋" w:eastAsia="仿宋" w:cs="仿宋"/>
          <w:spacing w:val="6"/>
          <w:sz w:val="28"/>
          <w:szCs w:val="28"/>
        </w:rPr>
        <w:t>实现对辖区公路重点路段、高边坡、道路沉陷、桥梁等路段的实时视频监控，路政管理信息化智能化水平进一步提升；探索在运政、路政巡逻车上</w:t>
      </w:r>
      <w:r>
        <w:rPr>
          <w:rFonts w:ascii="仿宋" w:hAnsi="仿宋" w:eastAsia="仿宋" w:cs="仿宋"/>
          <w:spacing w:val="5"/>
          <w:sz w:val="28"/>
          <w:szCs w:val="28"/>
        </w:rPr>
        <w:t>加装</w:t>
      </w:r>
      <w:r>
        <w:rPr>
          <w:rFonts w:ascii="仿宋" w:hAnsi="仿宋" w:eastAsia="仿宋" w:cs="仿宋"/>
          <w:spacing w:val="-48"/>
          <w:sz w:val="28"/>
          <w:szCs w:val="28"/>
        </w:rPr>
        <w:t xml:space="preserve"> </w:t>
      </w:r>
      <w:r>
        <w:rPr>
          <w:rFonts w:ascii="仿宋" w:hAnsi="仿宋" w:eastAsia="仿宋" w:cs="仿宋"/>
          <w:sz w:val="28"/>
          <w:szCs w:val="28"/>
        </w:rPr>
        <w:t>GPS</w:t>
      </w:r>
      <w:r>
        <w:rPr>
          <w:rFonts w:ascii="仿宋" w:hAnsi="仿宋" w:eastAsia="仿宋" w:cs="仿宋"/>
          <w:spacing w:val="5"/>
          <w:sz w:val="28"/>
          <w:szCs w:val="28"/>
        </w:rPr>
        <w:t>、4G</w:t>
      </w:r>
      <w:r>
        <w:rPr>
          <w:rFonts w:ascii="仿宋" w:hAnsi="仿宋" w:eastAsia="仿宋" w:cs="仿宋"/>
          <w:spacing w:val="-39"/>
          <w:sz w:val="28"/>
          <w:szCs w:val="28"/>
        </w:rPr>
        <w:t xml:space="preserve"> </w:t>
      </w:r>
      <w:r>
        <w:rPr>
          <w:rFonts w:ascii="仿宋" w:hAnsi="仿宋" w:eastAsia="仿宋" w:cs="仿宋"/>
          <w:spacing w:val="5"/>
          <w:sz w:val="28"/>
          <w:szCs w:val="28"/>
        </w:rPr>
        <w:t>车载视频监控系统，完善固定监控摄像头的监控盲区，实现了路巡画面、客运车辆画面的实时回传；设立公路路政网络巡查示范点，</w:t>
      </w:r>
    </w:p>
    <w:p w14:paraId="51280540">
      <w:pPr>
        <w:spacing w:before="1" w:line="343" w:lineRule="auto"/>
        <w:ind w:left="12" w:hanging="6"/>
        <w:rPr>
          <w:rFonts w:ascii="仿宋" w:hAnsi="仿宋" w:eastAsia="仿宋" w:cs="仿宋"/>
          <w:sz w:val="28"/>
          <w:szCs w:val="28"/>
        </w:rPr>
      </w:pPr>
      <w:r>
        <w:rPr>
          <w:rFonts w:ascii="仿宋" w:hAnsi="仿宋" w:eastAsia="仿宋" w:cs="仿宋"/>
          <w:spacing w:val="4"/>
          <w:sz w:val="28"/>
          <w:szCs w:val="28"/>
        </w:rPr>
        <w:t>促进“</w:t>
      </w:r>
      <w:r>
        <w:rPr>
          <w:rFonts w:ascii="仿宋" w:hAnsi="仿宋" w:eastAsia="仿宋" w:cs="仿宋"/>
          <w:spacing w:val="-93"/>
          <w:sz w:val="28"/>
          <w:szCs w:val="28"/>
        </w:rPr>
        <w:t xml:space="preserve"> </w:t>
      </w:r>
      <w:r>
        <w:rPr>
          <w:rFonts w:ascii="仿宋" w:hAnsi="仿宋" w:eastAsia="仿宋" w:cs="仿宋"/>
          <w:spacing w:val="4"/>
          <w:sz w:val="28"/>
          <w:szCs w:val="28"/>
        </w:rPr>
        <w:t>一路三方”联动机制，提高了路政巡查质量。严格履行“</w:t>
      </w:r>
      <w:r>
        <w:rPr>
          <w:rFonts w:ascii="仿宋" w:hAnsi="仿宋" w:eastAsia="仿宋" w:cs="仿宋"/>
          <w:spacing w:val="-104"/>
          <w:sz w:val="28"/>
          <w:szCs w:val="28"/>
        </w:rPr>
        <w:t xml:space="preserve"> </w:t>
      </w:r>
      <w:r>
        <w:rPr>
          <w:rFonts w:ascii="仿宋" w:hAnsi="仿宋" w:eastAsia="仿宋" w:cs="仿宋"/>
          <w:spacing w:val="4"/>
          <w:sz w:val="28"/>
          <w:szCs w:val="28"/>
        </w:rPr>
        <w:t>一岗双责”</w:t>
      </w:r>
      <w:r>
        <w:rPr>
          <w:rFonts w:ascii="仿宋" w:hAnsi="仿宋" w:eastAsia="仿宋" w:cs="仿宋"/>
          <w:spacing w:val="6"/>
          <w:sz w:val="28"/>
          <w:szCs w:val="28"/>
        </w:rPr>
        <w:t>制度，加强与交警、政府及公安部门的沟通与联系，开展经常性或季节性</w:t>
      </w:r>
      <w:r>
        <w:rPr>
          <w:rFonts w:ascii="仿宋" w:hAnsi="仿宋" w:eastAsia="仿宋" w:cs="仿宋"/>
          <w:spacing w:val="4"/>
          <w:sz w:val="28"/>
          <w:szCs w:val="28"/>
        </w:rPr>
        <w:t xml:space="preserve"> </w:t>
      </w:r>
      <w:r>
        <w:rPr>
          <w:rFonts w:ascii="仿宋" w:hAnsi="仿宋" w:eastAsia="仿宋" w:cs="仿宋"/>
          <w:spacing w:val="6"/>
          <w:sz w:val="28"/>
          <w:szCs w:val="28"/>
        </w:rPr>
        <w:t>巡防活动，进一步健全和完善安全生产、综治维稳、路政应急救援等各项</w:t>
      </w:r>
      <w:r>
        <w:rPr>
          <w:rFonts w:ascii="仿宋" w:hAnsi="仿宋" w:eastAsia="仿宋" w:cs="仿宋"/>
          <w:spacing w:val="4"/>
          <w:sz w:val="28"/>
          <w:szCs w:val="28"/>
        </w:rPr>
        <w:t xml:space="preserve"> </w:t>
      </w:r>
      <w:r>
        <w:rPr>
          <w:rFonts w:ascii="仿宋" w:hAnsi="仿宋" w:eastAsia="仿宋" w:cs="仿宋"/>
          <w:spacing w:val="6"/>
          <w:sz w:val="28"/>
          <w:szCs w:val="28"/>
        </w:rPr>
        <w:t>应急预案，路政应急救援能力进一步提升。</w:t>
      </w:r>
    </w:p>
    <w:p w14:paraId="4751FEC6">
      <w:pPr>
        <w:spacing w:before="12" w:line="342" w:lineRule="auto"/>
        <w:ind w:left="6" w:right="204" w:firstLine="597"/>
        <w:jc w:val="both"/>
        <w:rPr>
          <w:rFonts w:ascii="仿宋" w:hAnsi="仿宋" w:eastAsia="仿宋" w:cs="仿宋"/>
          <w:sz w:val="28"/>
          <w:szCs w:val="28"/>
        </w:rPr>
      </w:pPr>
      <w:r>
        <w:rPr>
          <w:rFonts w:ascii="仿宋" w:hAnsi="仿宋" w:eastAsia="仿宋" w:cs="仿宋"/>
          <w:spacing w:val="6"/>
          <w:sz w:val="28"/>
          <w:szCs w:val="28"/>
        </w:rPr>
        <w:t>一方面全市道路运输能力明显提高，道路运输结构显著</w:t>
      </w:r>
      <w:r>
        <w:rPr>
          <w:rFonts w:ascii="仿宋" w:hAnsi="仿宋" w:eastAsia="仿宋" w:cs="仿宋"/>
          <w:spacing w:val="5"/>
          <w:sz w:val="28"/>
          <w:szCs w:val="28"/>
        </w:rPr>
        <w:t>改善，服务质</w:t>
      </w:r>
      <w:r>
        <w:rPr>
          <w:rFonts w:ascii="仿宋" w:hAnsi="仿宋" w:eastAsia="仿宋" w:cs="仿宋"/>
          <w:spacing w:val="-4"/>
          <w:sz w:val="28"/>
          <w:szCs w:val="28"/>
        </w:rPr>
        <w:t>量水平大幅提升。至</w:t>
      </w:r>
      <w:r>
        <w:rPr>
          <w:rFonts w:ascii="仿宋" w:hAnsi="仿宋" w:eastAsia="仿宋" w:cs="仿宋"/>
          <w:spacing w:val="-32"/>
          <w:sz w:val="28"/>
          <w:szCs w:val="28"/>
        </w:rPr>
        <w:t xml:space="preserve"> </w:t>
      </w:r>
      <w:r>
        <w:rPr>
          <w:rFonts w:ascii="仿宋" w:hAnsi="仿宋" w:eastAsia="仿宋" w:cs="仿宋"/>
          <w:spacing w:val="-4"/>
          <w:sz w:val="28"/>
          <w:szCs w:val="28"/>
        </w:rPr>
        <w:t>2020</w:t>
      </w:r>
      <w:r>
        <w:rPr>
          <w:rFonts w:ascii="仿宋" w:hAnsi="仿宋" w:eastAsia="仿宋" w:cs="仿宋"/>
          <w:spacing w:val="-48"/>
          <w:sz w:val="28"/>
          <w:szCs w:val="28"/>
        </w:rPr>
        <w:t xml:space="preserve"> </w:t>
      </w:r>
      <w:r>
        <w:rPr>
          <w:rFonts w:ascii="仿宋" w:hAnsi="仿宋" w:eastAsia="仿宋" w:cs="仿宋"/>
          <w:spacing w:val="-4"/>
          <w:sz w:val="28"/>
          <w:szCs w:val="28"/>
        </w:rPr>
        <w:t>年底，全市拥有营运客车</w:t>
      </w:r>
      <w:r>
        <w:rPr>
          <w:rFonts w:ascii="仿宋" w:hAnsi="仿宋" w:eastAsia="仿宋" w:cs="仿宋"/>
          <w:spacing w:val="-40"/>
          <w:sz w:val="28"/>
          <w:szCs w:val="28"/>
        </w:rPr>
        <w:t xml:space="preserve"> </w:t>
      </w:r>
      <w:r>
        <w:rPr>
          <w:rFonts w:ascii="仿宋" w:hAnsi="仿宋" w:eastAsia="仿宋" w:cs="仿宋"/>
          <w:spacing w:val="-4"/>
          <w:sz w:val="28"/>
          <w:szCs w:val="28"/>
        </w:rPr>
        <w:t>4430</w:t>
      </w:r>
      <w:r>
        <w:rPr>
          <w:rFonts w:ascii="仿宋" w:hAnsi="仿宋" w:eastAsia="仿宋" w:cs="仿宋"/>
          <w:spacing w:val="-51"/>
          <w:sz w:val="28"/>
          <w:szCs w:val="28"/>
        </w:rPr>
        <w:t xml:space="preserve"> </w:t>
      </w:r>
      <w:r>
        <w:rPr>
          <w:rFonts w:ascii="仿宋" w:hAnsi="仿宋" w:eastAsia="仿宋" w:cs="仿宋"/>
          <w:spacing w:val="-4"/>
          <w:sz w:val="28"/>
          <w:szCs w:val="28"/>
        </w:rPr>
        <w:t>辆</w:t>
      </w:r>
      <w:r>
        <w:rPr>
          <w:rFonts w:ascii="仿宋" w:hAnsi="仿宋" w:eastAsia="仿宋" w:cs="仿宋"/>
          <w:spacing w:val="-37"/>
          <w:sz w:val="28"/>
          <w:szCs w:val="28"/>
        </w:rPr>
        <w:t xml:space="preserve"> </w:t>
      </w:r>
      <w:r>
        <w:rPr>
          <w:rFonts w:ascii="仿宋" w:hAnsi="仿宋" w:eastAsia="仿宋" w:cs="仿宋"/>
          <w:spacing w:val="-4"/>
          <w:sz w:val="28"/>
          <w:szCs w:val="28"/>
        </w:rPr>
        <w:t>64806</w:t>
      </w:r>
      <w:r>
        <w:rPr>
          <w:rFonts w:ascii="仿宋" w:hAnsi="仿宋" w:eastAsia="仿宋" w:cs="仿宋"/>
          <w:spacing w:val="-49"/>
          <w:sz w:val="28"/>
          <w:szCs w:val="28"/>
        </w:rPr>
        <w:t xml:space="preserve"> </w:t>
      </w:r>
      <w:r>
        <w:rPr>
          <w:rFonts w:ascii="仿宋" w:hAnsi="仿宋" w:eastAsia="仿宋" w:cs="仿宋"/>
          <w:spacing w:val="-4"/>
          <w:sz w:val="28"/>
          <w:szCs w:val="28"/>
        </w:rPr>
        <w:t>个客位，</w:t>
      </w:r>
      <w:r>
        <w:rPr>
          <w:rFonts w:ascii="仿宋" w:hAnsi="仿宋" w:eastAsia="仿宋" w:cs="仿宋"/>
          <w:spacing w:val="-6"/>
          <w:sz w:val="28"/>
          <w:szCs w:val="28"/>
        </w:rPr>
        <w:t>营运货车</w:t>
      </w:r>
      <w:r>
        <w:rPr>
          <w:rFonts w:ascii="仿宋" w:hAnsi="仿宋" w:eastAsia="仿宋" w:cs="仿宋"/>
          <w:spacing w:val="-54"/>
          <w:sz w:val="28"/>
          <w:szCs w:val="28"/>
        </w:rPr>
        <w:t xml:space="preserve"> </w:t>
      </w:r>
      <w:r>
        <w:rPr>
          <w:rFonts w:ascii="仿宋" w:hAnsi="仿宋" w:eastAsia="仿宋" w:cs="仿宋"/>
          <w:spacing w:val="-6"/>
          <w:sz w:val="28"/>
          <w:szCs w:val="28"/>
        </w:rPr>
        <w:t>25465</w:t>
      </w:r>
      <w:r>
        <w:rPr>
          <w:rFonts w:ascii="仿宋" w:hAnsi="仿宋" w:eastAsia="仿宋" w:cs="仿宋"/>
          <w:spacing w:val="-68"/>
          <w:sz w:val="28"/>
          <w:szCs w:val="28"/>
        </w:rPr>
        <w:t xml:space="preserve"> </w:t>
      </w:r>
      <w:r>
        <w:rPr>
          <w:rFonts w:ascii="仿宋" w:hAnsi="仿宋" w:eastAsia="仿宋" w:cs="仿宋"/>
          <w:spacing w:val="-6"/>
          <w:sz w:val="28"/>
          <w:szCs w:val="28"/>
        </w:rPr>
        <w:t>辆</w:t>
      </w:r>
      <w:r>
        <w:rPr>
          <w:rFonts w:ascii="仿宋" w:hAnsi="仿宋" w:eastAsia="仿宋" w:cs="仿宋"/>
          <w:spacing w:val="-42"/>
          <w:sz w:val="28"/>
          <w:szCs w:val="28"/>
        </w:rPr>
        <w:t xml:space="preserve"> </w:t>
      </w:r>
      <w:r>
        <w:rPr>
          <w:rFonts w:ascii="仿宋" w:hAnsi="仿宋" w:eastAsia="仿宋" w:cs="仿宋"/>
          <w:spacing w:val="-6"/>
          <w:sz w:val="28"/>
          <w:szCs w:val="28"/>
        </w:rPr>
        <w:t>315745</w:t>
      </w:r>
      <w:r>
        <w:rPr>
          <w:rFonts w:ascii="仿宋" w:hAnsi="仿宋" w:eastAsia="仿宋" w:cs="仿宋"/>
          <w:spacing w:val="-53"/>
          <w:sz w:val="28"/>
          <w:szCs w:val="28"/>
        </w:rPr>
        <w:t xml:space="preserve"> </w:t>
      </w:r>
      <w:r>
        <w:rPr>
          <w:rFonts w:ascii="仿宋" w:hAnsi="仿宋" w:eastAsia="仿宋" w:cs="仿宋"/>
          <w:spacing w:val="-6"/>
          <w:sz w:val="28"/>
          <w:szCs w:val="28"/>
        </w:rPr>
        <w:t>吨位，完成营业性公路客运量</w:t>
      </w:r>
      <w:r>
        <w:rPr>
          <w:rFonts w:ascii="仿宋" w:hAnsi="仿宋" w:eastAsia="仿宋" w:cs="仿宋"/>
          <w:spacing w:val="-54"/>
          <w:sz w:val="28"/>
          <w:szCs w:val="28"/>
        </w:rPr>
        <w:t xml:space="preserve"> </w:t>
      </w:r>
      <w:r>
        <w:rPr>
          <w:rFonts w:ascii="仿宋" w:hAnsi="仿宋" w:eastAsia="仿宋" w:cs="仿宋"/>
          <w:spacing w:val="-6"/>
          <w:sz w:val="28"/>
          <w:szCs w:val="28"/>
        </w:rPr>
        <w:t>4656</w:t>
      </w:r>
      <w:r>
        <w:rPr>
          <w:rFonts w:ascii="仿宋" w:hAnsi="仿宋" w:eastAsia="仿宋" w:cs="仿宋"/>
          <w:spacing w:val="-53"/>
          <w:sz w:val="28"/>
          <w:szCs w:val="28"/>
        </w:rPr>
        <w:t xml:space="preserve"> </w:t>
      </w:r>
      <w:r>
        <w:rPr>
          <w:rFonts w:ascii="仿宋" w:hAnsi="仿宋" w:eastAsia="仿宋" w:cs="仿宋"/>
          <w:spacing w:val="-6"/>
          <w:sz w:val="28"/>
          <w:szCs w:val="28"/>
        </w:rPr>
        <w:t>万人，比</w:t>
      </w:r>
      <w:r>
        <w:rPr>
          <w:rFonts w:ascii="仿宋" w:hAnsi="仿宋" w:eastAsia="仿宋" w:cs="仿宋"/>
          <w:spacing w:val="-53"/>
          <w:sz w:val="28"/>
          <w:szCs w:val="28"/>
        </w:rPr>
        <w:t xml:space="preserve"> </w:t>
      </w:r>
      <w:r>
        <w:rPr>
          <w:rFonts w:ascii="仿宋" w:hAnsi="仿宋" w:eastAsia="仿宋" w:cs="仿宋"/>
          <w:spacing w:val="-6"/>
          <w:sz w:val="28"/>
          <w:szCs w:val="28"/>
        </w:rPr>
        <w:t>20</w:t>
      </w:r>
      <w:r>
        <w:rPr>
          <w:rFonts w:ascii="仿宋" w:hAnsi="仿宋" w:eastAsia="仿宋" w:cs="仿宋"/>
          <w:spacing w:val="-7"/>
          <w:sz w:val="28"/>
          <w:szCs w:val="28"/>
        </w:rPr>
        <w:t>15</w:t>
      </w:r>
      <w:r>
        <w:rPr>
          <w:rFonts w:ascii="仿宋" w:hAnsi="仿宋" w:eastAsia="仿宋" w:cs="仿宋"/>
          <w:spacing w:val="-1"/>
          <w:sz w:val="28"/>
          <w:szCs w:val="28"/>
        </w:rPr>
        <w:t>年同期</w:t>
      </w:r>
      <w:r>
        <w:rPr>
          <w:rFonts w:ascii="仿宋" w:hAnsi="仿宋" w:eastAsia="仿宋" w:cs="仿宋"/>
          <w:spacing w:val="-39"/>
          <w:sz w:val="28"/>
          <w:szCs w:val="28"/>
        </w:rPr>
        <w:t xml:space="preserve"> </w:t>
      </w:r>
      <w:r>
        <w:rPr>
          <w:rFonts w:ascii="仿宋" w:hAnsi="仿宋" w:eastAsia="仿宋" w:cs="仿宋"/>
          <w:spacing w:val="-1"/>
          <w:sz w:val="28"/>
          <w:szCs w:val="28"/>
        </w:rPr>
        <w:t>4154</w:t>
      </w:r>
      <w:r>
        <w:rPr>
          <w:rFonts w:ascii="仿宋" w:hAnsi="仿宋" w:eastAsia="仿宋" w:cs="仿宋"/>
          <w:spacing w:val="-36"/>
          <w:sz w:val="28"/>
          <w:szCs w:val="28"/>
        </w:rPr>
        <w:t xml:space="preserve"> </w:t>
      </w:r>
      <w:r>
        <w:rPr>
          <w:rFonts w:ascii="仿宋" w:hAnsi="仿宋" w:eastAsia="仿宋" w:cs="仿宋"/>
          <w:spacing w:val="-1"/>
          <w:sz w:val="28"/>
          <w:szCs w:val="28"/>
        </w:rPr>
        <w:t>万人增长</w:t>
      </w:r>
      <w:r>
        <w:rPr>
          <w:rFonts w:ascii="仿宋" w:hAnsi="仿宋" w:eastAsia="仿宋" w:cs="仿宋"/>
          <w:spacing w:val="-32"/>
          <w:sz w:val="28"/>
          <w:szCs w:val="28"/>
        </w:rPr>
        <w:t xml:space="preserve"> </w:t>
      </w:r>
      <w:r>
        <w:rPr>
          <w:rFonts w:ascii="仿宋" w:hAnsi="仿宋" w:eastAsia="仿宋" w:cs="仿宋"/>
          <w:spacing w:val="-1"/>
          <w:sz w:val="28"/>
          <w:szCs w:val="28"/>
        </w:rPr>
        <w:t>12.08</w:t>
      </w:r>
      <w:r>
        <w:rPr>
          <w:rFonts w:ascii="仿宋" w:hAnsi="仿宋" w:eastAsia="仿宋" w:cs="仿宋"/>
          <w:spacing w:val="-51"/>
          <w:sz w:val="28"/>
          <w:szCs w:val="28"/>
        </w:rPr>
        <w:t xml:space="preserve"> </w:t>
      </w:r>
      <w:r>
        <w:rPr>
          <w:rFonts w:ascii="仿宋" w:hAnsi="仿宋" w:eastAsia="仿宋" w:cs="仿宋"/>
          <w:spacing w:val="-1"/>
          <w:sz w:val="28"/>
          <w:szCs w:val="28"/>
        </w:rPr>
        <w:t>%，客运周转量</w:t>
      </w:r>
      <w:r>
        <w:rPr>
          <w:rFonts w:ascii="仿宋" w:hAnsi="仿宋" w:eastAsia="仿宋" w:cs="仿宋"/>
          <w:spacing w:val="-28"/>
          <w:sz w:val="28"/>
          <w:szCs w:val="28"/>
        </w:rPr>
        <w:t xml:space="preserve"> </w:t>
      </w:r>
      <w:r>
        <w:rPr>
          <w:rFonts w:ascii="仿宋" w:hAnsi="仿宋" w:eastAsia="仿宋" w:cs="仿宋"/>
          <w:spacing w:val="-1"/>
          <w:sz w:val="28"/>
          <w:szCs w:val="28"/>
        </w:rPr>
        <w:t>325950</w:t>
      </w:r>
      <w:r>
        <w:rPr>
          <w:rFonts w:ascii="仿宋" w:hAnsi="仿宋" w:eastAsia="仿宋" w:cs="仿宋"/>
          <w:spacing w:val="-36"/>
          <w:sz w:val="28"/>
          <w:szCs w:val="28"/>
        </w:rPr>
        <w:t xml:space="preserve"> </w:t>
      </w:r>
      <w:r>
        <w:rPr>
          <w:rFonts w:ascii="仿宋" w:hAnsi="仿宋" w:eastAsia="仿宋" w:cs="仿宋"/>
          <w:spacing w:val="-1"/>
          <w:sz w:val="28"/>
          <w:szCs w:val="28"/>
        </w:rPr>
        <w:t>万人公里，比</w:t>
      </w:r>
      <w:r>
        <w:rPr>
          <w:rFonts w:ascii="仿宋" w:hAnsi="仿宋" w:eastAsia="仿宋" w:cs="仿宋"/>
          <w:spacing w:val="-39"/>
          <w:sz w:val="28"/>
          <w:szCs w:val="28"/>
        </w:rPr>
        <w:t xml:space="preserve"> </w:t>
      </w:r>
      <w:r>
        <w:rPr>
          <w:rFonts w:ascii="仿宋" w:hAnsi="仿宋" w:eastAsia="仿宋" w:cs="仿宋"/>
          <w:spacing w:val="-1"/>
          <w:sz w:val="28"/>
          <w:szCs w:val="28"/>
        </w:rPr>
        <w:t>2015</w:t>
      </w:r>
      <w:r>
        <w:rPr>
          <w:rFonts w:ascii="仿宋" w:hAnsi="仿宋" w:eastAsia="仿宋" w:cs="仿宋"/>
          <w:spacing w:val="-48"/>
          <w:sz w:val="28"/>
          <w:szCs w:val="28"/>
        </w:rPr>
        <w:t xml:space="preserve"> </w:t>
      </w:r>
      <w:r>
        <w:rPr>
          <w:rFonts w:ascii="仿宋" w:hAnsi="仿宋" w:eastAsia="仿宋" w:cs="仿宋"/>
          <w:spacing w:val="-1"/>
          <w:sz w:val="28"/>
          <w:szCs w:val="28"/>
        </w:rPr>
        <w:t>年269013</w:t>
      </w:r>
      <w:r>
        <w:rPr>
          <w:rFonts w:ascii="仿宋" w:hAnsi="仿宋" w:eastAsia="仿宋" w:cs="仿宋"/>
          <w:spacing w:val="-36"/>
          <w:sz w:val="28"/>
          <w:szCs w:val="28"/>
        </w:rPr>
        <w:t xml:space="preserve"> </w:t>
      </w:r>
      <w:r>
        <w:rPr>
          <w:rFonts w:ascii="仿宋" w:hAnsi="仿宋" w:eastAsia="仿宋" w:cs="仿宋"/>
          <w:spacing w:val="-1"/>
          <w:sz w:val="28"/>
          <w:szCs w:val="28"/>
        </w:rPr>
        <w:t>万人公里增长</w:t>
      </w:r>
      <w:r>
        <w:rPr>
          <w:rFonts w:ascii="仿宋" w:hAnsi="仿宋" w:eastAsia="仿宋" w:cs="仿宋"/>
          <w:spacing w:val="-39"/>
          <w:sz w:val="28"/>
          <w:szCs w:val="28"/>
        </w:rPr>
        <w:t xml:space="preserve"> </w:t>
      </w:r>
      <w:r>
        <w:rPr>
          <w:rFonts w:ascii="仿宋" w:hAnsi="仿宋" w:eastAsia="仿宋" w:cs="仿宋"/>
          <w:spacing w:val="-1"/>
          <w:sz w:val="28"/>
          <w:szCs w:val="28"/>
        </w:rPr>
        <w:t>21.17%；货运量</w:t>
      </w:r>
      <w:r>
        <w:rPr>
          <w:rFonts w:ascii="仿宋" w:hAnsi="仿宋" w:eastAsia="仿宋" w:cs="仿宋"/>
          <w:spacing w:val="-39"/>
          <w:sz w:val="28"/>
          <w:szCs w:val="28"/>
        </w:rPr>
        <w:t xml:space="preserve"> </w:t>
      </w:r>
      <w:r>
        <w:rPr>
          <w:rFonts w:ascii="仿宋" w:hAnsi="仿宋" w:eastAsia="仿宋" w:cs="仿宋"/>
          <w:spacing w:val="-1"/>
          <w:sz w:val="28"/>
          <w:szCs w:val="28"/>
        </w:rPr>
        <w:t>25630</w:t>
      </w:r>
      <w:r>
        <w:rPr>
          <w:rFonts w:ascii="仿宋" w:hAnsi="仿宋" w:eastAsia="仿宋" w:cs="仿宋"/>
          <w:spacing w:val="-36"/>
          <w:sz w:val="28"/>
          <w:szCs w:val="28"/>
        </w:rPr>
        <w:t xml:space="preserve"> </w:t>
      </w:r>
      <w:r>
        <w:rPr>
          <w:rFonts w:ascii="仿宋" w:hAnsi="仿宋" w:eastAsia="仿宋" w:cs="仿宋"/>
          <w:spacing w:val="-1"/>
          <w:sz w:val="28"/>
          <w:szCs w:val="28"/>
        </w:rPr>
        <w:t>万吨，</w:t>
      </w:r>
      <w:r>
        <w:rPr>
          <w:rFonts w:ascii="仿宋" w:hAnsi="仿宋" w:eastAsia="仿宋" w:cs="仿宋"/>
          <w:spacing w:val="-73"/>
          <w:sz w:val="28"/>
          <w:szCs w:val="28"/>
        </w:rPr>
        <w:t xml:space="preserve"> </w:t>
      </w:r>
      <w:r>
        <w:rPr>
          <w:rFonts w:ascii="仿宋" w:hAnsi="仿宋" w:eastAsia="仿宋" w:cs="仿宋"/>
          <w:spacing w:val="-1"/>
          <w:sz w:val="28"/>
          <w:szCs w:val="28"/>
        </w:rPr>
        <w:t>比</w:t>
      </w:r>
      <w:r>
        <w:rPr>
          <w:rFonts w:ascii="仿宋" w:hAnsi="仿宋" w:eastAsia="仿宋" w:cs="仿宋"/>
          <w:spacing w:val="-39"/>
          <w:sz w:val="28"/>
          <w:szCs w:val="28"/>
        </w:rPr>
        <w:t xml:space="preserve"> </w:t>
      </w:r>
      <w:r>
        <w:rPr>
          <w:rFonts w:ascii="仿宋" w:hAnsi="仿宋" w:eastAsia="仿宋" w:cs="仿宋"/>
          <w:spacing w:val="-1"/>
          <w:sz w:val="28"/>
          <w:szCs w:val="28"/>
        </w:rPr>
        <w:t>2015</w:t>
      </w:r>
      <w:r>
        <w:rPr>
          <w:rFonts w:ascii="仿宋" w:hAnsi="仿宋" w:eastAsia="仿宋" w:cs="仿宋"/>
          <w:spacing w:val="-48"/>
          <w:sz w:val="28"/>
          <w:szCs w:val="28"/>
        </w:rPr>
        <w:t xml:space="preserve"> </w:t>
      </w:r>
      <w:r>
        <w:rPr>
          <w:rFonts w:ascii="仿宋" w:hAnsi="仿宋" w:eastAsia="仿宋" w:cs="仿宋"/>
          <w:spacing w:val="-1"/>
          <w:sz w:val="28"/>
          <w:szCs w:val="28"/>
        </w:rPr>
        <w:t>年同期</w:t>
      </w:r>
      <w:r>
        <w:rPr>
          <w:rFonts w:ascii="仿宋" w:hAnsi="仿宋" w:eastAsia="仿宋" w:cs="仿宋"/>
          <w:spacing w:val="-33"/>
          <w:sz w:val="28"/>
          <w:szCs w:val="28"/>
        </w:rPr>
        <w:t xml:space="preserve"> </w:t>
      </w:r>
      <w:r>
        <w:rPr>
          <w:rFonts w:ascii="仿宋" w:hAnsi="仿宋" w:eastAsia="仿宋" w:cs="仿宋"/>
          <w:spacing w:val="-1"/>
          <w:sz w:val="28"/>
          <w:szCs w:val="28"/>
        </w:rPr>
        <w:t>15</w:t>
      </w:r>
      <w:r>
        <w:rPr>
          <w:rFonts w:ascii="仿宋" w:hAnsi="仿宋" w:eastAsia="仿宋" w:cs="仿宋"/>
          <w:spacing w:val="-2"/>
          <w:sz w:val="28"/>
          <w:szCs w:val="28"/>
        </w:rPr>
        <w:t>585</w:t>
      </w:r>
      <w:r>
        <w:rPr>
          <w:rFonts w:ascii="仿宋" w:hAnsi="仿宋" w:eastAsia="仿宋" w:cs="仿宋"/>
          <w:spacing w:val="-3"/>
          <w:sz w:val="28"/>
          <w:szCs w:val="28"/>
        </w:rPr>
        <w:t>万吨增加</w:t>
      </w:r>
      <w:r>
        <w:rPr>
          <w:rFonts w:ascii="仿宋" w:hAnsi="仿宋" w:eastAsia="仿宋" w:cs="仿宋"/>
          <w:spacing w:val="-22"/>
          <w:sz w:val="28"/>
          <w:szCs w:val="28"/>
        </w:rPr>
        <w:t xml:space="preserve"> </w:t>
      </w:r>
      <w:r>
        <w:rPr>
          <w:rFonts w:ascii="仿宋" w:hAnsi="仿宋" w:eastAsia="仿宋" w:cs="仿宋"/>
          <w:spacing w:val="-3"/>
          <w:sz w:val="28"/>
          <w:szCs w:val="28"/>
        </w:rPr>
        <w:t>64.45%，货运周转量</w:t>
      </w:r>
      <w:r>
        <w:rPr>
          <w:rFonts w:ascii="仿宋" w:hAnsi="仿宋" w:eastAsia="仿宋" w:cs="仿宋"/>
          <w:spacing w:val="-40"/>
          <w:sz w:val="28"/>
          <w:szCs w:val="28"/>
        </w:rPr>
        <w:t xml:space="preserve"> </w:t>
      </w:r>
      <w:r>
        <w:rPr>
          <w:rFonts w:ascii="仿宋" w:hAnsi="仿宋" w:eastAsia="仿宋" w:cs="仿宋"/>
          <w:spacing w:val="-3"/>
          <w:sz w:val="28"/>
          <w:szCs w:val="28"/>
        </w:rPr>
        <w:t>2819480</w:t>
      </w:r>
      <w:r>
        <w:rPr>
          <w:rFonts w:ascii="仿宋" w:hAnsi="仿宋" w:eastAsia="仿宋" w:cs="仿宋"/>
          <w:spacing w:val="-35"/>
          <w:sz w:val="28"/>
          <w:szCs w:val="28"/>
        </w:rPr>
        <w:t xml:space="preserve"> </w:t>
      </w:r>
      <w:r>
        <w:rPr>
          <w:rFonts w:ascii="仿宋" w:hAnsi="仿宋" w:eastAsia="仿宋" w:cs="仿宋"/>
          <w:spacing w:val="-3"/>
          <w:sz w:val="28"/>
          <w:szCs w:val="28"/>
        </w:rPr>
        <w:t>万吨公里，比</w:t>
      </w:r>
      <w:r>
        <w:rPr>
          <w:rFonts w:ascii="仿宋" w:hAnsi="仿宋" w:eastAsia="仿宋" w:cs="仿宋"/>
          <w:spacing w:val="-39"/>
          <w:sz w:val="28"/>
          <w:szCs w:val="28"/>
        </w:rPr>
        <w:t xml:space="preserve"> </w:t>
      </w:r>
      <w:r>
        <w:rPr>
          <w:rFonts w:ascii="仿宋" w:hAnsi="仿宋" w:eastAsia="仿宋" w:cs="仿宋"/>
          <w:spacing w:val="-3"/>
          <w:sz w:val="28"/>
          <w:szCs w:val="28"/>
        </w:rPr>
        <w:t>2015</w:t>
      </w:r>
      <w:r>
        <w:rPr>
          <w:rFonts w:ascii="仿宋" w:hAnsi="仿宋" w:eastAsia="仿宋" w:cs="仿宋"/>
          <w:spacing w:val="-48"/>
          <w:sz w:val="28"/>
          <w:szCs w:val="28"/>
        </w:rPr>
        <w:t xml:space="preserve"> </w:t>
      </w:r>
      <w:r>
        <w:rPr>
          <w:rFonts w:ascii="仿宋" w:hAnsi="仿宋" w:eastAsia="仿宋" w:cs="仿宋"/>
          <w:spacing w:val="-3"/>
          <w:sz w:val="28"/>
          <w:szCs w:val="28"/>
        </w:rPr>
        <w:t>年同期</w:t>
      </w:r>
      <w:r>
        <w:rPr>
          <w:rFonts w:ascii="仿宋" w:hAnsi="仿宋" w:eastAsia="仿宋" w:cs="仿宋"/>
          <w:spacing w:val="-32"/>
          <w:sz w:val="28"/>
          <w:szCs w:val="28"/>
        </w:rPr>
        <w:t xml:space="preserve"> </w:t>
      </w:r>
      <w:r>
        <w:rPr>
          <w:rFonts w:ascii="仿宋" w:hAnsi="仿宋" w:eastAsia="仿宋" w:cs="仿宋"/>
          <w:spacing w:val="-3"/>
          <w:sz w:val="28"/>
          <w:szCs w:val="28"/>
        </w:rPr>
        <w:t>1358773</w:t>
      </w:r>
      <w:r>
        <w:rPr>
          <w:rFonts w:ascii="仿宋" w:hAnsi="仿宋" w:eastAsia="仿宋" w:cs="仿宋"/>
          <w:sz w:val="28"/>
          <w:szCs w:val="28"/>
        </w:rPr>
        <w:t>万吨公里增长</w:t>
      </w:r>
      <w:r>
        <w:rPr>
          <w:rFonts w:ascii="仿宋" w:hAnsi="仿宋" w:eastAsia="仿宋" w:cs="仿宋"/>
          <w:spacing w:val="-32"/>
          <w:sz w:val="28"/>
          <w:szCs w:val="28"/>
        </w:rPr>
        <w:t xml:space="preserve"> </w:t>
      </w:r>
      <w:r>
        <w:rPr>
          <w:rFonts w:ascii="仿宋" w:hAnsi="仿宋" w:eastAsia="仿宋" w:cs="仿宋"/>
          <w:sz w:val="28"/>
          <w:szCs w:val="28"/>
        </w:rPr>
        <w:t>107.50%，道路运输从业人员达</w:t>
      </w:r>
      <w:r>
        <w:rPr>
          <w:rFonts w:ascii="仿宋" w:hAnsi="仿宋" w:eastAsia="仿宋" w:cs="仿宋"/>
          <w:spacing w:val="-37"/>
          <w:sz w:val="28"/>
          <w:szCs w:val="28"/>
        </w:rPr>
        <w:t xml:space="preserve"> </w:t>
      </w:r>
      <w:r>
        <w:rPr>
          <w:rFonts w:ascii="仿宋" w:hAnsi="仿宋" w:eastAsia="仿宋" w:cs="仿宋"/>
          <w:sz w:val="28"/>
          <w:szCs w:val="28"/>
        </w:rPr>
        <w:t>7680</w:t>
      </w:r>
      <w:r>
        <w:rPr>
          <w:rFonts w:ascii="仿宋" w:hAnsi="仿宋" w:eastAsia="仿宋" w:cs="仿宋"/>
          <w:spacing w:val="-1"/>
          <w:sz w:val="28"/>
          <w:szCs w:val="28"/>
        </w:rPr>
        <w:t>0</w:t>
      </w:r>
      <w:r>
        <w:rPr>
          <w:rFonts w:ascii="仿宋" w:hAnsi="仿宋" w:eastAsia="仿宋" w:cs="仿宋"/>
          <w:spacing w:val="-49"/>
          <w:sz w:val="28"/>
          <w:szCs w:val="28"/>
        </w:rPr>
        <w:t xml:space="preserve"> </w:t>
      </w:r>
      <w:r>
        <w:rPr>
          <w:rFonts w:ascii="仿宋" w:hAnsi="仿宋" w:eastAsia="仿宋" w:cs="仿宋"/>
          <w:spacing w:val="-1"/>
          <w:sz w:val="28"/>
          <w:szCs w:val="28"/>
        </w:rPr>
        <w:t>人。“十三五”期间，</w:t>
      </w:r>
      <w:r>
        <w:rPr>
          <w:rFonts w:ascii="仿宋" w:hAnsi="仿宋" w:eastAsia="仿宋" w:cs="仿宋"/>
          <w:spacing w:val="3"/>
          <w:sz w:val="28"/>
          <w:szCs w:val="28"/>
        </w:rPr>
        <w:t>全市</w:t>
      </w:r>
      <w:r>
        <w:rPr>
          <w:rFonts w:ascii="仿宋" w:hAnsi="仿宋" w:eastAsia="仿宋" w:cs="仿宋"/>
          <w:spacing w:val="-33"/>
          <w:sz w:val="28"/>
          <w:szCs w:val="28"/>
        </w:rPr>
        <w:t xml:space="preserve"> </w:t>
      </w:r>
      <w:r>
        <w:rPr>
          <w:rFonts w:ascii="仿宋" w:hAnsi="仿宋" w:eastAsia="仿宋" w:cs="仿宋"/>
          <w:spacing w:val="3"/>
          <w:sz w:val="28"/>
          <w:szCs w:val="28"/>
        </w:rPr>
        <w:t>1663</w:t>
      </w:r>
      <w:r>
        <w:rPr>
          <w:rFonts w:ascii="仿宋" w:hAnsi="仿宋" w:eastAsia="仿宋" w:cs="仿宋"/>
          <w:spacing w:val="-49"/>
          <w:sz w:val="28"/>
          <w:szCs w:val="28"/>
        </w:rPr>
        <w:t xml:space="preserve"> </w:t>
      </w:r>
      <w:r>
        <w:rPr>
          <w:rFonts w:ascii="仿宋" w:hAnsi="仿宋" w:eastAsia="仿宋" w:cs="仿宋"/>
          <w:spacing w:val="3"/>
          <w:sz w:val="28"/>
          <w:szCs w:val="28"/>
        </w:rPr>
        <w:t>个建制村通客车率达</w:t>
      </w:r>
      <w:r>
        <w:rPr>
          <w:rFonts w:ascii="仿宋" w:hAnsi="仿宋" w:eastAsia="仿宋" w:cs="仿宋"/>
          <w:spacing w:val="-32"/>
          <w:sz w:val="28"/>
          <w:szCs w:val="28"/>
        </w:rPr>
        <w:t xml:space="preserve"> </w:t>
      </w:r>
      <w:r>
        <w:rPr>
          <w:rFonts w:ascii="仿宋" w:hAnsi="仿宋" w:eastAsia="仿宋" w:cs="仿宋"/>
          <w:spacing w:val="3"/>
          <w:sz w:val="28"/>
          <w:szCs w:val="28"/>
        </w:rPr>
        <w:t>100%，15</w:t>
      </w:r>
      <w:r>
        <w:rPr>
          <w:rFonts w:ascii="仿宋" w:hAnsi="仿宋" w:eastAsia="仿宋" w:cs="仿宋"/>
          <w:spacing w:val="-49"/>
          <w:sz w:val="28"/>
          <w:szCs w:val="28"/>
        </w:rPr>
        <w:t xml:space="preserve"> </w:t>
      </w:r>
      <w:r>
        <w:rPr>
          <w:rFonts w:ascii="仿宋" w:hAnsi="仿宋" w:eastAsia="仿宋" w:cs="仿宋"/>
          <w:spacing w:val="2"/>
          <w:sz w:val="28"/>
          <w:szCs w:val="28"/>
        </w:rPr>
        <w:t>个五级以上汽车客运站实现了非</w:t>
      </w:r>
      <w:r>
        <w:rPr>
          <w:rFonts w:ascii="仿宋" w:hAnsi="仿宋" w:eastAsia="仿宋" w:cs="仿宋"/>
          <w:spacing w:val="8"/>
          <w:sz w:val="28"/>
          <w:szCs w:val="28"/>
        </w:rPr>
        <w:t>农村客运旅客实名制管理；489</w:t>
      </w:r>
      <w:r>
        <w:rPr>
          <w:rFonts w:ascii="仿宋" w:hAnsi="仿宋" w:eastAsia="仿宋" w:cs="仿宋"/>
          <w:spacing w:val="-49"/>
          <w:sz w:val="28"/>
          <w:szCs w:val="28"/>
        </w:rPr>
        <w:t xml:space="preserve"> </w:t>
      </w:r>
      <w:r>
        <w:rPr>
          <w:rFonts w:ascii="仿宋" w:hAnsi="仿宋" w:eastAsia="仿宋" w:cs="仿宋"/>
          <w:spacing w:val="8"/>
          <w:sz w:val="28"/>
          <w:szCs w:val="28"/>
        </w:rPr>
        <w:t>辆不具备限速功能的客运车辆平</w:t>
      </w:r>
      <w:r>
        <w:rPr>
          <w:rFonts w:ascii="仿宋" w:hAnsi="仿宋" w:eastAsia="仿宋" w:cs="仿宋"/>
          <w:spacing w:val="7"/>
          <w:sz w:val="28"/>
          <w:szCs w:val="28"/>
        </w:rPr>
        <w:t>稳有序退</w:t>
      </w:r>
      <w:r>
        <w:rPr>
          <w:rFonts w:ascii="仿宋" w:hAnsi="仿宋" w:eastAsia="仿宋" w:cs="仿宋"/>
          <w:spacing w:val="3"/>
          <w:sz w:val="28"/>
          <w:szCs w:val="28"/>
        </w:rPr>
        <w:t>出客运市场；26</w:t>
      </w:r>
      <w:r>
        <w:rPr>
          <w:rFonts w:ascii="仿宋" w:hAnsi="仿宋" w:eastAsia="仿宋" w:cs="仿宋"/>
          <w:spacing w:val="-28"/>
          <w:sz w:val="28"/>
          <w:szCs w:val="28"/>
        </w:rPr>
        <w:t xml:space="preserve"> </w:t>
      </w:r>
      <w:r>
        <w:rPr>
          <w:rFonts w:ascii="仿宋" w:hAnsi="仿宋" w:eastAsia="仿宋" w:cs="仿宋"/>
          <w:spacing w:val="3"/>
          <w:sz w:val="28"/>
          <w:szCs w:val="28"/>
        </w:rPr>
        <w:t>家危货运企业完成对车辆智能视频监控系统的更新安装及</w:t>
      </w:r>
      <w:r>
        <w:rPr>
          <w:rFonts w:ascii="仿宋" w:hAnsi="仿宋" w:eastAsia="仿宋" w:cs="仿宋"/>
          <w:spacing w:val="4"/>
          <w:sz w:val="28"/>
          <w:szCs w:val="28"/>
        </w:rPr>
        <w:t>使用；19</w:t>
      </w:r>
      <w:r>
        <w:rPr>
          <w:rFonts w:ascii="仿宋" w:hAnsi="仿宋" w:eastAsia="仿宋" w:cs="仿宋"/>
          <w:spacing w:val="-37"/>
          <w:sz w:val="28"/>
          <w:szCs w:val="28"/>
        </w:rPr>
        <w:t xml:space="preserve"> </w:t>
      </w:r>
      <w:r>
        <w:rPr>
          <w:rFonts w:ascii="仿宋" w:hAnsi="仿宋" w:eastAsia="仿宋" w:cs="仿宋"/>
          <w:spacing w:val="4"/>
          <w:sz w:val="28"/>
          <w:szCs w:val="28"/>
        </w:rPr>
        <w:t>户汽车综合性能检测机构均同时具备综检、安检、环检功能，实</w:t>
      </w:r>
    </w:p>
    <w:p w14:paraId="4878DFE1">
      <w:pPr>
        <w:spacing w:line="342" w:lineRule="auto"/>
        <w:rPr>
          <w:rFonts w:ascii="仿宋" w:hAnsi="仿宋" w:eastAsia="仿宋" w:cs="仿宋"/>
          <w:sz w:val="28"/>
          <w:szCs w:val="28"/>
        </w:rPr>
        <w:sectPr>
          <w:headerReference r:id="rId29" w:type="default"/>
          <w:footerReference r:id="rId30" w:type="default"/>
          <w:pgSz w:w="11906" w:h="16839"/>
          <w:pgMar w:top="1222" w:right="1309" w:bottom="1156" w:left="1134" w:header="885" w:footer="920" w:gutter="0"/>
          <w:cols w:space="720" w:num="1"/>
        </w:sectPr>
      </w:pPr>
    </w:p>
    <w:p w14:paraId="2927F7E9">
      <w:pPr>
        <w:pStyle w:val="2"/>
        <w:spacing w:line="274" w:lineRule="auto"/>
      </w:pPr>
    </w:p>
    <w:p w14:paraId="2F93732C">
      <w:pPr>
        <w:spacing w:before="91" w:line="343" w:lineRule="auto"/>
        <w:ind w:left="8" w:right="209" w:firstLine="10"/>
        <w:jc w:val="both"/>
        <w:rPr>
          <w:rFonts w:ascii="仿宋" w:hAnsi="仿宋" w:eastAsia="仿宋" w:cs="仿宋"/>
          <w:sz w:val="28"/>
          <w:szCs w:val="28"/>
        </w:rPr>
      </w:pPr>
      <w:r>
        <w:rPr>
          <w:rFonts w:ascii="仿宋" w:hAnsi="仿宋" w:eastAsia="仿宋" w:cs="仿宋"/>
          <w:spacing w:val="2"/>
          <w:sz w:val="28"/>
          <w:szCs w:val="28"/>
        </w:rPr>
        <w:t>现</w:t>
      </w:r>
      <w:r>
        <w:rPr>
          <w:rFonts w:ascii="仿宋" w:hAnsi="仿宋" w:eastAsia="仿宋" w:cs="仿宋"/>
          <w:spacing w:val="-89"/>
          <w:sz w:val="28"/>
          <w:szCs w:val="28"/>
        </w:rPr>
        <w:t xml:space="preserve"> </w:t>
      </w:r>
      <w:r>
        <w:rPr>
          <w:rFonts w:ascii="仿宋" w:hAnsi="仿宋" w:eastAsia="仿宋" w:cs="仿宋"/>
          <w:spacing w:val="2"/>
          <w:sz w:val="28"/>
          <w:szCs w:val="28"/>
        </w:rPr>
        <w:t>“</w:t>
      </w:r>
      <w:r>
        <w:rPr>
          <w:rFonts w:ascii="仿宋" w:hAnsi="仿宋" w:eastAsia="仿宋" w:cs="仿宋"/>
          <w:spacing w:val="-104"/>
          <w:sz w:val="28"/>
          <w:szCs w:val="28"/>
        </w:rPr>
        <w:t xml:space="preserve"> </w:t>
      </w:r>
      <w:r>
        <w:rPr>
          <w:rFonts w:ascii="仿宋" w:hAnsi="仿宋" w:eastAsia="仿宋" w:cs="仿宋"/>
          <w:spacing w:val="2"/>
          <w:sz w:val="28"/>
          <w:szCs w:val="28"/>
        </w:rPr>
        <w:t>一次报检、一次上线检测、一次收费”和</w:t>
      </w:r>
      <w:r>
        <w:rPr>
          <w:rFonts w:ascii="仿宋" w:hAnsi="仿宋" w:eastAsia="仿宋" w:cs="仿宋"/>
          <w:spacing w:val="-94"/>
          <w:sz w:val="28"/>
          <w:szCs w:val="28"/>
        </w:rPr>
        <w:t xml:space="preserve"> </w:t>
      </w:r>
      <w:r>
        <w:rPr>
          <w:rFonts w:ascii="仿宋" w:hAnsi="仿宋" w:eastAsia="仿宋" w:cs="仿宋"/>
          <w:spacing w:val="2"/>
          <w:sz w:val="28"/>
          <w:szCs w:val="28"/>
        </w:rPr>
        <w:t>“交钥匙工程”；运政、公</w:t>
      </w:r>
      <w:r>
        <w:rPr>
          <w:rFonts w:ascii="仿宋" w:hAnsi="仿宋" w:eastAsia="仿宋" w:cs="仿宋"/>
          <w:spacing w:val="6"/>
          <w:sz w:val="28"/>
          <w:szCs w:val="28"/>
        </w:rPr>
        <w:t>安两部门联合治理培训市场，并实现了考培信息资源共享，累计培训考试</w:t>
      </w:r>
      <w:r>
        <w:rPr>
          <w:rFonts w:ascii="仿宋" w:hAnsi="仿宋" w:eastAsia="仿宋" w:cs="仿宋"/>
          <w:spacing w:val="-4"/>
          <w:sz w:val="28"/>
          <w:szCs w:val="28"/>
        </w:rPr>
        <w:t>货运从业人员</w:t>
      </w:r>
      <w:r>
        <w:rPr>
          <w:rFonts w:ascii="仿宋" w:hAnsi="仿宋" w:eastAsia="仿宋" w:cs="仿宋"/>
          <w:spacing w:val="-29"/>
          <w:sz w:val="28"/>
          <w:szCs w:val="28"/>
        </w:rPr>
        <w:t xml:space="preserve"> </w:t>
      </w:r>
      <w:r>
        <w:rPr>
          <w:rFonts w:ascii="仿宋" w:hAnsi="仿宋" w:eastAsia="仿宋" w:cs="仿宋"/>
          <w:spacing w:val="-4"/>
          <w:sz w:val="28"/>
          <w:szCs w:val="28"/>
        </w:rPr>
        <w:t>38910</w:t>
      </w:r>
      <w:r>
        <w:rPr>
          <w:rFonts w:ascii="仿宋" w:hAnsi="仿宋" w:eastAsia="仿宋" w:cs="仿宋"/>
          <w:spacing w:val="-48"/>
          <w:sz w:val="28"/>
          <w:szCs w:val="28"/>
        </w:rPr>
        <w:t xml:space="preserve"> </w:t>
      </w:r>
      <w:r>
        <w:rPr>
          <w:rFonts w:ascii="仿宋" w:hAnsi="仿宋" w:eastAsia="仿宋" w:cs="仿宋"/>
          <w:spacing w:val="-4"/>
          <w:sz w:val="28"/>
          <w:szCs w:val="28"/>
        </w:rPr>
        <w:t>人、客运从业人员</w:t>
      </w:r>
      <w:r>
        <w:rPr>
          <w:rFonts w:ascii="仿宋" w:hAnsi="仿宋" w:eastAsia="仿宋" w:cs="仿宋"/>
          <w:spacing w:val="-36"/>
          <w:sz w:val="28"/>
          <w:szCs w:val="28"/>
        </w:rPr>
        <w:t xml:space="preserve"> </w:t>
      </w:r>
      <w:r>
        <w:rPr>
          <w:rFonts w:ascii="仿宋" w:hAnsi="仿宋" w:eastAsia="仿宋" w:cs="仿宋"/>
          <w:spacing w:val="-4"/>
          <w:sz w:val="28"/>
          <w:szCs w:val="28"/>
        </w:rPr>
        <w:t>5561</w:t>
      </w:r>
      <w:r>
        <w:rPr>
          <w:rFonts w:ascii="仿宋" w:hAnsi="仿宋" w:eastAsia="仿宋" w:cs="仿宋"/>
          <w:spacing w:val="-49"/>
          <w:sz w:val="28"/>
          <w:szCs w:val="28"/>
        </w:rPr>
        <w:t xml:space="preserve"> </w:t>
      </w:r>
      <w:r>
        <w:rPr>
          <w:rFonts w:ascii="仿宋" w:hAnsi="仿宋" w:eastAsia="仿宋" w:cs="仿宋"/>
          <w:spacing w:val="-4"/>
          <w:sz w:val="28"/>
          <w:szCs w:val="28"/>
        </w:rPr>
        <w:t>人、</w:t>
      </w:r>
      <w:r>
        <w:rPr>
          <w:rFonts w:ascii="仿宋" w:hAnsi="仿宋" w:eastAsia="仿宋" w:cs="仿宋"/>
          <w:spacing w:val="-5"/>
          <w:sz w:val="28"/>
          <w:szCs w:val="28"/>
        </w:rPr>
        <w:t>危货运从业人员</w:t>
      </w:r>
      <w:r>
        <w:rPr>
          <w:rFonts w:ascii="仿宋" w:hAnsi="仿宋" w:eastAsia="仿宋" w:cs="仿宋"/>
          <w:spacing w:val="-37"/>
          <w:sz w:val="28"/>
          <w:szCs w:val="28"/>
        </w:rPr>
        <w:t xml:space="preserve"> </w:t>
      </w:r>
      <w:r>
        <w:rPr>
          <w:rFonts w:ascii="仿宋" w:hAnsi="仿宋" w:eastAsia="仿宋" w:cs="仿宋"/>
          <w:spacing w:val="-5"/>
          <w:sz w:val="28"/>
          <w:szCs w:val="28"/>
        </w:rPr>
        <w:t>6492</w:t>
      </w:r>
      <w:r>
        <w:rPr>
          <w:rFonts w:ascii="仿宋" w:hAnsi="仿宋" w:eastAsia="仿宋" w:cs="仿宋"/>
          <w:spacing w:val="-49"/>
          <w:sz w:val="28"/>
          <w:szCs w:val="28"/>
        </w:rPr>
        <w:t xml:space="preserve"> </w:t>
      </w:r>
      <w:r>
        <w:rPr>
          <w:rFonts w:ascii="仿宋" w:hAnsi="仿宋" w:eastAsia="仿宋" w:cs="仿宋"/>
          <w:spacing w:val="-5"/>
          <w:sz w:val="28"/>
          <w:szCs w:val="28"/>
        </w:rPr>
        <w:t>人；</w:t>
      </w:r>
      <w:r>
        <w:rPr>
          <w:rFonts w:ascii="仿宋" w:hAnsi="仿宋" w:eastAsia="仿宋" w:cs="仿宋"/>
          <w:spacing w:val="6"/>
          <w:sz w:val="28"/>
          <w:szCs w:val="28"/>
        </w:rPr>
        <w:t>紧紧围绕各个时期行业管理工作的中心任务，不断提升稽查装备水平，积</w:t>
      </w:r>
      <w:r>
        <w:rPr>
          <w:rFonts w:ascii="仿宋" w:hAnsi="仿宋" w:eastAsia="仿宋" w:cs="仿宋"/>
          <w:spacing w:val="7"/>
          <w:sz w:val="28"/>
          <w:szCs w:val="28"/>
        </w:rPr>
        <w:t>极会同公安（交警）、城管等部门，建立完善</w:t>
      </w:r>
      <w:r>
        <w:rPr>
          <w:rFonts w:ascii="仿宋" w:hAnsi="仿宋" w:eastAsia="仿宋" w:cs="仿宋"/>
          <w:spacing w:val="6"/>
          <w:sz w:val="28"/>
          <w:szCs w:val="28"/>
        </w:rPr>
        <w:t>联合查处长效机制，严厉地</w:t>
      </w:r>
      <w:r>
        <w:rPr>
          <w:rFonts w:ascii="仿宋" w:hAnsi="仿宋" w:eastAsia="仿宋" w:cs="仿宋"/>
          <w:spacing w:val="5"/>
          <w:sz w:val="28"/>
          <w:szCs w:val="28"/>
        </w:rPr>
        <w:t>打击道路运输非法营运行为，出动稽查执法人员</w:t>
      </w:r>
      <w:r>
        <w:rPr>
          <w:rFonts w:ascii="仿宋" w:hAnsi="仿宋" w:eastAsia="仿宋" w:cs="仿宋"/>
          <w:spacing w:val="-41"/>
          <w:sz w:val="28"/>
          <w:szCs w:val="28"/>
        </w:rPr>
        <w:t xml:space="preserve"> </w:t>
      </w:r>
      <w:r>
        <w:rPr>
          <w:rFonts w:ascii="仿宋" w:hAnsi="仿宋" w:eastAsia="仿宋" w:cs="仿宋"/>
          <w:spacing w:val="4"/>
          <w:sz w:val="28"/>
          <w:szCs w:val="28"/>
        </w:rPr>
        <w:t>40573</w:t>
      </w:r>
      <w:r>
        <w:rPr>
          <w:rFonts w:ascii="仿宋" w:hAnsi="仿宋" w:eastAsia="仿宋" w:cs="仿宋"/>
          <w:spacing w:val="-48"/>
          <w:sz w:val="28"/>
          <w:szCs w:val="28"/>
        </w:rPr>
        <w:t xml:space="preserve"> </w:t>
      </w:r>
      <w:r>
        <w:rPr>
          <w:rFonts w:ascii="仿宋" w:hAnsi="仿宋" w:eastAsia="仿宋" w:cs="仿宋"/>
          <w:spacing w:val="4"/>
          <w:sz w:val="28"/>
          <w:szCs w:val="28"/>
        </w:rPr>
        <w:t>人次，出动执法车</w:t>
      </w:r>
      <w:r>
        <w:rPr>
          <w:rFonts w:ascii="仿宋" w:hAnsi="仿宋" w:eastAsia="仿宋" w:cs="仿宋"/>
          <w:sz w:val="28"/>
          <w:szCs w:val="28"/>
        </w:rPr>
        <w:t>辆</w:t>
      </w:r>
      <w:r>
        <w:rPr>
          <w:rFonts w:ascii="仿宋" w:hAnsi="仿宋" w:eastAsia="仿宋" w:cs="仿宋"/>
          <w:spacing w:val="-37"/>
          <w:sz w:val="28"/>
          <w:szCs w:val="28"/>
        </w:rPr>
        <w:t xml:space="preserve"> </w:t>
      </w:r>
      <w:r>
        <w:rPr>
          <w:rFonts w:ascii="仿宋" w:hAnsi="仿宋" w:eastAsia="仿宋" w:cs="仿宋"/>
          <w:sz w:val="28"/>
          <w:szCs w:val="28"/>
        </w:rPr>
        <w:t>8116</w:t>
      </w:r>
      <w:r>
        <w:rPr>
          <w:rFonts w:ascii="仿宋" w:hAnsi="仿宋" w:eastAsia="仿宋" w:cs="仿宋"/>
          <w:spacing w:val="-51"/>
          <w:sz w:val="28"/>
          <w:szCs w:val="28"/>
        </w:rPr>
        <w:t xml:space="preserve"> </w:t>
      </w:r>
      <w:r>
        <w:rPr>
          <w:rFonts w:ascii="仿宋" w:hAnsi="仿宋" w:eastAsia="仿宋" w:cs="仿宋"/>
          <w:sz w:val="28"/>
          <w:szCs w:val="28"/>
        </w:rPr>
        <w:t>辆次，查处非法营运车辆案件</w:t>
      </w:r>
      <w:r>
        <w:rPr>
          <w:rFonts w:ascii="仿宋" w:hAnsi="仿宋" w:eastAsia="仿宋" w:cs="仿宋"/>
          <w:spacing w:val="-28"/>
          <w:sz w:val="28"/>
          <w:szCs w:val="28"/>
        </w:rPr>
        <w:t xml:space="preserve"> </w:t>
      </w:r>
      <w:r>
        <w:rPr>
          <w:rFonts w:ascii="仿宋" w:hAnsi="仿宋" w:eastAsia="仿宋" w:cs="仿宋"/>
          <w:sz w:val="28"/>
          <w:szCs w:val="28"/>
        </w:rPr>
        <w:t>3952</w:t>
      </w:r>
      <w:r>
        <w:rPr>
          <w:rFonts w:ascii="仿宋" w:hAnsi="仿宋" w:eastAsia="仿宋" w:cs="仿宋"/>
          <w:spacing w:val="-54"/>
          <w:sz w:val="28"/>
          <w:szCs w:val="28"/>
        </w:rPr>
        <w:t xml:space="preserve"> </w:t>
      </w:r>
      <w:r>
        <w:rPr>
          <w:rFonts w:ascii="仿宋" w:hAnsi="仿宋" w:eastAsia="仿宋" w:cs="仿宋"/>
          <w:sz w:val="28"/>
          <w:szCs w:val="28"/>
        </w:rPr>
        <w:t>件、综合</w:t>
      </w:r>
      <w:r>
        <w:rPr>
          <w:rFonts w:ascii="仿宋" w:hAnsi="仿宋" w:eastAsia="仿宋" w:cs="仿宋"/>
          <w:spacing w:val="-1"/>
          <w:sz w:val="28"/>
          <w:szCs w:val="28"/>
        </w:rPr>
        <w:t>执法案件</w:t>
      </w:r>
      <w:r>
        <w:rPr>
          <w:rFonts w:ascii="仿宋" w:hAnsi="仿宋" w:eastAsia="仿宋" w:cs="仿宋"/>
          <w:spacing w:val="-37"/>
          <w:sz w:val="28"/>
          <w:szCs w:val="28"/>
        </w:rPr>
        <w:t xml:space="preserve"> </w:t>
      </w:r>
      <w:r>
        <w:rPr>
          <w:rFonts w:ascii="仿宋" w:hAnsi="仿宋" w:eastAsia="仿宋" w:cs="仿宋"/>
          <w:spacing w:val="-1"/>
          <w:sz w:val="28"/>
          <w:szCs w:val="28"/>
        </w:rPr>
        <w:t>9407</w:t>
      </w:r>
      <w:r>
        <w:rPr>
          <w:rFonts w:ascii="仿宋" w:hAnsi="仿宋" w:eastAsia="仿宋" w:cs="仿宋"/>
          <w:spacing w:val="-55"/>
          <w:sz w:val="28"/>
          <w:szCs w:val="28"/>
        </w:rPr>
        <w:t xml:space="preserve"> </w:t>
      </w:r>
      <w:r>
        <w:rPr>
          <w:rFonts w:ascii="仿宋" w:hAnsi="仿宋" w:eastAsia="仿宋" w:cs="仿宋"/>
          <w:spacing w:val="-1"/>
          <w:sz w:val="28"/>
          <w:szCs w:val="28"/>
        </w:rPr>
        <w:t>件次；</w:t>
      </w:r>
      <w:r>
        <w:rPr>
          <w:rFonts w:ascii="仿宋" w:hAnsi="仿宋" w:eastAsia="仿宋" w:cs="仿宋"/>
          <w:spacing w:val="5"/>
          <w:sz w:val="28"/>
          <w:szCs w:val="28"/>
        </w:rPr>
        <w:t>继续做好货运</w:t>
      </w:r>
      <w:r>
        <w:rPr>
          <w:rFonts w:ascii="仿宋" w:hAnsi="仿宋" w:eastAsia="仿宋" w:cs="仿宋"/>
          <w:spacing w:val="-92"/>
          <w:sz w:val="28"/>
          <w:szCs w:val="28"/>
        </w:rPr>
        <w:t xml:space="preserve"> </w:t>
      </w:r>
      <w:r>
        <w:rPr>
          <w:rFonts w:ascii="仿宋" w:hAnsi="仿宋" w:eastAsia="仿宋" w:cs="仿宋"/>
          <w:spacing w:val="5"/>
          <w:sz w:val="28"/>
          <w:szCs w:val="28"/>
        </w:rPr>
        <w:t>“源头治超”工作，将车辆超限超载运输违法行为纳入道路</w:t>
      </w:r>
      <w:r>
        <w:rPr>
          <w:rFonts w:ascii="仿宋" w:hAnsi="仿宋" w:eastAsia="仿宋" w:cs="仿宋"/>
          <w:spacing w:val="6"/>
          <w:sz w:val="28"/>
          <w:szCs w:val="28"/>
        </w:rPr>
        <w:t>运输企业质量信誉考核和驾驶员诚信考核，进一步建立和完善超限超载运</w:t>
      </w:r>
      <w:r>
        <w:rPr>
          <w:rFonts w:ascii="仿宋" w:hAnsi="仿宋" w:eastAsia="仿宋" w:cs="仿宋"/>
          <w:spacing w:val="-1"/>
          <w:sz w:val="28"/>
          <w:szCs w:val="28"/>
        </w:rPr>
        <w:t>输“黑名单”和“</w:t>
      </w:r>
      <w:r>
        <w:rPr>
          <w:rFonts w:ascii="仿宋" w:hAnsi="仿宋" w:eastAsia="仿宋" w:cs="仿宋"/>
          <w:spacing w:val="-100"/>
          <w:sz w:val="28"/>
          <w:szCs w:val="28"/>
        </w:rPr>
        <w:t xml:space="preserve"> </w:t>
      </w:r>
      <w:r>
        <w:rPr>
          <w:rFonts w:ascii="仿宋" w:hAnsi="仿宋" w:eastAsia="仿宋" w:cs="仿宋"/>
          <w:spacing w:val="-1"/>
          <w:sz w:val="28"/>
          <w:szCs w:val="28"/>
        </w:rPr>
        <w:t>一抄四罚”制度；严格落实取消车辆二级维护强制检测，</w:t>
      </w:r>
      <w:r>
        <w:rPr>
          <w:rFonts w:ascii="仿宋" w:hAnsi="仿宋" w:eastAsia="仿宋" w:cs="仿宋"/>
          <w:spacing w:val="4"/>
          <w:sz w:val="28"/>
          <w:szCs w:val="28"/>
        </w:rPr>
        <w:t>建立车辆技术管理制度，深入推动道路货运车辆</w:t>
      </w:r>
      <w:r>
        <w:rPr>
          <w:rFonts w:ascii="仿宋" w:hAnsi="仿宋" w:eastAsia="仿宋" w:cs="仿宋"/>
          <w:spacing w:val="-97"/>
          <w:sz w:val="28"/>
          <w:szCs w:val="28"/>
        </w:rPr>
        <w:t xml:space="preserve"> </w:t>
      </w:r>
      <w:r>
        <w:rPr>
          <w:rFonts w:ascii="仿宋" w:hAnsi="仿宋" w:eastAsia="仿宋" w:cs="仿宋"/>
          <w:spacing w:val="4"/>
          <w:sz w:val="28"/>
          <w:szCs w:val="28"/>
        </w:rPr>
        <w:t>“</w:t>
      </w:r>
      <w:r>
        <w:rPr>
          <w:rFonts w:ascii="仿宋" w:hAnsi="仿宋" w:eastAsia="仿宋" w:cs="仿宋"/>
          <w:spacing w:val="-101"/>
          <w:sz w:val="28"/>
          <w:szCs w:val="28"/>
        </w:rPr>
        <w:t xml:space="preserve"> </w:t>
      </w:r>
      <w:r>
        <w:rPr>
          <w:rFonts w:ascii="仿宋" w:hAnsi="仿宋" w:eastAsia="仿宋" w:cs="仿宋"/>
          <w:spacing w:val="4"/>
          <w:sz w:val="28"/>
          <w:szCs w:val="28"/>
        </w:rPr>
        <w:t>三检合一”政策的贯彻</w:t>
      </w:r>
      <w:r>
        <w:rPr>
          <w:rFonts w:ascii="仿宋" w:hAnsi="仿宋" w:eastAsia="仿宋" w:cs="仿宋"/>
          <w:spacing w:val="6"/>
          <w:sz w:val="28"/>
          <w:szCs w:val="28"/>
        </w:rPr>
        <w:t>落实，积极引导道路运输经营者取得相关部门资质认定证书，并与交通运</w:t>
      </w:r>
      <w:r>
        <w:rPr>
          <w:rFonts w:ascii="仿宋" w:hAnsi="仿宋" w:eastAsia="仿宋" w:cs="仿宋"/>
          <w:spacing w:val="8"/>
          <w:sz w:val="28"/>
          <w:szCs w:val="28"/>
        </w:rPr>
        <w:t>输部门联网开展</w:t>
      </w:r>
      <w:r>
        <w:rPr>
          <w:rFonts w:ascii="仿宋" w:hAnsi="仿宋" w:eastAsia="仿宋" w:cs="仿宋"/>
          <w:spacing w:val="-13"/>
          <w:sz w:val="28"/>
          <w:szCs w:val="28"/>
        </w:rPr>
        <w:t xml:space="preserve"> </w:t>
      </w:r>
      <w:r>
        <w:rPr>
          <w:rFonts w:ascii="仿宋" w:hAnsi="仿宋" w:eastAsia="仿宋" w:cs="仿宋"/>
          <w:spacing w:val="8"/>
          <w:sz w:val="28"/>
          <w:szCs w:val="28"/>
        </w:rPr>
        <w:t>37</w:t>
      </w:r>
      <w:r>
        <w:rPr>
          <w:rFonts w:ascii="仿宋" w:hAnsi="仿宋" w:eastAsia="仿宋" w:cs="仿宋"/>
          <w:spacing w:val="-33"/>
          <w:sz w:val="28"/>
          <w:szCs w:val="28"/>
        </w:rPr>
        <w:t xml:space="preserve"> </w:t>
      </w:r>
      <w:r>
        <w:rPr>
          <w:rFonts w:ascii="仿宋" w:hAnsi="仿宋" w:eastAsia="仿宋" w:cs="仿宋"/>
          <w:spacing w:val="8"/>
          <w:sz w:val="28"/>
          <w:szCs w:val="28"/>
        </w:rPr>
        <w:t>户道路运输车辆技术检验检测机构等级评定工作；逐</w:t>
      </w:r>
      <w:r>
        <w:rPr>
          <w:rFonts w:ascii="仿宋" w:hAnsi="仿宋" w:eastAsia="仿宋" w:cs="仿宋"/>
          <w:spacing w:val="6"/>
          <w:sz w:val="28"/>
          <w:szCs w:val="28"/>
        </w:rPr>
        <w:t>步建立了应急运输工作机制，健全了应急体系和各种车型的客货应急运输</w:t>
      </w:r>
      <w:r>
        <w:rPr>
          <w:rFonts w:ascii="仿宋" w:hAnsi="仿宋" w:eastAsia="仿宋" w:cs="仿宋"/>
          <w:spacing w:val="7"/>
          <w:sz w:val="28"/>
          <w:szCs w:val="28"/>
        </w:rPr>
        <w:t>车队，在各类突发重大公共事件中发挥了重要的保障作用。</w:t>
      </w:r>
    </w:p>
    <w:p w14:paraId="7A0D8837">
      <w:pPr>
        <w:spacing w:before="16" w:line="342" w:lineRule="auto"/>
        <w:ind w:left="1" w:firstLine="583"/>
        <w:rPr>
          <w:rFonts w:ascii="仿宋" w:hAnsi="仿宋" w:eastAsia="仿宋" w:cs="仿宋"/>
          <w:sz w:val="28"/>
          <w:szCs w:val="28"/>
        </w:rPr>
      </w:pPr>
      <w:r>
        <w:rPr>
          <w:rFonts w:ascii="仿宋" w:hAnsi="仿宋" w:eastAsia="仿宋" w:cs="仿宋"/>
          <w:spacing w:val="3"/>
          <w:sz w:val="28"/>
          <w:szCs w:val="28"/>
        </w:rPr>
        <w:t>公路超限超载治理工作持续稳定开展，逐步形成政府主导</w:t>
      </w:r>
      <w:r>
        <w:rPr>
          <w:rFonts w:ascii="仿宋" w:hAnsi="仿宋" w:eastAsia="仿宋" w:cs="仿宋"/>
          <w:spacing w:val="2"/>
          <w:sz w:val="28"/>
          <w:szCs w:val="28"/>
        </w:rPr>
        <w:t>、交通牵头、</w:t>
      </w:r>
      <w:r>
        <w:rPr>
          <w:rFonts w:ascii="仿宋" w:hAnsi="仿宋" w:eastAsia="仿宋" w:cs="仿宋"/>
          <w:spacing w:val="7"/>
          <w:sz w:val="28"/>
          <w:szCs w:val="28"/>
        </w:rPr>
        <w:t>部门联动的治超工作格局。积极开展治超联合执法</w:t>
      </w:r>
      <w:r>
        <w:rPr>
          <w:rFonts w:ascii="仿宋" w:hAnsi="仿宋" w:eastAsia="仿宋" w:cs="仿宋"/>
          <w:spacing w:val="6"/>
          <w:sz w:val="28"/>
          <w:szCs w:val="28"/>
        </w:rPr>
        <w:t>专项行动，全面加强货</w:t>
      </w:r>
      <w:r>
        <w:rPr>
          <w:rFonts w:ascii="仿宋" w:hAnsi="仿宋" w:eastAsia="仿宋" w:cs="仿宋"/>
          <w:sz w:val="28"/>
          <w:szCs w:val="28"/>
        </w:rPr>
        <w:t xml:space="preserve"> </w:t>
      </w:r>
      <w:r>
        <w:rPr>
          <w:rFonts w:ascii="仿宋" w:hAnsi="仿宋" w:eastAsia="仿宋" w:cs="仿宋"/>
          <w:spacing w:val="7"/>
          <w:sz w:val="28"/>
          <w:szCs w:val="28"/>
        </w:rPr>
        <w:t>运车辆装载情况检测，制定出台《曲靖市交通运输局、</w:t>
      </w:r>
      <w:r>
        <w:rPr>
          <w:rFonts w:ascii="仿宋" w:hAnsi="仿宋" w:eastAsia="仿宋" w:cs="仿宋"/>
          <w:spacing w:val="6"/>
          <w:sz w:val="28"/>
          <w:szCs w:val="28"/>
        </w:rPr>
        <w:t>曲靖市公安局治理</w:t>
      </w:r>
      <w:r>
        <w:rPr>
          <w:rFonts w:ascii="仿宋" w:hAnsi="仿宋" w:eastAsia="仿宋" w:cs="仿宋"/>
          <w:sz w:val="28"/>
          <w:szCs w:val="28"/>
        </w:rPr>
        <w:t xml:space="preserve"> </w:t>
      </w:r>
      <w:r>
        <w:rPr>
          <w:rFonts w:ascii="仿宋" w:hAnsi="仿宋" w:eastAsia="仿宋" w:cs="仿宋"/>
          <w:spacing w:val="7"/>
          <w:sz w:val="28"/>
          <w:szCs w:val="28"/>
        </w:rPr>
        <w:t>车辆超限超载联合执法常态化制度化工作实施细则</w:t>
      </w:r>
      <w:r>
        <w:rPr>
          <w:rFonts w:ascii="仿宋" w:hAnsi="仿宋" w:eastAsia="仿宋" w:cs="仿宋"/>
          <w:spacing w:val="6"/>
          <w:sz w:val="28"/>
          <w:szCs w:val="28"/>
        </w:rPr>
        <w:t>》，进一步推进治理非</w:t>
      </w:r>
      <w:r>
        <w:rPr>
          <w:rFonts w:ascii="仿宋" w:hAnsi="仿宋" w:eastAsia="仿宋" w:cs="仿宋"/>
          <w:sz w:val="28"/>
          <w:szCs w:val="28"/>
        </w:rPr>
        <w:t xml:space="preserve"> </w:t>
      </w:r>
      <w:r>
        <w:rPr>
          <w:rFonts w:ascii="仿宋" w:hAnsi="仿宋" w:eastAsia="仿宋" w:cs="仿宋"/>
          <w:spacing w:val="7"/>
          <w:sz w:val="28"/>
          <w:szCs w:val="28"/>
        </w:rPr>
        <w:t>法超限超载车辆联合执法常态化制度化工作，开展</w:t>
      </w:r>
      <w:r>
        <w:rPr>
          <w:rFonts w:ascii="仿宋" w:hAnsi="仿宋" w:eastAsia="仿宋" w:cs="仿宋"/>
          <w:spacing w:val="6"/>
          <w:sz w:val="28"/>
          <w:szCs w:val="28"/>
        </w:rPr>
        <w:t>科技治超试点建设和失</w:t>
      </w:r>
      <w:r>
        <w:rPr>
          <w:rFonts w:ascii="仿宋" w:hAnsi="仿宋" w:eastAsia="仿宋" w:cs="仿宋"/>
          <w:sz w:val="28"/>
          <w:szCs w:val="28"/>
        </w:rPr>
        <w:t xml:space="preserve"> </w:t>
      </w:r>
      <w:r>
        <w:rPr>
          <w:rFonts w:ascii="仿宋" w:hAnsi="仿宋" w:eastAsia="仿宋" w:cs="仿宋"/>
          <w:spacing w:val="7"/>
          <w:sz w:val="28"/>
          <w:szCs w:val="28"/>
        </w:rPr>
        <w:t>信惩戒行动，联合治超得到有序推进。通过巡查、进驻、倒查</w:t>
      </w:r>
      <w:r>
        <w:rPr>
          <w:rFonts w:ascii="仿宋" w:hAnsi="仿宋" w:eastAsia="仿宋" w:cs="仿宋"/>
          <w:spacing w:val="6"/>
          <w:sz w:val="28"/>
          <w:szCs w:val="28"/>
        </w:rPr>
        <w:t>，对生产运</w:t>
      </w:r>
      <w:r>
        <w:rPr>
          <w:rFonts w:ascii="仿宋" w:hAnsi="仿宋" w:eastAsia="仿宋" w:cs="仿宋"/>
          <w:spacing w:val="7"/>
          <w:sz w:val="28"/>
          <w:szCs w:val="28"/>
        </w:rPr>
        <w:t>输量较大的企业开展全面排查，对违反治理超限超</w:t>
      </w:r>
      <w:r>
        <w:rPr>
          <w:rFonts w:ascii="仿宋" w:hAnsi="仿宋" w:eastAsia="仿宋" w:cs="仿宋"/>
          <w:spacing w:val="6"/>
          <w:sz w:val="28"/>
          <w:szCs w:val="28"/>
        </w:rPr>
        <w:t>载工作规定的运输企业</w:t>
      </w:r>
      <w:r>
        <w:rPr>
          <w:rFonts w:ascii="仿宋" w:hAnsi="仿宋" w:eastAsia="仿宋" w:cs="仿宋"/>
          <w:sz w:val="28"/>
          <w:szCs w:val="28"/>
        </w:rPr>
        <w:t xml:space="preserve"> </w:t>
      </w:r>
      <w:r>
        <w:rPr>
          <w:rFonts w:ascii="仿宋" w:hAnsi="仿宋" w:eastAsia="仿宋" w:cs="仿宋"/>
          <w:spacing w:val="7"/>
          <w:sz w:val="28"/>
          <w:szCs w:val="28"/>
        </w:rPr>
        <w:t>纳入运输质量信誉考核，加强对企业的监管力度，</w:t>
      </w:r>
      <w:r>
        <w:rPr>
          <w:rFonts w:ascii="仿宋" w:hAnsi="仿宋" w:eastAsia="仿宋" w:cs="仿宋"/>
          <w:spacing w:val="6"/>
          <w:sz w:val="28"/>
          <w:szCs w:val="28"/>
        </w:rPr>
        <w:t>加大对从业人员继续教</w:t>
      </w:r>
      <w:r>
        <w:rPr>
          <w:rFonts w:ascii="仿宋" w:hAnsi="仿宋" w:eastAsia="仿宋" w:cs="仿宋"/>
          <w:sz w:val="28"/>
          <w:szCs w:val="28"/>
        </w:rPr>
        <w:t xml:space="preserve"> </w:t>
      </w:r>
      <w:r>
        <w:rPr>
          <w:rFonts w:ascii="仿宋" w:hAnsi="仿宋" w:eastAsia="仿宋" w:cs="仿宋"/>
          <w:spacing w:val="4"/>
          <w:sz w:val="28"/>
          <w:szCs w:val="28"/>
        </w:rPr>
        <w:t>育，宣传超限危害及治超政策，不断提高货</w:t>
      </w:r>
      <w:r>
        <w:rPr>
          <w:rFonts w:ascii="仿宋" w:hAnsi="仿宋" w:eastAsia="仿宋" w:cs="仿宋"/>
          <w:spacing w:val="3"/>
          <w:sz w:val="28"/>
          <w:szCs w:val="28"/>
        </w:rPr>
        <w:t>运从业人员守法经营思想认识，</w:t>
      </w:r>
      <w:r>
        <w:rPr>
          <w:rFonts w:ascii="仿宋" w:hAnsi="仿宋" w:eastAsia="仿宋" w:cs="仿宋"/>
          <w:spacing w:val="5"/>
          <w:sz w:val="28"/>
          <w:szCs w:val="28"/>
        </w:rPr>
        <w:t>源头治超长效机制不断得到完善。</w:t>
      </w:r>
      <w:r>
        <w:rPr>
          <w:rFonts w:ascii="仿宋" w:hAnsi="仿宋" w:eastAsia="仿宋" w:cs="仿宋"/>
          <w:spacing w:val="-78"/>
          <w:sz w:val="28"/>
          <w:szCs w:val="28"/>
        </w:rPr>
        <w:t xml:space="preserve"> </w:t>
      </w:r>
      <w:r>
        <w:rPr>
          <w:rFonts w:ascii="仿宋" w:hAnsi="仿宋" w:eastAsia="仿宋" w:cs="仿宋"/>
          <w:spacing w:val="5"/>
          <w:sz w:val="28"/>
          <w:szCs w:val="28"/>
        </w:rPr>
        <w:t>以固定治超站点、高</w:t>
      </w:r>
      <w:r>
        <w:rPr>
          <w:rFonts w:ascii="仿宋" w:hAnsi="仿宋" w:eastAsia="仿宋" w:cs="仿宋"/>
          <w:spacing w:val="4"/>
          <w:sz w:val="28"/>
          <w:szCs w:val="28"/>
        </w:rPr>
        <w:t>速公路收费站为依</w:t>
      </w:r>
      <w:r>
        <w:rPr>
          <w:rFonts w:ascii="仿宋" w:hAnsi="仿宋" w:eastAsia="仿宋" w:cs="仿宋"/>
          <w:sz w:val="28"/>
          <w:szCs w:val="28"/>
        </w:rPr>
        <w:t xml:space="preserve"> </w:t>
      </w:r>
      <w:r>
        <w:rPr>
          <w:rFonts w:ascii="仿宋" w:hAnsi="仿宋" w:eastAsia="仿宋" w:cs="仿宋"/>
          <w:spacing w:val="7"/>
          <w:sz w:val="28"/>
          <w:szCs w:val="28"/>
        </w:rPr>
        <w:t>托，开展集中整治、重点整治、突击整治等行动，实施“</w:t>
      </w:r>
      <w:r>
        <w:rPr>
          <w:rFonts w:ascii="仿宋" w:hAnsi="仿宋" w:eastAsia="仿宋" w:cs="仿宋"/>
          <w:spacing w:val="6"/>
          <w:sz w:val="28"/>
          <w:szCs w:val="28"/>
        </w:rPr>
        <w:t>无缝隙、拉网式”</w:t>
      </w:r>
    </w:p>
    <w:p w14:paraId="1CA0B5A3">
      <w:pPr>
        <w:spacing w:line="342" w:lineRule="auto"/>
        <w:rPr>
          <w:rFonts w:ascii="仿宋" w:hAnsi="仿宋" w:eastAsia="仿宋" w:cs="仿宋"/>
          <w:sz w:val="28"/>
          <w:szCs w:val="28"/>
        </w:rPr>
        <w:sectPr>
          <w:headerReference r:id="rId31" w:type="default"/>
          <w:footerReference r:id="rId32" w:type="default"/>
          <w:pgSz w:w="11906" w:h="16839"/>
          <w:pgMar w:top="1222" w:right="853" w:bottom="1156" w:left="1587" w:header="885" w:footer="920" w:gutter="0"/>
          <w:cols w:space="720" w:num="1"/>
        </w:sectPr>
      </w:pPr>
    </w:p>
    <w:p w14:paraId="0AC5C431">
      <w:pPr>
        <w:pStyle w:val="2"/>
        <w:spacing w:line="276" w:lineRule="auto"/>
      </w:pPr>
    </w:p>
    <w:p w14:paraId="7B7E8D7B">
      <w:pPr>
        <w:spacing w:before="91" w:line="343" w:lineRule="auto"/>
        <w:ind w:left="12" w:right="84" w:hanging="2"/>
        <w:jc w:val="both"/>
        <w:rPr>
          <w:rFonts w:ascii="仿宋" w:hAnsi="仿宋" w:eastAsia="仿宋" w:cs="仿宋"/>
          <w:sz w:val="28"/>
          <w:szCs w:val="28"/>
        </w:rPr>
      </w:pPr>
      <w:r>
        <w:rPr>
          <w:rFonts w:ascii="仿宋" w:hAnsi="仿宋" w:eastAsia="仿宋" w:cs="仿宋"/>
          <w:spacing w:val="5"/>
          <w:sz w:val="28"/>
          <w:szCs w:val="28"/>
        </w:rPr>
        <w:t>稽查，</w:t>
      </w:r>
      <w:r>
        <w:rPr>
          <w:rFonts w:ascii="仿宋" w:hAnsi="仿宋" w:eastAsia="仿宋" w:cs="仿宋"/>
          <w:spacing w:val="-81"/>
          <w:sz w:val="28"/>
          <w:szCs w:val="28"/>
        </w:rPr>
        <w:t xml:space="preserve"> </w:t>
      </w:r>
      <w:r>
        <w:rPr>
          <w:rFonts w:ascii="仿宋" w:hAnsi="仿宋" w:eastAsia="仿宋" w:cs="仿宋"/>
          <w:spacing w:val="5"/>
          <w:sz w:val="28"/>
          <w:szCs w:val="28"/>
        </w:rPr>
        <w:t>“</w:t>
      </w:r>
      <w:r>
        <w:rPr>
          <w:rFonts w:ascii="仿宋" w:hAnsi="仿宋" w:eastAsia="仿宋" w:cs="仿宋"/>
          <w:spacing w:val="-105"/>
          <w:sz w:val="28"/>
          <w:szCs w:val="28"/>
        </w:rPr>
        <w:t xml:space="preserve"> </w:t>
      </w:r>
      <w:r>
        <w:rPr>
          <w:rFonts w:ascii="仿宋" w:hAnsi="仿宋" w:eastAsia="仿宋" w:cs="仿宋"/>
          <w:spacing w:val="5"/>
          <w:sz w:val="28"/>
          <w:szCs w:val="28"/>
        </w:rPr>
        <w:t>十三五”期全市累计检查超限车辆</w:t>
      </w:r>
      <w:r>
        <w:rPr>
          <w:rFonts w:ascii="仿宋" w:hAnsi="仿宋" w:eastAsia="仿宋" w:cs="仿宋"/>
          <w:spacing w:val="-26"/>
          <w:sz w:val="28"/>
          <w:szCs w:val="28"/>
        </w:rPr>
        <w:t xml:space="preserve"> </w:t>
      </w:r>
      <w:r>
        <w:rPr>
          <w:rFonts w:ascii="仿宋" w:hAnsi="仿宋" w:eastAsia="仿宋" w:cs="仿宋"/>
          <w:spacing w:val="5"/>
          <w:sz w:val="28"/>
          <w:szCs w:val="28"/>
        </w:rPr>
        <w:t>354.41</w:t>
      </w:r>
      <w:r>
        <w:rPr>
          <w:rFonts w:ascii="仿宋" w:hAnsi="仿宋" w:eastAsia="仿宋" w:cs="仿宋"/>
          <w:spacing w:val="-31"/>
          <w:sz w:val="28"/>
          <w:szCs w:val="28"/>
        </w:rPr>
        <w:t xml:space="preserve"> </w:t>
      </w:r>
      <w:r>
        <w:rPr>
          <w:rFonts w:ascii="仿宋" w:hAnsi="仿宋" w:eastAsia="仿宋" w:cs="仿宋"/>
          <w:spacing w:val="5"/>
          <w:sz w:val="28"/>
          <w:szCs w:val="28"/>
        </w:rPr>
        <w:t>万辆次，公路</w:t>
      </w:r>
      <w:r>
        <w:rPr>
          <w:rFonts w:ascii="仿宋" w:hAnsi="仿宋" w:eastAsia="仿宋" w:cs="仿宋"/>
          <w:spacing w:val="4"/>
          <w:sz w:val="28"/>
          <w:szCs w:val="28"/>
        </w:rPr>
        <w:t>平均超</w:t>
      </w:r>
      <w:r>
        <w:rPr>
          <w:rFonts w:ascii="仿宋" w:hAnsi="仿宋" w:eastAsia="仿宋" w:cs="仿宋"/>
          <w:spacing w:val="6"/>
          <w:sz w:val="28"/>
          <w:szCs w:val="28"/>
        </w:rPr>
        <w:t>限率下降到</w:t>
      </w:r>
      <w:r>
        <w:rPr>
          <w:rFonts w:ascii="仿宋" w:hAnsi="仿宋" w:eastAsia="仿宋" w:cs="仿宋"/>
          <w:spacing w:val="-36"/>
          <w:sz w:val="28"/>
          <w:szCs w:val="28"/>
        </w:rPr>
        <w:t xml:space="preserve"> </w:t>
      </w:r>
      <w:r>
        <w:rPr>
          <w:rFonts w:ascii="仿宋" w:hAnsi="仿宋" w:eastAsia="仿宋" w:cs="仿宋"/>
          <w:spacing w:val="6"/>
          <w:sz w:val="28"/>
          <w:szCs w:val="28"/>
        </w:rPr>
        <w:t>4.5%以下，</w:t>
      </w:r>
      <w:r>
        <w:rPr>
          <w:rFonts w:ascii="仿宋" w:hAnsi="仿宋" w:eastAsia="仿宋" w:cs="仿宋"/>
          <w:spacing w:val="-82"/>
          <w:sz w:val="28"/>
          <w:szCs w:val="28"/>
        </w:rPr>
        <w:t xml:space="preserve"> </w:t>
      </w:r>
      <w:r>
        <w:rPr>
          <w:rFonts w:ascii="仿宋" w:hAnsi="仿宋" w:eastAsia="仿宋" w:cs="仿宋"/>
          <w:spacing w:val="6"/>
          <w:sz w:val="28"/>
          <w:szCs w:val="28"/>
        </w:rPr>
        <w:t>限时办结率达</w:t>
      </w:r>
      <w:r>
        <w:rPr>
          <w:rFonts w:ascii="仿宋" w:hAnsi="仿宋" w:eastAsia="仿宋" w:cs="仿宋"/>
          <w:spacing w:val="-28"/>
          <w:sz w:val="28"/>
          <w:szCs w:val="28"/>
        </w:rPr>
        <w:t xml:space="preserve"> </w:t>
      </w:r>
      <w:r>
        <w:rPr>
          <w:rFonts w:ascii="仿宋" w:hAnsi="仿宋" w:eastAsia="仿宋" w:cs="仿宋"/>
          <w:spacing w:val="6"/>
          <w:sz w:val="28"/>
          <w:szCs w:val="28"/>
        </w:rPr>
        <w:t>100%。加强治超站点信息化建设，在各治超站点加大投入，建设三级联网的信息化系统，实现省、市、站三级数据共享，科技治超能力不断得到提升。</w:t>
      </w:r>
    </w:p>
    <w:p w14:paraId="77E1337E">
      <w:pPr>
        <w:spacing w:line="343" w:lineRule="auto"/>
        <w:ind w:left="8" w:right="4" w:firstLine="596"/>
        <w:rPr>
          <w:rFonts w:ascii="仿宋" w:hAnsi="仿宋" w:eastAsia="仿宋" w:cs="仿宋"/>
          <w:sz w:val="28"/>
          <w:szCs w:val="28"/>
        </w:rPr>
      </w:pPr>
      <w:r>
        <w:rPr>
          <w:rFonts w:ascii="仿宋" w:hAnsi="仿宋" w:eastAsia="仿宋" w:cs="仿宋"/>
          <w:spacing w:val="6"/>
          <w:sz w:val="28"/>
          <w:szCs w:val="28"/>
        </w:rPr>
        <w:t>“</w:t>
      </w:r>
      <w:r>
        <w:rPr>
          <w:rFonts w:ascii="仿宋" w:hAnsi="仿宋" w:eastAsia="仿宋" w:cs="仿宋"/>
          <w:spacing w:val="-86"/>
          <w:sz w:val="28"/>
          <w:szCs w:val="28"/>
        </w:rPr>
        <w:t xml:space="preserve"> </w:t>
      </w:r>
      <w:r>
        <w:rPr>
          <w:rFonts w:ascii="仿宋" w:hAnsi="仿宋" w:eastAsia="仿宋" w:cs="仿宋"/>
          <w:spacing w:val="6"/>
          <w:sz w:val="28"/>
          <w:szCs w:val="28"/>
        </w:rPr>
        <w:t>四好农村路”建管养运齐头并进，大中修、小修保养、危桥改造、</w:t>
      </w:r>
      <w:r>
        <w:rPr>
          <w:rFonts w:ascii="仿宋" w:hAnsi="仿宋" w:eastAsia="仿宋" w:cs="仿宋"/>
          <w:spacing w:val="7"/>
          <w:sz w:val="28"/>
          <w:szCs w:val="28"/>
        </w:rPr>
        <w:t>安防工程、</w:t>
      </w:r>
      <w:r>
        <w:rPr>
          <w:rFonts w:ascii="仿宋" w:hAnsi="仿宋" w:eastAsia="仿宋" w:cs="仿宋"/>
          <w:spacing w:val="-85"/>
          <w:sz w:val="28"/>
          <w:szCs w:val="28"/>
        </w:rPr>
        <w:t xml:space="preserve"> </w:t>
      </w:r>
      <w:r>
        <w:rPr>
          <w:rFonts w:ascii="仿宋" w:hAnsi="仿宋" w:eastAsia="仿宋" w:cs="仿宋"/>
          <w:spacing w:val="7"/>
          <w:sz w:val="28"/>
          <w:szCs w:val="28"/>
        </w:rPr>
        <w:t>“路长制”有序落实，大大提高了管养路线的经常性</w:t>
      </w:r>
      <w:r>
        <w:rPr>
          <w:rFonts w:ascii="仿宋" w:hAnsi="仿宋" w:eastAsia="仿宋" w:cs="仿宋"/>
          <w:spacing w:val="6"/>
          <w:sz w:val="28"/>
          <w:szCs w:val="28"/>
        </w:rPr>
        <w:t>养护率，</w:t>
      </w:r>
      <w:r>
        <w:rPr>
          <w:rFonts w:ascii="仿宋" w:hAnsi="仿宋" w:eastAsia="仿宋" w:cs="仿宋"/>
          <w:spacing w:val="4"/>
          <w:sz w:val="28"/>
          <w:szCs w:val="28"/>
        </w:rPr>
        <w:t>有效提升和改善了农村公路综合运输服务质量。</w:t>
      </w:r>
      <w:r>
        <w:rPr>
          <w:rFonts w:ascii="仿宋" w:hAnsi="仿宋" w:eastAsia="仿宋" w:cs="仿宋"/>
          <w:spacing w:val="-86"/>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十三五”期，全</w:t>
      </w:r>
      <w:r>
        <w:rPr>
          <w:rFonts w:ascii="仿宋" w:hAnsi="仿宋" w:eastAsia="仿宋" w:cs="仿宋"/>
          <w:spacing w:val="3"/>
          <w:sz w:val="28"/>
          <w:szCs w:val="28"/>
        </w:rPr>
        <w:t>市累计</w:t>
      </w:r>
      <w:r>
        <w:rPr>
          <w:rFonts w:ascii="仿宋" w:hAnsi="仿宋" w:eastAsia="仿宋" w:cs="仿宋"/>
          <w:spacing w:val="4"/>
          <w:sz w:val="28"/>
          <w:szCs w:val="28"/>
        </w:rPr>
        <w:t>完成公路养护里程共计</w:t>
      </w:r>
      <w:r>
        <w:rPr>
          <w:rFonts w:ascii="仿宋" w:hAnsi="仿宋" w:eastAsia="仿宋" w:cs="仿宋"/>
          <w:spacing w:val="-33"/>
          <w:sz w:val="28"/>
          <w:szCs w:val="28"/>
        </w:rPr>
        <w:t xml:space="preserve"> </w:t>
      </w:r>
      <w:r>
        <w:rPr>
          <w:rFonts w:ascii="仿宋" w:hAnsi="仿宋" w:eastAsia="仿宋" w:cs="仿宋"/>
          <w:spacing w:val="4"/>
          <w:sz w:val="28"/>
          <w:szCs w:val="28"/>
        </w:rPr>
        <w:t>112985.377</w:t>
      </w:r>
      <w:r>
        <w:rPr>
          <w:rFonts w:ascii="仿宋" w:hAnsi="仿宋" w:eastAsia="仿宋" w:cs="仿宋"/>
          <w:spacing w:val="-52"/>
          <w:sz w:val="28"/>
          <w:szCs w:val="28"/>
        </w:rPr>
        <w:t xml:space="preserve"> </w:t>
      </w:r>
      <w:r>
        <w:rPr>
          <w:rFonts w:ascii="仿宋" w:hAnsi="仿宋" w:eastAsia="仿宋" w:cs="仿宋"/>
          <w:spacing w:val="4"/>
          <w:sz w:val="28"/>
          <w:szCs w:val="28"/>
        </w:rPr>
        <w:t>公里，其中普通国省道</w:t>
      </w:r>
      <w:r>
        <w:rPr>
          <w:rFonts w:ascii="仿宋" w:hAnsi="仿宋" w:eastAsia="仿宋" w:cs="仿宋"/>
          <w:spacing w:val="-28"/>
          <w:sz w:val="28"/>
          <w:szCs w:val="28"/>
        </w:rPr>
        <w:t xml:space="preserve"> </w:t>
      </w:r>
      <w:r>
        <w:rPr>
          <w:rFonts w:ascii="仿宋" w:hAnsi="仿宋" w:eastAsia="仿宋" w:cs="仿宋"/>
          <w:spacing w:val="4"/>
          <w:sz w:val="28"/>
          <w:szCs w:val="28"/>
        </w:rPr>
        <w:t>3400.1</w:t>
      </w:r>
      <w:r>
        <w:rPr>
          <w:rFonts w:ascii="仿宋" w:hAnsi="仿宋" w:eastAsia="仿宋" w:cs="仿宋"/>
          <w:spacing w:val="-52"/>
          <w:sz w:val="28"/>
          <w:szCs w:val="28"/>
        </w:rPr>
        <w:t xml:space="preserve"> </w:t>
      </w:r>
      <w:r>
        <w:rPr>
          <w:rFonts w:ascii="仿宋" w:hAnsi="仿宋" w:eastAsia="仿宋" w:cs="仿宋"/>
          <w:spacing w:val="4"/>
          <w:sz w:val="28"/>
          <w:szCs w:val="28"/>
        </w:rPr>
        <w:t>公里、农村公路</w:t>
      </w:r>
      <w:r>
        <w:rPr>
          <w:rFonts w:ascii="仿宋" w:hAnsi="仿宋" w:eastAsia="仿宋" w:cs="仿宋"/>
          <w:spacing w:val="-28"/>
          <w:sz w:val="28"/>
          <w:szCs w:val="28"/>
        </w:rPr>
        <w:t xml:space="preserve"> </w:t>
      </w:r>
      <w:r>
        <w:rPr>
          <w:rFonts w:ascii="仿宋" w:hAnsi="仿宋" w:eastAsia="仿宋" w:cs="仿宋"/>
          <w:spacing w:val="4"/>
          <w:sz w:val="28"/>
          <w:szCs w:val="28"/>
        </w:rPr>
        <w:t>109445.5</w:t>
      </w:r>
      <w:r>
        <w:rPr>
          <w:rFonts w:ascii="仿宋" w:hAnsi="仿宋" w:eastAsia="仿宋" w:cs="仿宋"/>
          <w:spacing w:val="-47"/>
          <w:sz w:val="28"/>
          <w:szCs w:val="28"/>
        </w:rPr>
        <w:t xml:space="preserve"> </w:t>
      </w:r>
      <w:r>
        <w:rPr>
          <w:rFonts w:ascii="仿宋" w:hAnsi="仿宋" w:eastAsia="仿宋" w:cs="仿宋"/>
          <w:spacing w:val="4"/>
          <w:sz w:val="28"/>
          <w:szCs w:val="28"/>
        </w:rPr>
        <w:t>公里，年均完成公路养护里</w:t>
      </w:r>
      <w:r>
        <w:rPr>
          <w:rFonts w:ascii="仿宋" w:hAnsi="仿宋" w:eastAsia="仿宋" w:cs="仿宋"/>
          <w:spacing w:val="3"/>
          <w:sz w:val="28"/>
          <w:szCs w:val="28"/>
        </w:rPr>
        <w:t>程</w:t>
      </w:r>
      <w:r>
        <w:rPr>
          <w:rFonts w:ascii="仿宋" w:hAnsi="仿宋" w:eastAsia="仿宋" w:cs="仿宋"/>
          <w:spacing w:val="-37"/>
          <w:sz w:val="28"/>
          <w:szCs w:val="28"/>
        </w:rPr>
        <w:t xml:space="preserve"> </w:t>
      </w:r>
      <w:r>
        <w:rPr>
          <w:rFonts w:ascii="仿宋" w:hAnsi="仿宋" w:eastAsia="仿宋" w:cs="仿宋"/>
          <w:spacing w:val="3"/>
          <w:sz w:val="28"/>
          <w:szCs w:val="28"/>
        </w:rPr>
        <w:t>22597.1</w:t>
      </w:r>
      <w:r>
        <w:rPr>
          <w:rFonts w:ascii="仿宋" w:hAnsi="仿宋" w:eastAsia="仿宋" w:cs="仿宋"/>
          <w:spacing w:val="-45"/>
          <w:sz w:val="28"/>
          <w:szCs w:val="28"/>
        </w:rPr>
        <w:t xml:space="preserve"> </w:t>
      </w:r>
      <w:r>
        <w:rPr>
          <w:rFonts w:ascii="仿宋" w:hAnsi="仿宋" w:eastAsia="仿宋" w:cs="仿宋"/>
          <w:spacing w:val="3"/>
          <w:sz w:val="28"/>
          <w:szCs w:val="28"/>
        </w:rPr>
        <w:t>公里，较</w:t>
      </w:r>
      <w:r>
        <w:rPr>
          <w:rFonts w:ascii="仿宋" w:hAnsi="仿宋" w:eastAsia="仿宋" w:cs="仿宋"/>
          <w:spacing w:val="-89"/>
          <w:sz w:val="28"/>
          <w:szCs w:val="28"/>
        </w:rPr>
        <w:t xml:space="preserve"> </w:t>
      </w:r>
      <w:r>
        <w:rPr>
          <w:rFonts w:ascii="仿宋" w:hAnsi="仿宋" w:eastAsia="仿宋" w:cs="仿宋"/>
          <w:spacing w:val="3"/>
          <w:sz w:val="28"/>
          <w:szCs w:val="28"/>
        </w:rPr>
        <w:t>“</w:t>
      </w:r>
      <w:r>
        <w:rPr>
          <w:rFonts w:ascii="仿宋" w:hAnsi="仿宋" w:eastAsia="仿宋" w:cs="仿宋"/>
          <w:spacing w:val="-103"/>
          <w:sz w:val="28"/>
          <w:szCs w:val="28"/>
        </w:rPr>
        <w:t xml:space="preserve"> </w:t>
      </w:r>
      <w:r>
        <w:rPr>
          <w:rFonts w:ascii="仿宋" w:hAnsi="仿宋" w:eastAsia="仿宋" w:cs="仿宋"/>
          <w:spacing w:val="3"/>
          <w:sz w:val="28"/>
          <w:szCs w:val="28"/>
        </w:rPr>
        <w:t>十</w:t>
      </w:r>
      <w:r>
        <w:rPr>
          <w:rFonts w:ascii="仿宋" w:hAnsi="仿宋" w:eastAsia="仿宋" w:cs="仿宋"/>
          <w:spacing w:val="1"/>
          <w:sz w:val="28"/>
          <w:szCs w:val="28"/>
        </w:rPr>
        <w:t>二五”末年均增长了</w:t>
      </w:r>
      <w:r>
        <w:rPr>
          <w:rFonts w:ascii="仿宋" w:hAnsi="仿宋" w:eastAsia="仿宋" w:cs="仿宋"/>
          <w:spacing w:val="-32"/>
          <w:sz w:val="28"/>
          <w:szCs w:val="28"/>
        </w:rPr>
        <w:t xml:space="preserve"> </w:t>
      </w:r>
      <w:r>
        <w:rPr>
          <w:rFonts w:ascii="仿宋" w:hAnsi="仿宋" w:eastAsia="仿宋" w:cs="仿宋"/>
          <w:spacing w:val="1"/>
          <w:sz w:val="28"/>
          <w:szCs w:val="28"/>
        </w:rPr>
        <w:t>12.3%；累计完成养护投资</w:t>
      </w:r>
      <w:r>
        <w:rPr>
          <w:rFonts w:ascii="仿宋" w:hAnsi="仿宋" w:eastAsia="仿宋" w:cs="仿宋"/>
          <w:spacing w:val="-33"/>
          <w:sz w:val="28"/>
          <w:szCs w:val="28"/>
        </w:rPr>
        <w:t xml:space="preserve"> </w:t>
      </w:r>
      <w:r>
        <w:rPr>
          <w:rFonts w:ascii="仿宋" w:hAnsi="仿宋" w:eastAsia="仿宋" w:cs="仿宋"/>
          <w:spacing w:val="1"/>
          <w:sz w:val="28"/>
          <w:szCs w:val="28"/>
        </w:rPr>
        <w:t>13.287</w:t>
      </w:r>
      <w:r>
        <w:rPr>
          <w:rFonts w:ascii="仿宋" w:hAnsi="仿宋" w:eastAsia="仿宋" w:cs="仿宋"/>
          <w:spacing w:val="-43"/>
          <w:sz w:val="28"/>
          <w:szCs w:val="28"/>
        </w:rPr>
        <w:t xml:space="preserve"> </w:t>
      </w:r>
      <w:r>
        <w:rPr>
          <w:rFonts w:ascii="仿宋" w:hAnsi="仿宋" w:eastAsia="仿宋" w:cs="仿宋"/>
          <w:spacing w:val="1"/>
          <w:sz w:val="28"/>
          <w:szCs w:val="28"/>
        </w:rPr>
        <w:t>亿元，年均完成投</w:t>
      </w:r>
      <w:r>
        <w:rPr>
          <w:rFonts w:ascii="仿宋" w:hAnsi="仿宋" w:eastAsia="仿宋" w:cs="仿宋"/>
          <w:spacing w:val="5"/>
          <w:sz w:val="28"/>
          <w:szCs w:val="28"/>
        </w:rPr>
        <w:t>资</w:t>
      </w:r>
      <w:r>
        <w:rPr>
          <w:rFonts w:ascii="仿宋" w:hAnsi="仿宋" w:eastAsia="仿宋" w:cs="仿宋"/>
          <w:spacing w:val="-37"/>
          <w:sz w:val="28"/>
          <w:szCs w:val="28"/>
        </w:rPr>
        <w:t xml:space="preserve"> </w:t>
      </w:r>
      <w:r>
        <w:rPr>
          <w:rFonts w:ascii="仿宋" w:hAnsi="仿宋" w:eastAsia="仿宋" w:cs="仿宋"/>
          <w:spacing w:val="5"/>
          <w:sz w:val="28"/>
          <w:szCs w:val="28"/>
        </w:rPr>
        <w:t>2.657</w:t>
      </w:r>
      <w:r>
        <w:rPr>
          <w:rFonts w:ascii="仿宋" w:hAnsi="仿宋" w:eastAsia="仿宋" w:cs="仿宋"/>
          <w:spacing w:val="-41"/>
          <w:sz w:val="28"/>
          <w:szCs w:val="28"/>
        </w:rPr>
        <w:t xml:space="preserve"> </w:t>
      </w:r>
      <w:r>
        <w:rPr>
          <w:rFonts w:ascii="仿宋" w:hAnsi="仿宋" w:eastAsia="仿宋" w:cs="仿宋"/>
          <w:spacing w:val="5"/>
          <w:sz w:val="28"/>
          <w:szCs w:val="28"/>
        </w:rPr>
        <w:t>亿元；县乡村道优良中等路率分别为</w:t>
      </w:r>
      <w:r>
        <w:rPr>
          <w:rFonts w:ascii="仿宋" w:hAnsi="仿宋" w:eastAsia="仿宋" w:cs="仿宋"/>
          <w:spacing w:val="-34"/>
          <w:sz w:val="28"/>
          <w:szCs w:val="28"/>
        </w:rPr>
        <w:t xml:space="preserve"> </w:t>
      </w:r>
      <w:r>
        <w:rPr>
          <w:rFonts w:ascii="仿宋" w:hAnsi="仿宋" w:eastAsia="仿宋" w:cs="仿宋"/>
          <w:spacing w:val="5"/>
          <w:sz w:val="28"/>
          <w:szCs w:val="28"/>
        </w:rPr>
        <w:t>89%、81%</w:t>
      </w:r>
      <w:r>
        <w:rPr>
          <w:rFonts w:ascii="仿宋" w:hAnsi="仿宋" w:eastAsia="仿宋" w:cs="仿宋"/>
          <w:spacing w:val="4"/>
          <w:sz w:val="28"/>
          <w:szCs w:val="28"/>
        </w:rPr>
        <w:t>、74%，绿化率分</w:t>
      </w:r>
      <w:r>
        <w:rPr>
          <w:rFonts w:ascii="仿宋" w:hAnsi="仿宋" w:eastAsia="仿宋" w:cs="仿宋"/>
          <w:spacing w:val="1"/>
          <w:sz w:val="28"/>
          <w:szCs w:val="28"/>
        </w:rPr>
        <w:t>别为</w:t>
      </w:r>
      <w:r>
        <w:rPr>
          <w:rFonts w:ascii="仿宋" w:hAnsi="仿宋" w:eastAsia="仿宋" w:cs="仿宋"/>
          <w:spacing w:val="-29"/>
          <w:sz w:val="28"/>
          <w:szCs w:val="28"/>
        </w:rPr>
        <w:t xml:space="preserve"> </w:t>
      </w:r>
      <w:r>
        <w:rPr>
          <w:rFonts w:ascii="仿宋" w:hAnsi="仿宋" w:eastAsia="仿宋" w:cs="仿宋"/>
          <w:spacing w:val="1"/>
          <w:sz w:val="28"/>
          <w:szCs w:val="28"/>
        </w:rPr>
        <w:t>94%、74.3%、60%。全市农村公路管养工作连续十几年名列全省前茅，</w:t>
      </w:r>
      <w:r>
        <w:rPr>
          <w:rFonts w:ascii="仿宋" w:hAnsi="仿宋" w:eastAsia="仿宋" w:cs="仿宋"/>
          <w:spacing w:val="7"/>
          <w:sz w:val="28"/>
          <w:szCs w:val="28"/>
        </w:rPr>
        <w:t>尤其在</w:t>
      </w:r>
      <w:r>
        <w:rPr>
          <w:rFonts w:ascii="仿宋" w:hAnsi="仿宋" w:eastAsia="仿宋" w:cs="仿宋"/>
          <w:spacing w:val="-34"/>
          <w:sz w:val="28"/>
          <w:szCs w:val="28"/>
        </w:rPr>
        <w:t xml:space="preserve"> </w:t>
      </w:r>
      <w:r>
        <w:rPr>
          <w:rFonts w:ascii="仿宋" w:hAnsi="仿宋" w:eastAsia="仿宋" w:cs="仿宋"/>
          <w:spacing w:val="7"/>
          <w:sz w:val="28"/>
          <w:szCs w:val="28"/>
        </w:rPr>
        <w:t>2018</w:t>
      </w:r>
      <w:r>
        <w:rPr>
          <w:rFonts w:ascii="仿宋" w:hAnsi="仿宋" w:eastAsia="仿宋" w:cs="仿宋"/>
          <w:spacing w:val="-43"/>
          <w:sz w:val="28"/>
          <w:szCs w:val="28"/>
        </w:rPr>
        <w:t xml:space="preserve"> </w:t>
      </w:r>
      <w:r>
        <w:rPr>
          <w:rFonts w:ascii="仿宋" w:hAnsi="仿宋" w:eastAsia="仿宋" w:cs="仿宋"/>
          <w:spacing w:val="7"/>
          <w:sz w:val="28"/>
          <w:szCs w:val="28"/>
        </w:rPr>
        <w:t>年的全省考核中获评全省第一</w:t>
      </w:r>
      <w:r>
        <w:rPr>
          <w:rFonts w:ascii="仿宋" w:hAnsi="仿宋" w:eastAsia="仿宋" w:cs="仿宋"/>
          <w:spacing w:val="6"/>
          <w:sz w:val="28"/>
          <w:szCs w:val="28"/>
        </w:rPr>
        <w:t>，</w:t>
      </w:r>
      <w:r>
        <w:rPr>
          <w:rFonts w:ascii="仿宋" w:hAnsi="仿宋" w:eastAsia="仿宋" w:cs="仿宋"/>
          <w:spacing w:val="-72"/>
          <w:sz w:val="28"/>
          <w:szCs w:val="28"/>
        </w:rPr>
        <w:t xml:space="preserve"> </w:t>
      </w:r>
      <w:r>
        <w:rPr>
          <w:rFonts w:ascii="仿宋" w:hAnsi="仿宋" w:eastAsia="仿宋" w:cs="仿宋"/>
          <w:spacing w:val="6"/>
          <w:sz w:val="28"/>
          <w:szCs w:val="28"/>
        </w:rPr>
        <w:t>以美丽公路经济带建设促进</w:t>
      </w:r>
      <w:r>
        <w:rPr>
          <w:rFonts w:ascii="仿宋" w:hAnsi="仿宋" w:eastAsia="仿宋" w:cs="仿宋"/>
          <w:spacing w:val="5"/>
          <w:sz w:val="28"/>
          <w:szCs w:val="28"/>
        </w:rPr>
        <w:t>乡村振兴的效果逐渐显现。</w:t>
      </w:r>
    </w:p>
    <w:p w14:paraId="0E27951D">
      <w:pPr>
        <w:spacing w:before="51" w:line="222" w:lineRule="auto"/>
        <w:ind w:left="635"/>
        <w:outlineLvl w:val="1"/>
        <w:rPr>
          <w:rFonts w:ascii="黑体" w:hAnsi="黑体" w:eastAsia="黑体" w:cs="黑体"/>
          <w:sz w:val="30"/>
          <w:szCs w:val="30"/>
        </w:rPr>
      </w:pPr>
      <w:bookmarkStart w:id="12" w:name="bookmark11"/>
      <w:bookmarkEnd w:id="12"/>
      <w:r>
        <w:rPr>
          <w:rFonts w:ascii="黑体" w:hAnsi="黑体" w:eastAsia="黑体" w:cs="黑体"/>
          <w:spacing w:val="-6"/>
          <w:sz w:val="30"/>
          <w:szCs w:val="30"/>
        </w:rPr>
        <w:t>（二）存在问题</w:t>
      </w:r>
    </w:p>
    <w:p w14:paraId="177D3E70">
      <w:pPr>
        <w:spacing w:before="284" w:line="343" w:lineRule="auto"/>
        <w:ind w:left="33" w:right="84" w:firstLine="558"/>
        <w:jc w:val="both"/>
        <w:rPr>
          <w:rFonts w:ascii="仿宋" w:hAnsi="仿宋" w:eastAsia="仿宋" w:cs="仿宋"/>
          <w:sz w:val="28"/>
          <w:szCs w:val="28"/>
        </w:rPr>
      </w:pPr>
      <w:r>
        <w:rPr>
          <w:rFonts w:ascii="仿宋" w:hAnsi="仿宋" w:eastAsia="仿宋" w:cs="仿宋"/>
          <w:spacing w:val="4"/>
          <w:sz w:val="28"/>
          <w:szCs w:val="28"/>
        </w:rPr>
        <w:t>经过</w:t>
      </w:r>
      <w:r>
        <w:rPr>
          <w:rFonts w:ascii="仿宋" w:hAnsi="仿宋" w:eastAsia="仿宋" w:cs="仿宋"/>
          <w:spacing w:val="-102"/>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十三五”期间的建设与发展，全市综合交通运输体系建</w:t>
      </w:r>
      <w:r>
        <w:rPr>
          <w:rFonts w:ascii="仿宋" w:hAnsi="仿宋" w:eastAsia="仿宋" w:cs="仿宋"/>
          <w:spacing w:val="3"/>
          <w:sz w:val="28"/>
          <w:szCs w:val="28"/>
        </w:rPr>
        <w:t>设取得了显著成效，较好地完成了</w:t>
      </w:r>
      <w:r>
        <w:rPr>
          <w:rFonts w:ascii="仿宋" w:hAnsi="仿宋" w:eastAsia="仿宋" w:cs="仿宋"/>
          <w:spacing w:val="-82"/>
          <w:sz w:val="28"/>
          <w:szCs w:val="28"/>
        </w:rPr>
        <w:t xml:space="preserve"> </w:t>
      </w:r>
      <w:r>
        <w:rPr>
          <w:rFonts w:ascii="仿宋" w:hAnsi="仿宋" w:eastAsia="仿宋" w:cs="仿宋"/>
          <w:spacing w:val="3"/>
          <w:sz w:val="28"/>
          <w:szCs w:val="28"/>
        </w:rPr>
        <w:t>“</w:t>
      </w:r>
      <w:r>
        <w:rPr>
          <w:rFonts w:ascii="仿宋" w:hAnsi="仿宋" w:eastAsia="仿宋" w:cs="仿宋"/>
          <w:spacing w:val="-110"/>
          <w:sz w:val="28"/>
          <w:szCs w:val="28"/>
        </w:rPr>
        <w:t xml:space="preserve"> </w:t>
      </w:r>
      <w:r>
        <w:rPr>
          <w:rFonts w:ascii="仿宋" w:hAnsi="仿宋" w:eastAsia="仿宋" w:cs="仿宋"/>
          <w:spacing w:val="3"/>
          <w:sz w:val="28"/>
          <w:szCs w:val="28"/>
        </w:rPr>
        <w:t>十三五”规划目标。但与曲靖建设成为云南</w:t>
      </w:r>
      <w:r>
        <w:rPr>
          <w:rFonts w:ascii="仿宋" w:hAnsi="仿宋" w:eastAsia="仿宋" w:cs="仿宋"/>
          <w:spacing w:val="6"/>
          <w:sz w:val="28"/>
          <w:szCs w:val="28"/>
        </w:rPr>
        <w:t>副中心城市，实现综合交通运输高质量发展的要求，还存在以下问题：</w:t>
      </w:r>
    </w:p>
    <w:p w14:paraId="52EB16E5">
      <w:pPr>
        <w:spacing w:before="1" w:line="343" w:lineRule="auto"/>
        <w:ind w:left="5" w:firstLine="555"/>
        <w:jc w:val="both"/>
        <w:rPr>
          <w:rFonts w:ascii="仿宋" w:hAnsi="仿宋" w:eastAsia="仿宋" w:cs="仿宋"/>
          <w:sz w:val="28"/>
          <w:szCs w:val="28"/>
        </w:rPr>
      </w:pPr>
      <w:r>
        <w:rPr>
          <w:rFonts w:ascii="仿宋" w:hAnsi="仿宋" w:eastAsia="仿宋" w:cs="仿宋"/>
          <w:b/>
          <w:bCs/>
          <w:spacing w:val="-1"/>
          <w:sz w:val="28"/>
          <w:szCs w:val="28"/>
        </w:rPr>
        <w:t>（</w:t>
      </w:r>
      <w:r>
        <w:rPr>
          <w:rFonts w:ascii="仿宋" w:hAnsi="仿宋" w:eastAsia="仿宋" w:cs="仿宋"/>
          <w:spacing w:val="-72"/>
          <w:sz w:val="28"/>
          <w:szCs w:val="28"/>
        </w:rPr>
        <w:t xml:space="preserve"> </w:t>
      </w:r>
      <w:r>
        <w:rPr>
          <w:rFonts w:ascii="仿宋" w:hAnsi="仿宋" w:eastAsia="仿宋" w:cs="仿宋"/>
          <w:b/>
          <w:bCs/>
          <w:spacing w:val="-1"/>
          <w:sz w:val="28"/>
          <w:szCs w:val="28"/>
        </w:rPr>
        <w:t>1）综合交通网络结构有待优化完善。</w:t>
      </w:r>
      <w:r>
        <w:rPr>
          <w:rFonts w:ascii="仿宋" w:hAnsi="仿宋" w:eastAsia="仿宋" w:cs="仿宋"/>
          <w:spacing w:val="-1"/>
          <w:sz w:val="28"/>
          <w:szCs w:val="28"/>
        </w:rPr>
        <w:t>铁路网总体呈现</w:t>
      </w:r>
      <w:r>
        <w:rPr>
          <w:rFonts w:ascii="仿宋" w:hAnsi="仿宋" w:eastAsia="仿宋" w:cs="仿宋"/>
          <w:spacing w:val="-2"/>
          <w:sz w:val="28"/>
          <w:szCs w:val="28"/>
        </w:rPr>
        <w:t>有纬线、无经</w:t>
      </w:r>
      <w:r>
        <w:rPr>
          <w:rFonts w:ascii="仿宋" w:hAnsi="仿宋" w:eastAsia="仿宋" w:cs="仿宋"/>
          <w:spacing w:val="-6"/>
          <w:sz w:val="28"/>
          <w:szCs w:val="28"/>
        </w:rPr>
        <w:t>线的格局，南北纵向北连川渝、南达河</w:t>
      </w:r>
      <w:r>
        <w:rPr>
          <w:rFonts w:ascii="仿宋" w:hAnsi="仿宋" w:eastAsia="仿宋" w:cs="仿宋"/>
          <w:spacing w:val="-79"/>
          <w:sz w:val="28"/>
          <w:szCs w:val="28"/>
        </w:rPr>
        <w:t xml:space="preserve"> </w:t>
      </w:r>
      <w:r>
        <w:rPr>
          <w:rFonts w:ascii="仿宋" w:hAnsi="仿宋" w:eastAsia="仿宋" w:cs="仿宋"/>
          <w:spacing w:val="-6"/>
          <w:sz w:val="28"/>
          <w:szCs w:val="28"/>
        </w:rPr>
        <w:t>口（</w:t>
      </w:r>
      <w:r>
        <w:rPr>
          <w:rFonts w:ascii="仿宋" w:hAnsi="仿宋" w:eastAsia="仿宋" w:cs="仿宋"/>
          <w:spacing w:val="-58"/>
          <w:sz w:val="28"/>
          <w:szCs w:val="28"/>
        </w:rPr>
        <w:t xml:space="preserve"> </w:t>
      </w:r>
      <w:r>
        <w:rPr>
          <w:rFonts w:ascii="仿宋" w:hAnsi="仿宋" w:eastAsia="仿宋" w:cs="仿宋"/>
          <w:spacing w:val="-6"/>
          <w:sz w:val="28"/>
          <w:szCs w:val="28"/>
        </w:rPr>
        <w:t>出境）缺乏铁路大</w:t>
      </w:r>
      <w:r>
        <w:rPr>
          <w:rFonts w:ascii="仿宋" w:hAnsi="仿宋" w:eastAsia="仿宋" w:cs="仿宋"/>
          <w:spacing w:val="-7"/>
          <w:sz w:val="28"/>
          <w:szCs w:val="28"/>
        </w:rPr>
        <w:t>通道，支线铁</w:t>
      </w:r>
      <w:r>
        <w:rPr>
          <w:rFonts w:ascii="仿宋" w:hAnsi="仿宋" w:eastAsia="仿宋" w:cs="仿宋"/>
          <w:spacing w:val="-2"/>
          <w:sz w:val="28"/>
          <w:szCs w:val="28"/>
        </w:rPr>
        <w:t>路相对不足，路网结构尚未形成网络化；已通车的铁路仅在昆明交汇，相互联系不足，不利于交通组织和人员物资集散，特别是西南区域人员物资流动需辗转绕行，路网格局亟待优化。公路骨架路网已基本形成，但路网结构有待优化完善，对外通道需进一步加强。尽管实现了县县通高速、村村通路的</w:t>
      </w:r>
      <w:r>
        <w:rPr>
          <w:rFonts w:ascii="仿宋" w:hAnsi="仿宋" w:eastAsia="仿宋" w:cs="仿宋"/>
          <w:spacing w:val="-10"/>
          <w:sz w:val="28"/>
          <w:szCs w:val="28"/>
        </w:rPr>
        <w:t>基本目标，但整体路网技术等级偏低，高速公路仅为公路通车总里程</w:t>
      </w:r>
      <w:r>
        <w:rPr>
          <w:rFonts w:ascii="仿宋" w:hAnsi="仿宋" w:eastAsia="仿宋" w:cs="仿宋"/>
          <w:spacing w:val="-11"/>
          <w:sz w:val="28"/>
          <w:szCs w:val="28"/>
        </w:rPr>
        <w:t>的</w:t>
      </w:r>
      <w:r>
        <w:rPr>
          <w:rFonts w:ascii="仿宋" w:hAnsi="仿宋" w:eastAsia="仿宋" w:cs="仿宋"/>
          <w:spacing w:val="-37"/>
          <w:sz w:val="28"/>
          <w:szCs w:val="28"/>
        </w:rPr>
        <w:t xml:space="preserve"> </w:t>
      </w:r>
      <w:r>
        <w:rPr>
          <w:rFonts w:ascii="仿宋" w:hAnsi="仿宋" w:eastAsia="仿宋" w:cs="仿宋"/>
          <w:spacing w:val="-11"/>
          <w:sz w:val="28"/>
          <w:szCs w:val="28"/>
        </w:rPr>
        <w:t>3.9%，</w:t>
      </w:r>
      <w:r>
        <w:rPr>
          <w:rFonts w:ascii="仿宋" w:hAnsi="仿宋" w:eastAsia="仿宋" w:cs="仿宋"/>
          <w:spacing w:val="-3"/>
          <w:sz w:val="28"/>
          <w:szCs w:val="28"/>
        </w:rPr>
        <w:t>二级及以上公路仅占公路总里程的</w:t>
      </w:r>
      <w:r>
        <w:rPr>
          <w:rFonts w:ascii="仿宋" w:hAnsi="仿宋" w:eastAsia="仿宋" w:cs="仿宋"/>
          <w:spacing w:val="-35"/>
          <w:sz w:val="28"/>
          <w:szCs w:val="28"/>
        </w:rPr>
        <w:t xml:space="preserve"> </w:t>
      </w:r>
      <w:r>
        <w:rPr>
          <w:rFonts w:ascii="仿宋" w:hAnsi="仿宋" w:eastAsia="仿宋" w:cs="仿宋"/>
          <w:spacing w:val="-3"/>
          <w:sz w:val="28"/>
          <w:szCs w:val="28"/>
        </w:rPr>
        <w:t>7.5%。部分农村公路路基路面结构薄弱，</w:t>
      </w:r>
    </w:p>
    <w:p w14:paraId="3EE21CCC">
      <w:pPr>
        <w:spacing w:line="343" w:lineRule="auto"/>
        <w:rPr>
          <w:rFonts w:ascii="仿宋" w:hAnsi="仿宋" w:eastAsia="仿宋" w:cs="仿宋"/>
          <w:sz w:val="28"/>
          <w:szCs w:val="28"/>
        </w:rPr>
        <w:sectPr>
          <w:headerReference r:id="rId33" w:type="default"/>
          <w:footerReference r:id="rId34" w:type="default"/>
          <w:pgSz w:w="11906" w:h="16839"/>
          <w:pgMar w:top="1222" w:right="1508" w:bottom="1156" w:left="1134" w:header="885" w:footer="920" w:gutter="0"/>
          <w:cols w:space="720" w:num="1"/>
        </w:sectPr>
      </w:pPr>
    </w:p>
    <w:p w14:paraId="2B3CD8B6">
      <w:pPr>
        <w:pStyle w:val="2"/>
        <w:spacing w:line="276" w:lineRule="auto"/>
      </w:pPr>
    </w:p>
    <w:p w14:paraId="446A437D">
      <w:pPr>
        <w:spacing w:before="91" w:line="343" w:lineRule="auto"/>
        <w:ind w:left="6" w:right="77" w:firstLine="10"/>
        <w:jc w:val="both"/>
        <w:rPr>
          <w:rFonts w:ascii="仿宋" w:hAnsi="仿宋" w:eastAsia="仿宋" w:cs="仿宋"/>
          <w:sz w:val="28"/>
          <w:szCs w:val="28"/>
        </w:rPr>
      </w:pPr>
      <w:r>
        <w:rPr>
          <w:rFonts w:ascii="仿宋" w:hAnsi="仿宋" w:eastAsia="仿宋" w:cs="仿宋"/>
          <w:spacing w:val="-2"/>
          <w:sz w:val="28"/>
          <w:szCs w:val="28"/>
        </w:rPr>
        <w:t>路面铺装状况较差，排水、防护、安保工程等设施缺乏，抗灾</w:t>
      </w:r>
      <w:r>
        <w:rPr>
          <w:rFonts w:ascii="仿宋" w:hAnsi="仿宋" w:eastAsia="仿宋" w:cs="仿宋"/>
          <w:spacing w:val="-3"/>
          <w:sz w:val="28"/>
          <w:szCs w:val="28"/>
        </w:rPr>
        <w:t>害能力普遍较</w:t>
      </w:r>
      <w:r>
        <w:rPr>
          <w:rFonts w:ascii="仿宋" w:hAnsi="仿宋" w:eastAsia="仿宋" w:cs="仿宋"/>
          <w:spacing w:val="-2"/>
          <w:sz w:val="28"/>
          <w:szCs w:val="28"/>
        </w:rPr>
        <w:t>低。航空运输主要借助昆明长水国际机场，民航机场空白，有待加快发展。水运建设项目因资金匮乏等原因推进慢，水运基础设施不完善，港口码头规</w:t>
      </w:r>
      <w:r>
        <w:rPr>
          <w:rFonts w:ascii="仿宋" w:hAnsi="仿宋" w:eastAsia="仿宋" w:cs="仿宋"/>
          <w:spacing w:val="-1"/>
          <w:sz w:val="28"/>
          <w:szCs w:val="28"/>
        </w:rPr>
        <w:t>模化和专业化水平低，行业管理水平有待提升。</w:t>
      </w:r>
    </w:p>
    <w:p w14:paraId="0A303B83">
      <w:pPr>
        <w:spacing w:before="7" w:line="342" w:lineRule="auto"/>
        <w:ind w:left="6" w:right="77" w:firstLine="554"/>
        <w:jc w:val="both"/>
        <w:rPr>
          <w:rFonts w:ascii="仿宋" w:hAnsi="仿宋" w:eastAsia="仿宋" w:cs="仿宋"/>
          <w:sz w:val="28"/>
          <w:szCs w:val="28"/>
        </w:rPr>
      </w:pPr>
      <w:r>
        <w:rPr>
          <w:rFonts w:ascii="仿宋" w:hAnsi="仿宋" w:eastAsia="仿宋" w:cs="仿宋"/>
          <w:b/>
          <w:bCs/>
          <w:spacing w:val="-1"/>
          <w:sz w:val="28"/>
          <w:szCs w:val="28"/>
        </w:rPr>
        <w:t>（</w:t>
      </w:r>
      <w:r>
        <w:rPr>
          <w:rFonts w:ascii="仿宋" w:hAnsi="仿宋" w:eastAsia="仿宋" w:cs="仿宋"/>
          <w:spacing w:val="-78"/>
          <w:sz w:val="28"/>
          <w:szCs w:val="28"/>
        </w:rPr>
        <w:t xml:space="preserve"> </w:t>
      </w:r>
      <w:r>
        <w:rPr>
          <w:rFonts w:ascii="仿宋" w:hAnsi="仿宋" w:eastAsia="仿宋" w:cs="仿宋"/>
          <w:b/>
          <w:bCs/>
          <w:spacing w:val="-1"/>
          <w:sz w:val="28"/>
          <w:szCs w:val="28"/>
        </w:rPr>
        <w:t>2）综合运输枢纽场站建设相对滞后。</w:t>
      </w:r>
      <w:r>
        <w:rPr>
          <w:rFonts w:ascii="仿宋" w:hAnsi="仿宋" w:eastAsia="仿宋" w:cs="仿宋"/>
          <w:spacing w:val="-1"/>
          <w:sz w:val="28"/>
          <w:szCs w:val="28"/>
        </w:rPr>
        <w:t>现有客运站中一、二级站占比</w:t>
      </w:r>
      <w:r>
        <w:rPr>
          <w:rFonts w:ascii="仿宋" w:hAnsi="仿宋" w:eastAsia="仿宋" w:cs="仿宋"/>
          <w:spacing w:val="-2"/>
          <w:sz w:val="28"/>
          <w:szCs w:val="28"/>
        </w:rPr>
        <w:t>较高，但设施功能、服务水平略显落后，缺乏大型的、具有综合服务功能的综合客运枢纽站；由于各种运输方式一体化融合程度不高，综合枢纽功能没有得到充分的发挥；部分乡镇客运站未得到充分运营，需要探索运营管理新模式。货运物流场站规模较小且功能单一，专业化、标准化的物流园区建设明显滞后，运输组织化程度不高，运输效率较低，难以发挥产业集群效应。</w:t>
      </w:r>
    </w:p>
    <w:p w14:paraId="081A959F">
      <w:pPr>
        <w:spacing w:before="17" w:line="342" w:lineRule="auto"/>
        <w:ind w:left="5" w:firstLine="555"/>
        <w:jc w:val="both"/>
        <w:rPr>
          <w:rFonts w:ascii="仿宋" w:hAnsi="仿宋" w:eastAsia="仿宋" w:cs="仿宋"/>
          <w:sz w:val="28"/>
          <w:szCs w:val="28"/>
        </w:rPr>
      </w:pPr>
      <w:r>
        <w:rPr>
          <w:rFonts w:ascii="仿宋" w:hAnsi="仿宋" w:eastAsia="仿宋" w:cs="仿宋"/>
          <w:b/>
          <w:bCs/>
          <w:spacing w:val="-8"/>
          <w:sz w:val="28"/>
          <w:szCs w:val="28"/>
        </w:rPr>
        <w:t>（</w:t>
      </w:r>
      <w:r>
        <w:rPr>
          <w:rFonts w:ascii="仿宋" w:hAnsi="仿宋" w:eastAsia="仿宋" w:cs="仿宋"/>
          <w:spacing w:val="-56"/>
          <w:sz w:val="28"/>
          <w:szCs w:val="28"/>
        </w:rPr>
        <w:t xml:space="preserve"> </w:t>
      </w:r>
      <w:r>
        <w:rPr>
          <w:rFonts w:ascii="仿宋" w:hAnsi="仿宋" w:eastAsia="仿宋" w:cs="仿宋"/>
          <w:b/>
          <w:bCs/>
          <w:spacing w:val="-8"/>
          <w:sz w:val="28"/>
          <w:szCs w:val="28"/>
        </w:rPr>
        <w:t>3）运输服务品质需进一步改进提升。</w:t>
      </w:r>
      <w:r>
        <w:rPr>
          <w:rFonts w:ascii="仿宋" w:hAnsi="仿宋" w:eastAsia="仿宋" w:cs="仿宋"/>
          <w:spacing w:val="-8"/>
          <w:sz w:val="28"/>
          <w:szCs w:val="28"/>
        </w:rPr>
        <w:t>公路和铁路运输方式相对独立，</w:t>
      </w:r>
      <w:r>
        <w:rPr>
          <w:rFonts w:ascii="仿宋" w:hAnsi="仿宋" w:eastAsia="仿宋" w:cs="仿宋"/>
          <w:sz w:val="28"/>
          <w:szCs w:val="28"/>
        </w:rPr>
        <w:t xml:space="preserve"> </w:t>
      </w:r>
      <w:r>
        <w:rPr>
          <w:rFonts w:ascii="仿宋" w:hAnsi="仿宋" w:eastAsia="仿宋" w:cs="仿宋"/>
          <w:spacing w:val="-8"/>
          <w:sz w:val="28"/>
          <w:szCs w:val="28"/>
        </w:rPr>
        <w:t>“公转铁”效果不明显，多式联运有待加快推进；交通物流业发展相对滞后，</w:t>
      </w:r>
      <w:r>
        <w:rPr>
          <w:rFonts w:ascii="仿宋" w:hAnsi="仿宋" w:eastAsia="仿宋" w:cs="仿宋"/>
          <w:spacing w:val="-3"/>
          <w:sz w:val="28"/>
          <w:szCs w:val="28"/>
        </w:rPr>
        <w:t>与构建</w:t>
      </w:r>
      <w:r>
        <w:rPr>
          <w:rFonts w:ascii="仿宋" w:hAnsi="仿宋" w:eastAsia="仿宋" w:cs="仿宋"/>
          <w:spacing w:val="-102"/>
          <w:sz w:val="28"/>
          <w:szCs w:val="28"/>
        </w:rPr>
        <w:t xml:space="preserve"> </w:t>
      </w:r>
      <w:r>
        <w:rPr>
          <w:rFonts w:ascii="仿宋" w:hAnsi="仿宋" w:eastAsia="仿宋" w:cs="仿宋"/>
          <w:spacing w:val="-3"/>
          <w:sz w:val="28"/>
          <w:szCs w:val="28"/>
        </w:rPr>
        <w:t>“大交通、大运输、大物流”的总体要求不相适应。道路运输现阶段</w:t>
      </w:r>
      <w:r>
        <w:rPr>
          <w:rFonts w:ascii="仿宋" w:hAnsi="仿宋" w:eastAsia="仿宋" w:cs="仿宋"/>
          <w:spacing w:val="-2"/>
          <w:sz w:val="28"/>
          <w:szCs w:val="28"/>
        </w:rPr>
        <w:t>普遍推行的经营方式，与集约化经营及安全管理的要求不相适应；农村客运发展不平衡，缺乏激励机制，与建设社会主义新农村的要求不相适应。公交基础设施建设相对滞后，公交线路需进一步优化与扩大服务范围，新能源车</w:t>
      </w:r>
      <w:r>
        <w:rPr>
          <w:rFonts w:ascii="仿宋" w:hAnsi="仿宋" w:eastAsia="仿宋" w:cs="仿宋"/>
          <w:spacing w:val="-8"/>
          <w:sz w:val="28"/>
          <w:szCs w:val="28"/>
        </w:rPr>
        <w:t>辆占比低，公交科技投入有待加强。出租车公司规模小，公司化经营程度低，</w:t>
      </w:r>
      <w:r>
        <w:rPr>
          <w:rFonts w:ascii="仿宋" w:hAnsi="仿宋" w:eastAsia="仿宋" w:cs="仿宋"/>
          <w:spacing w:val="-2"/>
          <w:sz w:val="28"/>
          <w:szCs w:val="28"/>
        </w:rPr>
        <w:t>管理较为松散；行业管理、市场准入、退出制度不健全。邮政业不适应、不平衡、不协调问题依然突出，总体规模不够大，行业发展方式粗放，行业科技、人才资源较少，产业协同能力不够；快递业发展模式单一，呈现“进多出少”的态势，产品较为单一；快递企业经营模式多为加盟制，邮政业市场竞争秩序有待规范，行业同质化竞争激烈，信息化水平仍然较低。行业监管</w:t>
      </w:r>
      <w:r>
        <w:rPr>
          <w:rFonts w:ascii="仿宋" w:hAnsi="仿宋" w:eastAsia="仿宋" w:cs="仿宋"/>
          <w:spacing w:val="-1"/>
          <w:sz w:val="28"/>
          <w:szCs w:val="28"/>
        </w:rPr>
        <w:t>能力有待提升，行业监管体系亟待完善。</w:t>
      </w:r>
    </w:p>
    <w:p w14:paraId="35FCD304">
      <w:pPr>
        <w:spacing w:before="1" w:line="343" w:lineRule="auto"/>
        <w:ind w:left="15" w:right="74" w:firstLine="545"/>
        <w:jc w:val="both"/>
        <w:rPr>
          <w:rFonts w:ascii="仿宋" w:hAnsi="仿宋" w:eastAsia="仿宋" w:cs="仿宋"/>
          <w:sz w:val="28"/>
          <w:szCs w:val="28"/>
        </w:rPr>
      </w:pPr>
      <w:r>
        <w:rPr>
          <w:rFonts w:ascii="仿宋" w:hAnsi="仿宋" w:eastAsia="仿宋" w:cs="仿宋"/>
          <w:b/>
          <w:bCs/>
          <w:spacing w:val="-1"/>
          <w:sz w:val="28"/>
          <w:szCs w:val="28"/>
        </w:rPr>
        <w:t>（</w:t>
      </w:r>
      <w:r>
        <w:rPr>
          <w:rFonts w:ascii="仿宋" w:hAnsi="仿宋" w:eastAsia="仿宋" w:cs="仿宋"/>
          <w:spacing w:val="-82"/>
          <w:sz w:val="28"/>
          <w:szCs w:val="28"/>
        </w:rPr>
        <w:t xml:space="preserve"> </w:t>
      </w:r>
      <w:r>
        <w:rPr>
          <w:rFonts w:ascii="仿宋" w:hAnsi="仿宋" w:eastAsia="仿宋" w:cs="仿宋"/>
          <w:b/>
          <w:bCs/>
          <w:spacing w:val="-1"/>
          <w:sz w:val="28"/>
          <w:szCs w:val="28"/>
        </w:rPr>
        <w:t>4）智慧交通建设尚未形成信息资源互通共享。</w:t>
      </w:r>
      <w:r>
        <w:rPr>
          <w:rFonts w:ascii="仿宋" w:hAnsi="仿宋" w:eastAsia="仿宋" w:cs="仿宋"/>
          <w:spacing w:val="-1"/>
          <w:sz w:val="28"/>
          <w:szCs w:val="28"/>
        </w:rPr>
        <w:t>智</w:t>
      </w:r>
      <w:r>
        <w:rPr>
          <w:rFonts w:ascii="仿宋" w:hAnsi="仿宋" w:eastAsia="仿宋" w:cs="仿宋"/>
          <w:spacing w:val="-2"/>
          <w:sz w:val="28"/>
          <w:szCs w:val="28"/>
        </w:rPr>
        <w:t>慧交通建设存在信息孤岛，各级单位之间信息不能共享互通，路况实时监测例如桥梁、隧</w:t>
      </w:r>
      <w:r>
        <w:rPr>
          <w:rFonts w:ascii="仿宋" w:hAnsi="仿宋" w:eastAsia="仿宋" w:cs="仿宋"/>
          <w:spacing w:val="-3"/>
          <w:sz w:val="28"/>
          <w:szCs w:val="28"/>
        </w:rPr>
        <w:t>道、</w:t>
      </w:r>
      <w:r>
        <w:rPr>
          <w:rFonts w:ascii="仿宋" w:hAnsi="仿宋" w:eastAsia="仿宋" w:cs="仿宋"/>
          <w:spacing w:val="-2"/>
          <w:sz w:val="28"/>
          <w:szCs w:val="28"/>
        </w:rPr>
        <w:t>敏感地质边坡区域等缺乏实时信息反馈。信息系统建设顶层设</w:t>
      </w:r>
      <w:r>
        <w:rPr>
          <w:rFonts w:ascii="仿宋" w:hAnsi="仿宋" w:eastAsia="仿宋" w:cs="仿宋"/>
          <w:spacing w:val="-3"/>
          <w:sz w:val="28"/>
          <w:szCs w:val="28"/>
        </w:rPr>
        <w:t>计调控力度不</w:t>
      </w:r>
    </w:p>
    <w:p w14:paraId="39821532">
      <w:pPr>
        <w:spacing w:line="343" w:lineRule="auto"/>
        <w:rPr>
          <w:rFonts w:ascii="仿宋" w:hAnsi="仿宋" w:eastAsia="仿宋" w:cs="仿宋"/>
          <w:sz w:val="28"/>
          <w:szCs w:val="28"/>
        </w:rPr>
        <w:sectPr>
          <w:headerReference r:id="rId35" w:type="default"/>
          <w:footerReference r:id="rId36" w:type="default"/>
          <w:pgSz w:w="11906" w:h="16839"/>
          <w:pgMar w:top="1222" w:right="1054" w:bottom="1156" w:left="1587" w:header="885" w:footer="920" w:gutter="0"/>
          <w:cols w:space="720" w:num="1"/>
        </w:sectPr>
      </w:pPr>
    </w:p>
    <w:p w14:paraId="4E1BD139">
      <w:pPr>
        <w:pStyle w:val="2"/>
        <w:spacing w:line="278" w:lineRule="auto"/>
      </w:pPr>
    </w:p>
    <w:p w14:paraId="50B7A8AB">
      <w:pPr>
        <w:spacing w:before="91" w:line="343" w:lineRule="auto"/>
        <w:ind w:left="1" w:right="72" w:firstLine="6"/>
        <w:jc w:val="both"/>
        <w:rPr>
          <w:rFonts w:ascii="仿宋" w:hAnsi="仿宋" w:eastAsia="仿宋" w:cs="仿宋"/>
          <w:sz w:val="28"/>
          <w:szCs w:val="28"/>
        </w:rPr>
      </w:pPr>
      <w:r>
        <w:rPr>
          <w:rFonts w:ascii="仿宋" w:hAnsi="仿宋" w:eastAsia="仿宋" w:cs="仿宋"/>
          <w:spacing w:val="-2"/>
          <w:sz w:val="28"/>
          <w:szCs w:val="28"/>
        </w:rPr>
        <w:t>够，重管理轻服务，各级乡镇信息化终端有待提升，存在标准不统一问题。信息化基础设施难以满足需求，各级公路管制、事故、阻塞等路况信息提示</w:t>
      </w:r>
      <w:r>
        <w:rPr>
          <w:rFonts w:ascii="仿宋" w:hAnsi="仿宋" w:eastAsia="仿宋" w:cs="仿宋"/>
          <w:sz w:val="28"/>
          <w:szCs w:val="28"/>
        </w:rPr>
        <w:t>情报板仍需继续补充。业务技术人员不足，缺乏资金</w:t>
      </w:r>
      <w:r>
        <w:rPr>
          <w:rFonts w:ascii="仿宋" w:hAnsi="仿宋" w:eastAsia="仿宋" w:cs="仿宋"/>
          <w:spacing w:val="-1"/>
          <w:sz w:val="28"/>
          <w:szCs w:val="28"/>
        </w:rPr>
        <w:t>支持。</w:t>
      </w:r>
    </w:p>
    <w:p w14:paraId="58A7CD87">
      <w:pPr>
        <w:spacing w:before="4" w:line="342" w:lineRule="auto"/>
        <w:ind w:left="21" w:right="72" w:firstLine="539"/>
        <w:rPr>
          <w:rFonts w:ascii="仿宋" w:hAnsi="仿宋" w:eastAsia="仿宋" w:cs="仿宋"/>
          <w:sz w:val="28"/>
          <w:szCs w:val="28"/>
        </w:rPr>
      </w:pPr>
      <w:r>
        <w:rPr>
          <w:rFonts w:ascii="仿宋" w:hAnsi="仿宋" w:eastAsia="仿宋" w:cs="仿宋"/>
          <w:b/>
          <w:bCs/>
          <w:spacing w:val="-1"/>
          <w:sz w:val="28"/>
          <w:szCs w:val="28"/>
        </w:rPr>
        <w:t>（</w:t>
      </w:r>
      <w:r>
        <w:rPr>
          <w:rFonts w:ascii="仿宋" w:hAnsi="仿宋" w:eastAsia="仿宋" w:cs="仿宋"/>
          <w:spacing w:val="-76"/>
          <w:sz w:val="28"/>
          <w:szCs w:val="28"/>
        </w:rPr>
        <w:t xml:space="preserve"> </w:t>
      </w:r>
      <w:r>
        <w:rPr>
          <w:rFonts w:ascii="仿宋" w:hAnsi="仿宋" w:eastAsia="仿宋" w:cs="仿宋"/>
          <w:b/>
          <w:bCs/>
          <w:spacing w:val="-1"/>
          <w:sz w:val="28"/>
          <w:szCs w:val="28"/>
        </w:rPr>
        <w:t>5）交通运输安全应急体系建设仍显薄弱。</w:t>
      </w:r>
      <w:r>
        <w:rPr>
          <w:rFonts w:ascii="仿宋" w:hAnsi="仿宋" w:eastAsia="仿宋" w:cs="仿宋"/>
          <w:spacing w:val="-1"/>
          <w:sz w:val="28"/>
          <w:szCs w:val="28"/>
        </w:rPr>
        <w:t>受资金短缺</w:t>
      </w:r>
      <w:r>
        <w:rPr>
          <w:rFonts w:ascii="仿宋" w:hAnsi="仿宋" w:eastAsia="仿宋" w:cs="仿宋"/>
          <w:spacing w:val="-2"/>
          <w:sz w:val="28"/>
          <w:szCs w:val="28"/>
        </w:rPr>
        <w:t>的影响，安全生产经费保障不足；重要交通设施运行监控设备建</w:t>
      </w:r>
      <w:r>
        <w:rPr>
          <w:rFonts w:ascii="仿宋" w:hAnsi="仿宋" w:eastAsia="仿宋" w:cs="仿宋"/>
          <w:spacing w:val="-3"/>
          <w:sz w:val="28"/>
          <w:szCs w:val="28"/>
        </w:rPr>
        <w:t>设滞后，安全生产信息共</w:t>
      </w:r>
      <w:r>
        <w:rPr>
          <w:rFonts w:ascii="仿宋" w:hAnsi="仿宋" w:eastAsia="仿宋" w:cs="仿宋"/>
          <w:spacing w:val="-2"/>
          <w:sz w:val="28"/>
          <w:szCs w:val="28"/>
        </w:rPr>
        <w:t>享水平、安全事故协调处置能力和应急处置能力有</w:t>
      </w:r>
      <w:r>
        <w:rPr>
          <w:rFonts w:ascii="仿宋" w:hAnsi="仿宋" w:eastAsia="仿宋" w:cs="仿宋"/>
          <w:spacing w:val="-3"/>
          <w:sz w:val="28"/>
          <w:szCs w:val="28"/>
        </w:rPr>
        <w:t>待提高；企业主体责任落</w:t>
      </w:r>
      <w:r>
        <w:rPr>
          <w:rFonts w:ascii="仿宋" w:hAnsi="仿宋" w:eastAsia="仿宋" w:cs="仿宋"/>
          <w:spacing w:val="-2"/>
          <w:sz w:val="28"/>
          <w:szCs w:val="28"/>
        </w:rPr>
        <w:t>实不到位，管理体制机制有待完善；交通运输行业</w:t>
      </w:r>
      <w:r>
        <w:rPr>
          <w:rFonts w:ascii="仿宋" w:hAnsi="仿宋" w:eastAsia="仿宋" w:cs="仿宋"/>
          <w:spacing w:val="-3"/>
          <w:sz w:val="28"/>
          <w:szCs w:val="28"/>
        </w:rPr>
        <w:t>机构繁多、职能交叉，难</w:t>
      </w:r>
      <w:r>
        <w:rPr>
          <w:rFonts w:ascii="仿宋" w:hAnsi="仿宋" w:eastAsia="仿宋" w:cs="仿宋"/>
          <w:spacing w:val="-1"/>
          <w:sz w:val="28"/>
          <w:szCs w:val="28"/>
        </w:rPr>
        <w:t>以形成管理合力，导致安全监管存在盲区、隐患排查整治不彻底。</w:t>
      </w:r>
    </w:p>
    <w:p w14:paraId="6799D06B">
      <w:pPr>
        <w:spacing w:line="343" w:lineRule="auto"/>
        <w:ind w:left="3" w:right="72" w:firstLine="557"/>
        <w:rPr>
          <w:rFonts w:ascii="仿宋" w:hAnsi="仿宋" w:eastAsia="仿宋" w:cs="仿宋"/>
          <w:sz w:val="28"/>
          <w:szCs w:val="28"/>
        </w:rPr>
      </w:pPr>
      <w:r>
        <w:rPr>
          <w:rFonts w:ascii="仿宋" w:hAnsi="仿宋" w:eastAsia="仿宋" w:cs="仿宋"/>
          <w:b/>
          <w:bCs/>
          <w:spacing w:val="-1"/>
          <w:sz w:val="28"/>
          <w:szCs w:val="28"/>
        </w:rPr>
        <w:t>（</w:t>
      </w:r>
      <w:r>
        <w:rPr>
          <w:rFonts w:ascii="仿宋" w:hAnsi="仿宋" w:eastAsia="仿宋" w:cs="仿宋"/>
          <w:spacing w:val="-73"/>
          <w:sz w:val="28"/>
          <w:szCs w:val="28"/>
        </w:rPr>
        <w:t xml:space="preserve"> </w:t>
      </w:r>
      <w:r>
        <w:rPr>
          <w:rFonts w:ascii="仿宋" w:hAnsi="仿宋" w:eastAsia="仿宋" w:cs="仿宋"/>
          <w:b/>
          <w:bCs/>
          <w:spacing w:val="-1"/>
          <w:sz w:val="28"/>
          <w:szCs w:val="28"/>
        </w:rPr>
        <w:t>6）绿色交通发展有待进一步增强。</w:t>
      </w:r>
      <w:r>
        <w:rPr>
          <w:rFonts w:ascii="仿宋" w:hAnsi="仿宋" w:eastAsia="仿宋" w:cs="仿宋"/>
          <w:spacing w:val="-1"/>
          <w:sz w:val="28"/>
          <w:szCs w:val="28"/>
        </w:rPr>
        <w:t>交通运输场站布局分散，枢纽化</w:t>
      </w:r>
      <w:r>
        <w:rPr>
          <w:rFonts w:ascii="仿宋" w:hAnsi="仿宋" w:eastAsia="仿宋" w:cs="仿宋"/>
          <w:spacing w:val="-2"/>
          <w:sz w:val="28"/>
          <w:szCs w:val="28"/>
        </w:rPr>
        <w:t>程度不高，绿色枢纽场站和物流园区建设有待加强。甩挂运输、多式联运等运输方式之间的衔接协调上还存在着一些体制机制性障碍，城市公交优先总体发展水平不高。节能减排技术应用相对较少，新能源车辆占比较低。交通运输行业节能减排专项政策相对不足，难以满足新时期绿色循环低碳交通运</w:t>
      </w:r>
      <w:r>
        <w:rPr>
          <w:rFonts w:ascii="仿宋" w:hAnsi="仿宋" w:eastAsia="仿宋" w:cs="仿宋"/>
          <w:spacing w:val="-1"/>
          <w:sz w:val="28"/>
          <w:szCs w:val="28"/>
        </w:rPr>
        <w:t>输发展的更高要求。</w:t>
      </w:r>
    </w:p>
    <w:p w14:paraId="0A4B6A88">
      <w:pPr>
        <w:spacing w:before="12" w:line="342" w:lineRule="auto"/>
        <w:ind w:left="6" w:firstLine="554"/>
        <w:rPr>
          <w:rFonts w:ascii="仿宋" w:hAnsi="仿宋" w:eastAsia="仿宋" w:cs="仿宋"/>
          <w:sz w:val="28"/>
          <w:szCs w:val="28"/>
        </w:rPr>
      </w:pPr>
      <w:r>
        <w:rPr>
          <w:rFonts w:ascii="仿宋" w:hAnsi="仿宋" w:eastAsia="仿宋" w:cs="仿宋"/>
          <w:b/>
          <w:bCs/>
          <w:spacing w:val="-1"/>
          <w:sz w:val="28"/>
          <w:szCs w:val="28"/>
        </w:rPr>
        <w:t>（</w:t>
      </w:r>
      <w:r>
        <w:rPr>
          <w:rFonts w:ascii="仿宋" w:hAnsi="仿宋" w:eastAsia="仿宋" w:cs="仿宋"/>
          <w:spacing w:val="-70"/>
          <w:sz w:val="28"/>
          <w:szCs w:val="28"/>
        </w:rPr>
        <w:t xml:space="preserve"> </w:t>
      </w:r>
      <w:r>
        <w:rPr>
          <w:rFonts w:ascii="仿宋" w:hAnsi="仿宋" w:eastAsia="仿宋" w:cs="仿宋"/>
          <w:b/>
          <w:bCs/>
          <w:spacing w:val="-1"/>
          <w:sz w:val="28"/>
          <w:szCs w:val="28"/>
        </w:rPr>
        <w:t>7）行业综合治理能力有待提升。</w:t>
      </w:r>
      <w:r>
        <w:rPr>
          <w:rFonts w:ascii="仿宋" w:hAnsi="仿宋" w:eastAsia="仿宋" w:cs="仿宋"/>
          <w:spacing w:val="-1"/>
          <w:sz w:val="28"/>
          <w:szCs w:val="28"/>
        </w:rPr>
        <w:t>随着多项改革相继落地，统筹推进</w:t>
      </w:r>
      <w:r>
        <w:rPr>
          <w:rFonts w:ascii="仿宋" w:hAnsi="仿宋" w:eastAsia="仿宋" w:cs="仿宋"/>
          <w:spacing w:val="-2"/>
          <w:sz w:val="28"/>
          <w:szCs w:val="28"/>
        </w:rPr>
        <w:t>公路、铁路、航空、水运等方式深度融合发展，有效理顺行业治理体系和行政执法体系，深化改革面临新的挑战；农村公路中“断头路”、村组路缺乏</w:t>
      </w:r>
      <w:r>
        <w:rPr>
          <w:rFonts w:ascii="仿宋" w:hAnsi="仿宋" w:eastAsia="仿宋" w:cs="仿宋"/>
          <w:sz w:val="28"/>
          <w:szCs w:val="28"/>
        </w:rPr>
        <w:t>政策支撑。路政管理体制不顺，同一行政区域内多家执法，出现管理交叉、</w:t>
      </w:r>
      <w:r>
        <w:rPr>
          <w:rFonts w:ascii="仿宋" w:hAnsi="仿宋" w:eastAsia="仿宋" w:cs="仿宋"/>
          <w:spacing w:val="-2"/>
          <w:sz w:val="28"/>
          <w:szCs w:val="28"/>
        </w:rPr>
        <w:t>职能交叉重叠；路政执法装备和技术手段相对滞后，管理队伍执法水平有待</w:t>
      </w:r>
      <w:r>
        <w:rPr>
          <w:rFonts w:ascii="仿宋" w:hAnsi="仿宋" w:eastAsia="仿宋" w:cs="仿宋"/>
          <w:spacing w:val="-8"/>
          <w:sz w:val="28"/>
          <w:szCs w:val="28"/>
        </w:rPr>
        <w:t>提升；治超环境有待改善，源头治超措施有待加强；相关法律法规有待健全，</w:t>
      </w:r>
      <w:r>
        <w:rPr>
          <w:rFonts w:ascii="仿宋" w:hAnsi="仿宋" w:eastAsia="仿宋" w:cs="仿宋"/>
          <w:spacing w:val="-2"/>
          <w:sz w:val="28"/>
          <w:szCs w:val="28"/>
        </w:rPr>
        <w:t>存在执行难、管理难、实施难的问题。公路养护管理模式有待创新，养护管</w:t>
      </w:r>
      <w:r>
        <w:rPr>
          <w:rFonts w:ascii="仿宋" w:hAnsi="仿宋" w:eastAsia="仿宋" w:cs="仿宋"/>
          <w:spacing w:val="-3"/>
          <w:sz w:val="28"/>
          <w:szCs w:val="28"/>
        </w:rPr>
        <w:t>理体制改革有待进一步优化；超期服役公路、</w:t>
      </w:r>
      <w:r>
        <w:rPr>
          <w:rFonts w:ascii="仿宋" w:hAnsi="仿宋" w:eastAsia="仿宋" w:cs="仿宋"/>
          <w:spacing w:val="-103"/>
          <w:sz w:val="28"/>
          <w:szCs w:val="28"/>
        </w:rPr>
        <w:t xml:space="preserve"> </w:t>
      </w:r>
      <w:r>
        <w:rPr>
          <w:rFonts w:ascii="仿宋" w:hAnsi="仿宋" w:eastAsia="仿宋" w:cs="仿宋"/>
          <w:spacing w:val="-3"/>
          <w:sz w:val="28"/>
          <w:szCs w:val="28"/>
        </w:rPr>
        <w:t>“油返砂、畅返不畅”现象逐</w:t>
      </w:r>
      <w:r>
        <w:rPr>
          <w:rFonts w:ascii="仿宋" w:hAnsi="仿宋" w:eastAsia="仿宋" w:cs="仿宋"/>
          <w:spacing w:val="-2"/>
          <w:sz w:val="28"/>
          <w:szCs w:val="28"/>
        </w:rPr>
        <w:t>步凸显。维修行业准入标准不够严格，企业管理不够规范，部分维修企业存</w:t>
      </w:r>
      <w:r>
        <w:rPr>
          <w:rFonts w:ascii="仿宋" w:hAnsi="仿宋" w:eastAsia="仿宋" w:cs="仿宋"/>
          <w:spacing w:val="-8"/>
          <w:sz w:val="28"/>
          <w:szCs w:val="28"/>
        </w:rPr>
        <w:t>在装备陈旧，市场秩序较为混乱。驾培行业培训质量和规范化管理有待提高，</w:t>
      </w:r>
    </w:p>
    <w:p w14:paraId="38F5F7AB">
      <w:pPr>
        <w:spacing w:before="1" w:line="217" w:lineRule="auto"/>
        <w:ind w:left="28"/>
        <w:rPr>
          <w:rFonts w:ascii="仿宋" w:hAnsi="仿宋" w:eastAsia="仿宋" w:cs="仿宋"/>
          <w:sz w:val="28"/>
          <w:szCs w:val="28"/>
        </w:rPr>
      </w:pPr>
      <w:r>
        <w:rPr>
          <w:rFonts w:ascii="仿宋" w:hAnsi="仿宋" w:eastAsia="仿宋" w:cs="仿宋"/>
          <w:spacing w:val="-3"/>
          <w:sz w:val="28"/>
          <w:szCs w:val="28"/>
        </w:rPr>
        <w:t>“应试教育”现象较为严重。</w:t>
      </w:r>
    </w:p>
    <w:p w14:paraId="4F075A43">
      <w:pPr>
        <w:spacing w:before="189" w:line="216" w:lineRule="auto"/>
        <w:ind w:left="560"/>
        <w:rPr>
          <w:rFonts w:ascii="仿宋" w:hAnsi="仿宋" w:eastAsia="仿宋" w:cs="仿宋"/>
          <w:sz w:val="28"/>
          <w:szCs w:val="28"/>
        </w:rPr>
      </w:pPr>
      <w:r>
        <w:rPr>
          <w:rFonts w:ascii="仿宋" w:hAnsi="仿宋" w:eastAsia="仿宋" w:cs="仿宋"/>
          <w:b/>
          <w:bCs/>
          <w:spacing w:val="-1"/>
          <w:sz w:val="28"/>
          <w:szCs w:val="28"/>
        </w:rPr>
        <w:t>（</w:t>
      </w:r>
      <w:r>
        <w:rPr>
          <w:rFonts w:ascii="仿宋" w:hAnsi="仿宋" w:eastAsia="仿宋" w:cs="仿宋"/>
          <w:spacing w:val="-76"/>
          <w:sz w:val="28"/>
          <w:szCs w:val="28"/>
        </w:rPr>
        <w:t xml:space="preserve"> </w:t>
      </w:r>
      <w:r>
        <w:rPr>
          <w:rFonts w:ascii="仿宋" w:hAnsi="仿宋" w:eastAsia="仿宋" w:cs="仿宋"/>
          <w:b/>
          <w:bCs/>
          <w:spacing w:val="-1"/>
          <w:sz w:val="28"/>
          <w:szCs w:val="28"/>
        </w:rPr>
        <w:t>8）交通发展资金需求与供给矛盾突出。</w:t>
      </w:r>
      <w:r>
        <w:rPr>
          <w:rFonts w:ascii="仿宋" w:hAnsi="仿宋" w:eastAsia="仿宋" w:cs="仿宋"/>
          <w:spacing w:val="-1"/>
          <w:sz w:val="28"/>
          <w:szCs w:val="28"/>
        </w:rPr>
        <w:t>交通运输行业资</w:t>
      </w:r>
      <w:r>
        <w:rPr>
          <w:rFonts w:ascii="仿宋" w:hAnsi="仿宋" w:eastAsia="仿宋" w:cs="仿宋"/>
          <w:spacing w:val="-2"/>
          <w:sz w:val="28"/>
          <w:szCs w:val="28"/>
        </w:rPr>
        <w:t>金投入相对</w:t>
      </w:r>
    </w:p>
    <w:p w14:paraId="2B60855A">
      <w:pPr>
        <w:spacing w:line="216" w:lineRule="auto"/>
        <w:rPr>
          <w:rFonts w:ascii="仿宋" w:hAnsi="仿宋" w:eastAsia="仿宋" w:cs="仿宋"/>
          <w:sz w:val="28"/>
          <w:szCs w:val="28"/>
        </w:rPr>
        <w:sectPr>
          <w:headerReference r:id="rId37" w:type="default"/>
          <w:footerReference r:id="rId38" w:type="default"/>
          <w:pgSz w:w="11906" w:h="16839"/>
          <w:pgMar w:top="1222" w:right="1510" w:bottom="1156" w:left="1134" w:header="885" w:footer="920" w:gutter="0"/>
          <w:cols w:space="720" w:num="1"/>
        </w:sectPr>
      </w:pPr>
    </w:p>
    <w:p w14:paraId="4EA3BE2A">
      <w:pPr>
        <w:pStyle w:val="2"/>
        <w:spacing w:line="278" w:lineRule="auto"/>
      </w:pPr>
    </w:p>
    <w:p w14:paraId="25A02E52">
      <w:pPr>
        <w:spacing w:before="91" w:line="343" w:lineRule="auto"/>
        <w:ind w:left="21" w:right="77" w:hanging="6"/>
        <w:rPr>
          <w:rFonts w:ascii="仿宋" w:hAnsi="仿宋" w:eastAsia="仿宋" w:cs="仿宋"/>
          <w:sz w:val="28"/>
          <w:szCs w:val="28"/>
        </w:rPr>
      </w:pPr>
      <w:r>
        <w:rPr>
          <w:rFonts w:ascii="仿宋" w:hAnsi="仿宋" w:eastAsia="仿宋" w:cs="仿宋"/>
          <w:spacing w:val="-2"/>
          <w:sz w:val="28"/>
          <w:szCs w:val="28"/>
        </w:rPr>
        <w:t>不足，交通建设、管养补助资金补助标准偏低，县级配套资金十</w:t>
      </w:r>
      <w:r>
        <w:rPr>
          <w:rFonts w:ascii="仿宋" w:hAnsi="仿宋" w:eastAsia="仿宋" w:cs="仿宋"/>
          <w:spacing w:val="-3"/>
          <w:sz w:val="28"/>
          <w:szCs w:val="28"/>
        </w:rPr>
        <w:t>分艰难，严</w:t>
      </w:r>
      <w:r>
        <w:rPr>
          <w:rFonts w:ascii="仿宋" w:hAnsi="仿宋" w:eastAsia="仿宋" w:cs="仿宋"/>
          <w:spacing w:val="-1"/>
          <w:sz w:val="28"/>
          <w:szCs w:val="28"/>
        </w:rPr>
        <w:t>重制约综合交通运输高质量发展的深入推进。</w:t>
      </w:r>
    </w:p>
    <w:p w14:paraId="05AA9311">
      <w:pPr>
        <w:spacing w:before="140" w:line="227" w:lineRule="auto"/>
        <w:ind w:left="657"/>
        <w:outlineLvl w:val="0"/>
        <w:rPr>
          <w:rFonts w:ascii="黑体" w:hAnsi="黑体" w:eastAsia="黑体" w:cs="黑体"/>
          <w:sz w:val="31"/>
          <w:szCs w:val="31"/>
        </w:rPr>
      </w:pPr>
      <w:bookmarkStart w:id="13" w:name="bookmark12"/>
      <w:bookmarkEnd w:id="13"/>
      <w:bookmarkStart w:id="14" w:name="bookmark13"/>
      <w:bookmarkEnd w:id="14"/>
      <w:r>
        <w:rPr>
          <w:rFonts w:ascii="黑体" w:hAnsi="黑体" w:eastAsia="黑体" w:cs="黑体"/>
          <w:b/>
          <w:bCs/>
          <w:spacing w:val="4"/>
          <w:sz w:val="31"/>
          <w:szCs w:val="31"/>
        </w:rPr>
        <w:t>二、形势研判</w:t>
      </w:r>
    </w:p>
    <w:p w14:paraId="64EBF90D">
      <w:pPr>
        <w:pStyle w:val="2"/>
        <w:spacing w:line="268" w:lineRule="auto"/>
      </w:pPr>
    </w:p>
    <w:p w14:paraId="6C5A09F1">
      <w:pPr>
        <w:spacing w:before="97" w:line="222" w:lineRule="auto"/>
        <w:ind w:left="635"/>
        <w:outlineLvl w:val="1"/>
        <w:rPr>
          <w:rFonts w:ascii="黑体" w:hAnsi="黑体" w:eastAsia="黑体" w:cs="黑体"/>
          <w:sz w:val="30"/>
          <w:szCs w:val="30"/>
        </w:rPr>
      </w:pPr>
      <w:bookmarkStart w:id="15" w:name="bookmark62"/>
      <w:bookmarkEnd w:id="15"/>
      <w:r>
        <w:rPr>
          <w:rFonts w:ascii="黑体" w:hAnsi="黑体" w:eastAsia="黑体" w:cs="黑体"/>
          <w:spacing w:val="-6"/>
          <w:sz w:val="30"/>
          <w:szCs w:val="30"/>
        </w:rPr>
        <w:t>（一）形势要求</w:t>
      </w:r>
    </w:p>
    <w:p w14:paraId="21357520">
      <w:pPr>
        <w:spacing w:before="281" w:line="343" w:lineRule="auto"/>
        <w:ind w:left="3" w:right="77" w:firstLine="583"/>
        <w:jc w:val="both"/>
        <w:rPr>
          <w:rFonts w:ascii="仿宋" w:hAnsi="仿宋" w:eastAsia="仿宋" w:cs="仿宋"/>
          <w:sz w:val="28"/>
          <w:szCs w:val="28"/>
        </w:rPr>
      </w:pPr>
      <w:r>
        <w:rPr>
          <w:rFonts w:ascii="仿宋" w:hAnsi="仿宋" w:eastAsia="仿宋" w:cs="仿宋"/>
          <w:spacing w:val="-3"/>
          <w:sz w:val="28"/>
          <w:szCs w:val="28"/>
        </w:rPr>
        <w:t>我国正构建以国内大循环为主体、国内国际双循环相互促进的新发展格局。</w:t>
      </w:r>
      <w:r>
        <w:rPr>
          <w:rFonts w:ascii="仿宋" w:hAnsi="仿宋" w:eastAsia="仿宋" w:cs="仿宋"/>
          <w:spacing w:val="-100"/>
          <w:sz w:val="28"/>
          <w:szCs w:val="28"/>
        </w:rPr>
        <w:t xml:space="preserve"> </w:t>
      </w:r>
      <w:r>
        <w:rPr>
          <w:rFonts w:ascii="仿宋" w:hAnsi="仿宋" w:eastAsia="仿宋" w:cs="仿宋"/>
          <w:spacing w:val="-3"/>
          <w:sz w:val="28"/>
          <w:szCs w:val="28"/>
        </w:rPr>
        <w:t>“十四五”时期，曲靖市要紧抓重大战略机遇，更加瞄准时代新要求和</w:t>
      </w:r>
      <w:r>
        <w:rPr>
          <w:rFonts w:ascii="仿宋" w:hAnsi="仿宋" w:eastAsia="仿宋" w:cs="仿宋"/>
          <w:spacing w:val="-2"/>
          <w:sz w:val="28"/>
          <w:szCs w:val="28"/>
        </w:rPr>
        <w:t>政策新导向，助推综合交通运输快速发展，支撑经济在持续稳定增长中推动</w:t>
      </w:r>
      <w:r>
        <w:rPr>
          <w:rFonts w:ascii="仿宋" w:hAnsi="仿宋" w:eastAsia="仿宋" w:cs="仿宋"/>
          <w:spacing w:val="-1"/>
          <w:sz w:val="28"/>
          <w:szCs w:val="28"/>
        </w:rPr>
        <w:t>创新转型加速并实现高质量发展。</w:t>
      </w:r>
    </w:p>
    <w:p w14:paraId="595D5AAB">
      <w:pPr>
        <w:spacing w:before="72" w:line="305" w:lineRule="auto"/>
        <w:ind w:left="11" w:right="77" w:firstLine="574"/>
        <w:rPr>
          <w:rFonts w:ascii="黑体" w:hAnsi="黑体" w:eastAsia="黑体" w:cs="黑体"/>
          <w:sz w:val="28"/>
          <w:szCs w:val="28"/>
        </w:rPr>
      </w:pPr>
      <w:r>
        <w:rPr>
          <w:rFonts w:ascii="黑体" w:hAnsi="黑体" w:eastAsia="黑体" w:cs="黑体"/>
          <w:spacing w:val="2"/>
          <w:sz w:val="28"/>
          <w:szCs w:val="28"/>
        </w:rPr>
        <w:t>1. 云南主动服务和融入“一带一路”及长江经济带建设，</w:t>
      </w:r>
      <w:r>
        <w:rPr>
          <w:rFonts w:ascii="黑体" w:hAnsi="黑体" w:eastAsia="黑体" w:cs="黑体"/>
          <w:spacing w:val="1"/>
          <w:sz w:val="28"/>
          <w:szCs w:val="28"/>
        </w:rPr>
        <w:t>要求曲靖市</w:t>
      </w:r>
      <w:r>
        <w:rPr>
          <w:rFonts w:ascii="黑体" w:hAnsi="黑体" w:eastAsia="黑体" w:cs="黑体"/>
          <w:spacing w:val="-1"/>
          <w:sz w:val="28"/>
          <w:szCs w:val="28"/>
        </w:rPr>
        <w:t>加快综合交通基础设施互联互通</w:t>
      </w:r>
    </w:p>
    <w:p w14:paraId="32C7D9BC">
      <w:pPr>
        <w:spacing w:before="163" w:line="343" w:lineRule="auto"/>
        <w:ind w:left="3" w:right="2" w:firstLine="579"/>
        <w:jc w:val="both"/>
        <w:rPr>
          <w:rFonts w:ascii="仿宋" w:hAnsi="仿宋" w:eastAsia="仿宋" w:cs="仿宋"/>
          <w:sz w:val="28"/>
          <w:szCs w:val="28"/>
        </w:rPr>
      </w:pPr>
      <w:r>
        <w:rPr>
          <w:rFonts w:ascii="仿宋" w:hAnsi="仿宋" w:eastAsia="仿宋" w:cs="仿宋"/>
          <w:spacing w:val="-2"/>
          <w:sz w:val="28"/>
          <w:szCs w:val="28"/>
        </w:rPr>
        <w:t>云南作为“一带一路”的战略支点，随着“一</w:t>
      </w:r>
      <w:r>
        <w:rPr>
          <w:rFonts w:ascii="仿宋" w:hAnsi="仿宋" w:eastAsia="仿宋" w:cs="仿宋"/>
          <w:spacing w:val="-3"/>
          <w:sz w:val="28"/>
          <w:szCs w:val="28"/>
        </w:rPr>
        <w:t>带一路”、孟中印缅经济</w:t>
      </w:r>
      <w:r>
        <w:rPr>
          <w:rFonts w:ascii="仿宋" w:hAnsi="仿宋" w:eastAsia="仿宋" w:cs="仿宋"/>
          <w:spacing w:val="-8"/>
          <w:sz w:val="28"/>
          <w:szCs w:val="28"/>
        </w:rPr>
        <w:t>走廊、中国—中南半岛国际经济走廊建设、澜湄合作机制等在云南叠加交汇，</w:t>
      </w:r>
      <w:r>
        <w:rPr>
          <w:rFonts w:ascii="仿宋" w:hAnsi="仿宋" w:eastAsia="仿宋" w:cs="仿宋"/>
          <w:spacing w:val="-2"/>
          <w:sz w:val="28"/>
          <w:szCs w:val="28"/>
        </w:rPr>
        <w:t>云南正成为沟通强大国内市场与南亚东南亚国际市场之间的战略纽带。长江</w:t>
      </w:r>
      <w:r>
        <w:rPr>
          <w:rFonts w:ascii="仿宋" w:hAnsi="仿宋" w:eastAsia="仿宋" w:cs="仿宋"/>
          <w:spacing w:val="1"/>
          <w:sz w:val="28"/>
          <w:szCs w:val="28"/>
        </w:rPr>
        <w:t>经济带覆盖</w:t>
      </w:r>
      <w:r>
        <w:rPr>
          <w:rFonts w:ascii="仿宋" w:hAnsi="仿宋" w:eastAsia="仿宋" w:cs="仿宋"/>
          <w:spacing w:val="-38"/>
          <w:sz w:val="28"/>
          <w:szCs w:val="28"/>
        </w:rPr>
        <w:t xml:space="preserve"> </w:t>
      </w:r>
      <w:r>
        <w:rPr>
          <w:rFonts w:ascii="仿宋" w:hAnsi="仿宋" w:eastAsia="仿宋" w:cs="仿宋"/>
          <w:spacing w:val="1"/>
          <w:sz w:val="28"/>
          <w:szCs w:val="28"/>
        </w:rPr>
        <w:t>11</w:t>
      </w:r>
      <w:r>
        <w:rPr>
          <w:rFonts w:ascii="仿宋" w:hAnsi="仿宋" w:eastAsia="仿宋" w:cs="仿宋"/>
          <w:spacing w:val="-56"/>
          <w:sz w:val="28"/>
          <w:szCs w:val="28"/>
        </w:rPr>
        <w:t xml:space="preserve"> </w:t>
      </w:r>
      <w:r>
        <w:rPr>
          <w:rFonts w:ascii="仿宋" w:hAnsi="仿宋" w:eastAsia="仿宋" w:cs="仿宋"/>
          <w:spacing w:val="1"/>
          <w:sz w:val="28"/>
          <w:szCs w:val="28"/>
        </w:rPr>
        <w:t>个省市，是我国最具综合优势与发展潜力的产业带和经济带</w:t>
      </w:r>
      <w:r>
        <w:rPr>
          <w:rFonts w:ascii="仿宋" w:hAnsi="仿宋" w:eastAsia="仿宋" w:cs="仿宋"/>
          <w:spacing w:val="-2"/>
          <w:sz w:val="28"/>
          <w:szCs w:val="28"/>
        </w:rPr>
        <w:t>之一，站在新发展阶段，长江经济带必将开启区域发展的新格局，向着生态优先绿色发展主战场、畅通国内国际双循环主动脉、引领经济高质量发展主力军加速迈进。云南区域优势明显，但经济欠发达、产业基础薄弱，在积极</w:t>
      </w:r>
      <w:r>
        <w:rPr>
          <w:rFonts w:ascii="仿宋" w:hAnsi="仿宋" w:eastAsia="仿宋" w:cs="仿宋"/>
          <w:sz w:val="28"/>
          <w:szCs w:val="28"/>
        </w:rPr>
        <w:t>融入和服务国家战略中，云南要加强与其他省市在推动生态环境联防联控、</w:t>
      </w:r>
      <w:r>
        <w:rPr>
          <w:rFonts w:ascii="仿宋" w:hAnsi="仿宋" w:eastAsia="仿宋" w:cs="仿宋"/>
          <w:spacing w:val="-3"/>
          <w:sz w:val="28"/>
          <w:szCs w:val="28"/>
        </w:rPr>
        <w:t>基础设施互联互通等重点领域开展深入合作。</w:t>
      </w:r>
      <w:r>
        <w:rPr>
          <w:rFonts w:ascii="仿宋" w:hAnsi="仿宋" w:eastAsia="仿宋" w:cs="仿宋"/>
          <w:spacing w:val="-100"/>
          <w:sz w:val="28"/>
          <w:szCs w:val="28"/>
        </w:rPr>
        <w:t xml:space="preserve"> </w:t>
      </w:r>
      <w:r>
        <w:rPr>
          <w:rFonts w:ascii="仿宋" w:hAnsi="仿宋" w:eastAsia="仿宋" w:cs="仿宋"/>
          <w:spacing w:val="-3"/>
          <w:sz w:val="28"/>
          <w:szCs w:val="28"/>
        </w:rPr>
        <w:t>“一带一路”和长江经济带建</w:t>
      </w:r>
      <w:r>
        <w:rPr>
          <w:rFonts w:ascii="仿宋" w:hAnsi="仿宋" w:eastAsia="仿宋" w:cs="仿宋"/>
          <w:spacing w:val="-2"/>
          <w:sz w:val="28"/>
          <w:szCs w:val="28"/>
        </w:rPr>
        <w:t>设迈入新阶段，要求云南打造面向南亚东南亚辐射中心的门户枢纽，构建连接太平洋与印度洋的陆海新通道。曲靖地处云南“东出、北上”联系祖国内地的主通道上，直接关系着云南省融入“一带一路”和长江经济带建设的关</w:t>
      </w:r>
      <w:r>
        <w:rPr>
          <w:rFonts w:ascii="仿宋" w:hAnsi="仿宋" w:eastAsia="仿宋" w:cs="仿宋"/>
          <w:spacing w:val="-3"/>
          <w:sz w:val="28"/>
          <w:szCs w:val="28"/>
        </w:rPr>
        <w:t>键，直接影响云南“</w:t>
      </w:r>
      <w:r>
        <w:rPr>
          <w:rFonts w:ascii="仿宋" w:hAnsi="仿宋" w:eastAsia="仿宋" w:cs="仿宋"/>
          <w:spacing w:val="-91"/>
          <w:sz w:val="28"/>
          <w:szCs w:val="28"/>
        </w:rPr>
        <w:t xml:space="preserve"> </w:t>
      </w:r>
      <w:r>
        <w:rPr>
          <w:rFonts w:ascii="仿宋" w:hAnsi="仿宋" w:eastAsia="仿宋" w:cs="仿宋"/>
          <w:spacing w:val="-3"/>
          <w:sz w:val="28"/>
          <w:szCs w:val="28"/>
        </w:rPr>
        <w:t>区位优势”的发挥，加强曲靖市综</w:t>
      </w:r>
      <w:r>
        <w:rPr>
          <w:rFonts w:ascii="仿宋" w:hAnsi="仿宋" w:eastAsia="仿宋" w:cs="仿宋"/>
          <w:spacing w:val="-4"/>
          <w:sz w:val="28"/>
          <w:szCs w:val="28"/>
        </w:rPr>
        <w:t>合交通基础设施互联</w:t>
      </w:r>
      <w:r>
        <w:rPr>
          <w:rFonts w:ascii="仿宋" w:hAnsi="仿宋" w:eastAsia="仿宋" w:cs="仿宋"/>
          <w:spacing w:val="-2"/>
          <w:sz w:val="28"/>
          <w:szCs w:val="28"/>
        </w:rPr>
        <w:t>互通建设，可凸显云南在“一带一路”和长江经济带建设中的地位，为曲靖</w:t>
      </w:r>
      <w:r>
        <w:rPr>
          <w:rFonts w:ascii="仿宋" w:hAnsi="仿宋" w:eastAsia="仿宋" w:cs="仿宋"/>
          <w:spacing w:val="-1"/>
          <w:sz w:val="28"/>
          <w:szCs w:val="28"/>
        </w:rPr>
        <w:t>市综合交通运输发展带来了难得的发展机遇。</w:t>
      </w:r>
    </w:p>
    <w:p w14:paraId="273D5D51">
      <w:pPr>
        <w:spacing w:line="343" w:lineRule="auto"/>
        <w:rPr>
          <w:rFonts w:ascii="仿宋" w:hAnsi="仿宋" w:eastAsia="仿宋" w:cs="仿宋"/>
          <w:sz w:val="28"/>
          <w:szCs w:val="28"/>
        </w:rPr>
        <w:sectPr>
          <w:headerReference r:id="rId39" w:type="default"/>
          <w:footerReference r:id="rId40" w:type="default"/>
          <w:pgSz w:w="11906" w:h="16839"/>
          <w:pgMar w:top="1222" w:right="1054" w:bottom="1156" w:left="1587" w:header="885" w:footer="920" w:gutter="0"/>
          <w:cols w:space="720" w:num="1"/>
        </w:sectPr>
      </w:pPr>
    </w:p>
    <w:p w14:paraId="38DCAFB4">
      <w:pPr>
        <w:spacing w:before="323" w:line="303" w:lineRule="auto"/>
        <w:ind w:left="7" w:right="195" w:firstLine="561"/>
        <w:rPr>
          <w:rFonts w:ascii="黑体" w:hAnsi="黑体" w:eastAsia="黑体" w:cs="黑体"/>
          <w:sz w:val="28"/>
          <w:szCs w:val="28"/>
        </w:rPr>
      </w:pPr>
      <w:r>
        <w:rPr>
          <w:rFonts w:ascii="黑体" w:hAnsi="黑体" w:eastAsia="黑体" w:cs="黑体"/>
          <w:spacing w:val="2"/>
          <w:sz w:val="28"/>
          <w:szCs w:val="28"/>
        </w:rPr>
        <w:t>2. 曲靖建设成为云南副中心城市，要求曲靖市打造保障有力的综合交</w:t>
      </w:r>
      <w:r>
        <w:rPr>
          <w:rFonts w:ascii="黑体" w:hAnsi="黑体" w:eastAsia="黑体" w:cs="黑体"/>
          <w:spacing w:val="-2"/>
          <w:sz w:val="28"/>
          <w:szCs w:val="28"/>
        </w:rPr>
        <w:t>通运输系统</w:t>
      </w:r>
    </w:p>
    <w:p w14:paraId="0FBEC627">
      <w:pPr>
        <w:spacing w:before="169" w:line="343" w:lineRule="auto"/>
        <w:ind w:left="5" w:firstLine="585"/>
        <w:jc w:val="both"/>
        <w:rPr>
          <w:rFonts w:ascii="仿宋" w:hAnsi="仿宋" w:eastAsia="仿宋" w:cs="仿宋"/>
          <w:sz w:val="28"/>
          <w:szCs w:val="28"/>
        </w:rPr>
      </w:pPr>
      <w:r>
        <w:rPr>
          <w:rFonts w:ascii="仿宋" w:hAnsi="仿宋" w:eastAsia="仿宋" w:cs="仿宋"/>
          <w:sz w:val="28"/>
          <w:szCs w:val="28"/>
        </w:rPr>
        <w:t>“十四五”是我国乘势而上开启全面建设社会主义现代化国家新征程、</w:t>
      </w:r>
      <w:r>
        <w:rPr>
          <w:rFonts w:ascii="仿宋" w:hAnsi="仿宋" w:eastAsia="仿宋" w:cs="仿宋"/>
          <w:spacing w:val="-2"/>
          <w:sz w:val="28"/>
          <w:szCs w:val="28"/>
        </w:rPr>
        <w:t>向</w:t>
      </w:r>
      <w:r>
        <w:rPr>
          <w:rFonts w:hint="eastAsia" w:ascii="仿宋" w:hAnsi="仿宋" w:eastAsia="仿宋" w:cs="仿宋"/>
          <w:spacing w:val="-2"/>
          <w:sz w:val="28"/>
          <w:szCs w:val="28"/>
          <w:lang w:eastAsia="zh-CN"/>
        </w:rPr>
        <w:t>第二个百年奋斗目标</w:t>
      </w:r>
      <w:r>
        <w:rPr>
          <w:rFonts w:ascii="仿宋" w:hAnsi="仿宋" w:eastAsia="仿宋" w:cs="仿宋"/>
          <w:spacing w:val="-2"/>
          <w:sz w:val="28"/>
          <w:szCs w:val="28"/>
        </w:rPr>
        <w:t>进军的起步阶段。在开局“十四五”、启航新征程的关键时刻，省委、省政府提出将曲靖市打造成为先进制造基地、高端食品基地、城乡融合发展示范区，努力建设成为名副其实的云南副中心城市，成为滇中城市群的重要增长极、面向南亚东南亚辐射中心的重要支撑点。曲靖作为全国性综合交通枢纽和全国区域级流通节点城市，向西主动融入滇中城市群，向北以会泽为前沿主动融入成渝经济圈，向东以宣威、富源为前沿主动对接长三角，向南以师宗、罗平为前沿主动融入西部陆海新通道、中国—中</w:t>
      </w:r>
      <w:r>
        <w:rPr>
          <w:rFonts w:ascii="仿宋" w:hAnsi="仿宋" w:eastAsia="仿宋" w:cs="仿宋"/>
          <w:spacing w:val="3"/>
          <w:sz w:val="28"/>
          <w:szCs w:val="28"/>
        </w:rPr>
        <w:t>南半岛经济走廊建设，具有</w:t>
      </w:r>
      <w:r>
        <w:rPr>
          <w:rFonts w:ascii="仿宋" w:hAnsi="仿宋" w:eastAsia="仿宋" w:cs="仿宋"/>
          <w:spacing w:val="-99"/>
          <w:sz w:val="28"/>
          <w:szCs w:val="28"/>
        </w:rPr>
        <w:t xml:space="preserve"> </w:t>
      </w:r>
      <w:r>
        <w:rPr>
          <w:rFonts w:ascii="仿宋" w:hAnsi="仿宋" w:eastAsia="仿宋" w:cs="仿宋"/>
          <w:spacing w:val="3"/>
          <w:sz w:val="28"/>
          <w:szCs w:val="28"/>
        </w:rPr>
        <w:t>“东连黔桂、南向出境、西融滇中、</w:t>
      </w:r>
      <w:r>
        <w:rPr>
          <w:rFonts w:ascii="仿宋" w:hAnsi="仿宋" w:eastAsia="仿宋" w:cs="仿宋"/>
          <w:spacing w:val="2"/>
          <w:sz w:val="28"/>
          <w:szCs w:val="28"/>
        </w:rPr>
        <w:t>北接川渝”</w:t>
      </w:r>
      <w:r>
        <w:rPr>
          <w:rFonts w:ascii="仿宋" w:hAnsi="仿宋" w:eastAsia="仿宋" w:cs="仿宋"/>
          <w:spacing w:val="-2"/>
          <w:sz w:val="28"/>
          <w:szCs w:val="28"/>
        </w:rPr>
        <w:t>优势，必将成为内地市场与南亚东南亚市场的重要连接点和支撑点，是曲靖统筹对内对外双向开放、深度融入新发展格局的重大历史机遇。云南副中心城市建设的提出，为曲靖市打造保障有力的综合交通运输系统明确了新的发展目标。</w:t>
      </w:r>
    </w:p>
    <w:p w14:paraId="3BC6F71A">
      <w:pPr>
        <w:spacing w:before="68" w:line="303" w:lineRule="auto"/>
        <w:ind w:left="7" w:right="195" w:firstLine="563"/>
        <w:rPr>
          <w:rFonts w:ascii="黑体" w:hAnsi="黑体" w:eastAsia="黑体" w:cs="黑体"/>
          <w:sz w:val="28"/>
          <w:szCs w:val="28"/>
        </w:rPr>
      </w:pPr>
      <w:r>
        <w:rPr>
          <w:rFonts w:ascii="黑体" w:hAnsi="黑体" w:eastAsia="黑体" w:cs="黑体"/>
          <w:spacing w:val="2"/>
          <w:sz w:val="28"/>
          <w:szCs w:val="28"/>
        </w:rPr>
        <w:t>3. 加快推进滇中城市群转型发展，要求曲靖市深度融入滇中城市群交</w:t>
      </w:r>
      <w:r>
        <w:rPr>
          <w:rFonts w:ascii="黑体" w:hAnsi="黑体" w:eastAsia="黑体" w:cs="黑体"/>
          <w:spacing w:val="-1"/>
          <w:sz w:val="28"/>
          <w:szCs w:val="28"/>
        </w:rPr>
        <w:t>通一体化发展格局</w:t>
      </w:r>
    </w:p>
    <w:p w14:paraId="300B3373">
      <w:pPr>
        <w:spacing w:before="167" w:line="343" w:lineRule="auto"/>
        <w:ind w:left="5" w:right="192" w:firstLine="573"/>
        <w:jc w:val="both"/>
        <w:rPr>
          <w:rFonts w:ascii="仿宋" w:hAnsi="仿宋" w:eastAsia="仿宋" w:cs="仿宋"/>
          <w:sz w:val="28"/>
          <w:szCs w:val="28"/>
        </w:rPr>
      </w:pPr>
      <w:r>
        <w:rPr>
          <w:rFonts w:ascii="仿宋" w:hAnsi="仿宋" w:eastAsia="仿宋" w:cs="仿宋"/>
          <w:spacing w:val="-2"/>
          <w:sz w:val="28"/>
          <w:szCs w:val="28"/>
        </w:rPr>
        <w:t>滇中城市群位于“一带一路”和长江经济带</w:t>
      </w:r>
      <w:r>
        <w:rPr>
          <w:rFonts w:ascii="仿宋" w:hAnsi="仿宋" w:eastAsia="仿宋" w:cs="仿宋"/>
          <w:spacing w:val="-3"/>
          <w:sz w:val="28"/>
          <w:szCs w:val="28"/>
        </w:rPr>
        <w:t>的交汇区域，是全国“两横</w:t>
      </w:r>
      <w:r>
        <w:rPr>
          <w:rFonts w:ascii="仿宋" w:hAnsi="仿宋" w:eastAsia="仿宋" w:cs="仿宋"/>
          <w:spacing w:val="-2"/>
          <w:sz w:val="28"/>
          <w:szCs w:val="28"/>
        </w:rPr>
        <w:t>三纵”城镇化战略格局的重要组成部分，是云南省新型城镇化发展的核心区域，在国家开发开放格局中具有重要的战略地位。滇中城市群正处于转型提升、创新发展的关键阶段，加快滇中城市群发展，重点在于扩大对外开放，强化我国与南亚东南亚合作，更好服务和融入“一带一路”建设；在于推进基础设施一体化，提升城镇基础设施和公共服务设施共建共享水平，提高区域城镇化质量，实现高质量跨越式发展。曲靖作为滇中城市群的重要组成部分，围绕基础设施一体化建设，做好与周边州市的互联互通，加快构建综合交通运输体系，有助于滇中城市群形成以航空为先导，铁路和公路</w:t>
      </w:r>
      <w:r>
        <w:rPr>
          <w:rFonts w:ascii="仿宋" w:hAnsi="仿宋" w:eastAsia="仿宋" w:cs="仿宋"/>
          <w:spacing w:val="-3"/>
          <w:sz w:val="28"/>
          <w:szCs w:val="28"/>
        </w:rPr>
        <w:t>为骨干，</w:t>
      </w:r>
    </w:p>
    <w:p w14:paraId="2946B48B">
      <w:pPr>
        <w:spacing w:line="343" w:lineRule="auto"/>
        <w:rPr>
          <w:rFonts w:ascii="仿宋" w:hAnsi="仿宋" w:eastAsia="仿宋" w:cs="仿宋"/>
          <w:sz w:val="28"/>
          <w:szCs w:val="28"/>
        </w:rPr>
        <w:sectPr>
          <w:headerReference r:id="rId41" w:type="default"/>
          <w:footerReference r:id="rId42" w:type="default"/>
          <w:pgSz w:w="11906" w:h="16839"/>
          <w:pgMar w:top="1222" w:right="1390" w:bottom="1156" w:left="1134" w:header="885" w:footer="920" w:gutter="0"/>
          <w:cols w:space="720" w:num="1"/>
        </w:sectPr>
      </w:pPr>
    </w:p>
    <w:p w14:paraId="1D2DC722">
      <w:pPr>
        <w:pStyle w:val="2"/>
        <w:spacing w:line="278" w:lineRule="auto"/>
      </w:pPr>
    </w:p>
    <w:p w14:paraId="356652D2">
      <w:pPr>
        <w:spacing w:before="91" w:line="343" w:lineRule="auto"/>
        <w:ind w:left="17" w:right="276" w:firstLine="32"/>
        <w:rPr>
          <w:rFonts w:ascii="仿宋" w:hAnsi="仿宋" w:eastAsia="仿宋" w:cs="仿宋"/>
          <w:sz w:val="28"/>
          <w:szCs w:val="28"/>
        </w:rPr>
      </w:pPr>
      <w:r>
        <w:rPr>
          <w:rFonts w:ascii="仿宋" w:hAnsi="仿宋" w:eastAsia="仿宋" w:cs="仿宋"/>
          <w:spacing w:val="-3"/>
          <w:sz w:val="28"/>
          <w:szCs w:val="28"/>
        </w:rPr>
        <w:t>昆、曲、玉、楚、红五大区域综合枢纽为连接，各种运输方式相互衔</w:t>
      </w:r>
      <w:r>
        <w:rPr>
          <w:rFonts w:ascii="仿宋" w:hAnsi="仿宋" w:eastAsia="仿宋" w:cs="仿宋"/>
          <w:spacing w:val="-4"/>
          <w:sz w:val="28"/>
          <w:szCs w:val="28"/>
        </w:rPr>
        <w:t>接、高</w:t>
      </w:r>
      <w:r>
        <w:rPr>
          <w:rFonts w:ascii="仿宋" w:hAnsi="仿宋" w:eastAsia="仿宋" w:cs="仿宋"/>
          <w:spacing w:val="-2"/>
          <w:sz w:val="28"/>
          <w:szCs w:val="28"/>
        </w:rPr>
        <w:t>效便捷、城乡一体的现代综合交通运输体系，促进滇中</w:t>
      </w:r>
      <w:r>
        <w:rPr>
          <w:rFonts w:ascii="仿宋" w:hAnsi="仿宋" w:eastAsia="仿宋" w:cs="仿宋"/>
          <w:spacing w:val="-3"/>
          <w:sz w:val="28"/>
          <w:szCs w:val="28"/>
        </w:rPr>
        <w:t>城市群一体化发展。</w:t>
      </w:r>
    </w:p>
    <w:p w14:paraId="1933B342">
      <w:pPr>
        <w:spacing w:before="69" w:line="305" w:lineRule="auto"/>
        <w:ind w:left="11" w:right="281" w:firstLine="552"/>
        <w:rPr>
          <w:rFonts w:ascii="黑体" w:hAnsi="黑体" w:eastAsia="黑体" w:cs="黑体"/>
          <w:sz w:val="28"/>
          <w:szCs w:val="28"/>
        </w:rPr>
      </w:pPr>
      <w:r>
        <w:rPr>
          <w:rFonts w:ascii="黑体" w:hAnsi="黑体" w:eastAsia="黑体" w:cs="黑体"/>
          <w:spacing w:val="2"/>
          <w:sz w:val="28"/>
          <w:szCs w:val="28"/>
        </w:rPr>
        <w:t>4. 加快推进以人为核心的新型城镇化和乡村振兴战略，要求曲靖市推</w:t>
      </w:r>
      <w:r>
        <w:rPr>
          <w:rFonts w:ascii="黑体" w:hAnsi="黑体" w:eastAsia="黑体" w:cs="黑体"/>
          <w:spacing w:val="-1"/>
          <w:sz w:val="28"/>
          <w:szCs w:val="28"/>
        </w:rPr>
        <w:t>动“四好农村路”高质量发展</w:t>
      </w:r>
    </w:p>
    <w:p w14:paraId="373F1649">
      <w:pPr>
        <w:tabs>
          <w:tab w:val="left" w:pos="9464"/>
        </w:tabs>
        <w:spacing w:before="168" w:line="343" w:lineRule="auto"/>
        <w:ind w:left="8" w:firstLine="568"/>
        <w:jc w:val="both"/>
        <w:rPr>
          <w:rFonts w:ascii="仿宋" w:hAnsi="仿宋" w:eastAsia="仿宋" w:cs="仿宋"/>
          <w:sz w:val="28"/>
          <w:szCs w:val="28"/>
        </w:rPr>
      </w:pPr>
      <w:r>
        <w:rPr>
          <w:rFonts w:ascii="仿宋" w:hAnsi="仿宋" w:eastAsia="仿宋" w:cs="仿宋"/>
          <w:spacing w:val="7"/>
          <w:sz w:val="28"/>
          <w:szCs w:val="28"/>
        </w:rPr>
        <w:t>新型城镇化和乡村振兴是实现现代化的必由之路和经济持续</w:t>
      </w:r>
      <w:r>
        <w:rPr>
          <w:rFonts w:ascii="仿宋" w:hAnsi="仿宋" w:eastAsia="仿宋" w:cs="仿宋"/>
          <w:spacing w:val="6"/>
          <w:sz w:val="28"/>
          <w:szCs w:val="28"/>
        </w:rPr>
        <w:t>健康发展</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的强大引擎，对于扩大内需、促进区域协调发展、推进社会主义现代化建设</w:t>
      </w:r>
      <w:r>
        <w:rPr>
          <w:rFonts w:ascii="仿宋" w:hAnsi="仿宋" w:eastAsia="仿宋" w:cs="仿宋"/>
          <w:spacing w:val="1"/>
          <w:sz w:val="28"/>
          <w:szCs w:val="28"/>
        </w:rPr>
        <w:t xml:space="preserve"> </w:t>
      </w:r>
      <w:r>
        <w:rPr>
          <w:rFonts w:ascii="仿宋" w:hAnsi="仿宋" w:eastAsia="仿宋" w:cs="仿宋"/>
          <w:spacing w:val="-2"/>
          <w:sz w:val="28"/>
          <w:szCs w:val="28"/>
        </w:rPr>
        <w:t>发挥重大作用。国家明确深化推动新型城镇化和乡村振兴双轮驱动，统筹城</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乡国土空间开发格局，优化乡村生产生活生态空间，分类推进乡村振兴；并</w:t>
      </w:r>
      <w:r>
        <w:rPr>
          <w:rFonts w:ascii="仿宋" w:hAnsi="仿宋" w:eastAsia="仿宋" w:cs="仿宋"/>
          <w:spacing w:val="1"/>
          <w:sz w:val="28"/>
          <w:szCs w:val="28"/>
        </w:rPr>
        <w:t xml:space="preserve"> </w:t>
      </w:r>
      <w:r>
        <w:rPr>
          <w:rFonts w:ascii="仿宋" w:hAnsi="仿宋" w:eastAsia="仿宋" w:cs="仿宋"/>
          <w:spacing w:val="-3"/>
          <w:sz w:val="28"/>
          <w:szCs w:val="28"/>
        </w:rPr>
        <w:t>提出以示范县为载体，全面推进“</w:t>
      </w:r>
      <w:r>
        <w:rPr>
          <w:rFonts w:ascii="仿宋" w:hAnsi="仿宋" w:eastAsia="仿宋" w:cs="仿宋"/>
          <w:spacing w:val="-96"/>
          <w:sz w:val="28"/>
          <w:szCs w:val="28"/>
        </w:rPr>
        <w:t xml:space="preserve"> </w:t>
      </w:r>
      <w:r>
        <w:rPr>
          <w:rFonts w:ascii="仿宋" w:hAnsi="仿宋" w:eastAsia="仿宋" w:cs="仿宋"/>
          <w:spacing w:val="-3"/>
          <w:sz w:val="28"/>
          <w:szCs w:val="28"/>
        </w:rPr>
        <w:t>四好农村路”建设</w:t>
      </w:r>
      <w:r>
        <w:rPr>
          <w:rFonts w:ascii="仿宋" w:hAnsi="仿宋" w:eastAsia="仿宋" w:cs="仿宋"/>
          <w:spacing w:val="-4"/>
          <w:sz w:val="28"/>
          <w:szCs w:val="28"/>
        </w:rPr>
        <w:t>，保障农村地区基本出</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3"/>
          <w:sz w:val="28"/>
          <w:szCs w:val="28"/>
        </w:rPr>
        <w:t>行条件。</w:t>
      </w:r>
      <w:r>
        <w:rPr>
          <w:rFonts w:ascii="仿宋" w:hAnsi="仿宋" w:eastAsia="仿宋" w:cs="仿宋"/>
          <w:spacing w:val="-104"/>
          <w:sz w:val="28"/>
          <w:szCs w:val="28"/>
        </w:rPr>
        <w:t xml:space="preserve"> </w:t>
      </w:r>
      <w:r>
        <w:rPr>
          <w:rFonts w:ascii="仿宋" w:hAnsi="仿宋" w:eastAsia="仿宋" w:cs="仿宋"/>
          <w:spacing w:val="-3"/>
          <w:sz w:val="28"/>
          <w:szCs w:val="28"/>
        </w:rPr>
        <w:t>“十四五”是加快实施以促进人的城镇化为核心、提高质量为导向</w:t>
      </w:r>
      <w:r>
        <w:rPr>
          <w:rFonts w:ascii="仿宋" w:hAnsi="仿宋" w:eastAsia="仿宋" w:cs="仿宋"/>
          <w:sz w:val="28"/>
          <w:szCs w:val="28"/>
        </w:rPr>
        <w:t xml:space="preserve"> </w:t>
      </w:r>
      <w:r>
        <w:rPr>
          <w:rFonts w:ascii="仿宋" w:hAnsi="仿宋" w:eastAsia="仿宋" w:cs="仿宋"/>
          <w:spacing w:val="-2"/>
          <w:sz w:val="28"/>
          <w:szCs w:val="28"/>
        </w:rPr>
        <w:t>的新型城镇化战略和全面实施乡村振兴战略的关键期，将在“十三五”基础</w:t>
      </w:r>
      <w:r>
        <w:rPr>
          <w:rFonts w:ascii="仿宋" w:hAnsi="仿宋" w:eastAsia="仿宋" w:cs="仿宋"/>
          <w:spacing w:val="1"/>
          <w:sz w:val="28"/>
          <w:szCs w:val="28"/>
        </w:rPr>
        <w:t xml:space="preserve"> </w:t>
      </w:r>
      <w:r>
        <w:rPr>
          <w:rFonts w:ascii="仿宋" w:hAnsi="仿宋" w:eastAsia="仿宋" w:cs="仿宋"/>
          <w:spacing w:val="-5"/>
          <w:sz w:val="28"/>
          <w:szCs w:val="28"/>
        </w:rPr>
        <w:t>上优化升级，提高城市发展质量，合理布局城镇化格局，形成新型城乡关系，</w:t>
      </w:r>
      <w:r>
        <w:rPr>
          <w:rFonts w:ascii="仿宋" w:hAnsi="仿宋" w:eastAsia="仿宋" w:cs="仿宋"/>
          <w:spacing w:val="2"/>
          <w:sz w:val="28"/>
          <w:szCs w:val="28"/>
        </w:rPr>
        <w:t>城市、城镇、</w:t>
      </w:r>
      <w:r>
        <w:rPr>
          <w:rFonts w:ascii="仿宋" w:hAnsi="仿宋" w:eastAsia="仿宋" w:cs="仿宋"/>
          <w:spacing w:val="-82"/>
          <w:sz w:val="28"/>
          <w:szCs w:val="28"/>
        </w:rPr>
        <w:t xml:space="preserve"> </w:t>
      </w:r>
      <w:r>
        <w:rPr>
          <w:rFonts w:ascii="仿宋" w:hAnsi="仿宋" w:eastAsia="仿宋" w:cs="仿宋"/>
          <w:spacing w:val="2"/>
          <w:sz w:val="28"/>
          <w:szCs w:val="28"/>
        </w:rPr>
        <w:t>乡村发展迎来新的机遇。新型城镇化和</w:t>
      </w:r>
      <w:r>
        <w:rPr>
          <w:rFonts w:ascii="仿宋" w:hAnsi="仿宋" w:eastAsia="仿宋" w:cs="仿宋"/>
          <w:spacing w:val="1"/>
          <w:sz w:val="28"/>
          <w:szCs w:val="28"/>
        </w:rPr>
        <w:t>乡村振兴战略的实施，</w:t>
      </w:r>
      <w:r>
        <w:rPr>
          <w:rFonts w:ascii="仿宋" w:hAnsi="仿宋" w:eastAsia="仿宋" w:cs="仿宋"/>
          <w:spacing w:val="-2"/>
          <w:sz w:val="28"/>
          <w:szCs w:val="28"/>
        </w:rPr>
        <w:t>要求曲靖市加快城乡一体化建设、促进城乡融合发展以及推动“四好农村路”高质量发展。</w:t>
      </w:r>
    </w:p>
    <w:p w14:paraId="5369B5D9">
      <w:pPr>
        <w:spacing w:before="66" w:line="303" w:lineRule="auto"/>
        <w:ind w:left="8" w:right="281" w:firstLine="557"/>
        <w:rPr>
          <w:rFonts w:ascii="黑体" w:hAnsi="黑体" w:eastAsia="黑体" w:cs="黑体"/>
          <w:sz w:val="28"/>
          <w:szCs w:val="28"/>
        </w:rPr>
      </w:pPr>
      <w:r>
        <w:rPr>
          <w:rFonts w:ascii="黑体" w:hAnsi="黑体" w:eastAsia="黑体" w:cs="黑体"/>
          <w:spacing w:val="2"/>
          <w:sz w:val="28"/>
          <w:szCs w:val="28"/>
        </w:rPr>
        <w:t>5. 实施交通强国建设和创新驱动发展，要求曲靖市强化新时代综合交</w:t>
      </w:r>
      <w:r>
        <w:rPr>
          <w:rFonts w:ascii="黑体" w:hAnsi="黑体" w:eastAsia="黑体" w:cs="黑体"/>
          <w:spacing w:val="-2"/>
          <w:sz w:val="28"/>
          <w:szCs w:val="28"/>
        </w:rPr>
        <w:t>通运输体系发展</w:t>
      </w:r>
    </w:p>
    <w:p w14:paraId="4C22688E">
      <w:pPr>
        <w:tabs>
          <w:tab w:val="left" w:pos="9464"/>
        </w:tabs>
        <w:spacing w:before="167" w:line="343" w:lineRule="auto"/>
        <w:ind w:left="13" w:firstLine="577"/>
        <w:jc w:val="both"/>
        <w:rPr>
          <w:rFonts w:ascii="仿宋" w:hAnsi="仿宋" w:eastAsia="仿宋" w:cs="仿宋"/>
          <w:sz w:val="28"/>
          <w:szCs w:val="28"/>
        </w:rPr>
      </w:pPr>
      <w:r>
        <w:rPr>
          <w:rFonts w:ascii="仿宋" w:hAnsi="仿宋" w:eastAsia="仿宋" w:cs="仿宋"/>
          <w:spacing w:val="-3"/>
          <w:sz w:val="28"/>
          <w:szCs w:val="28"/>
        </w:rPr>
        <w:t>“十四五”是开启全面建设交通强国新征程的起步期，在科技创新与交</w:t>
      </w:r>
      <w:r>
        <w:rPr>
          <w:rFonts w:ascii="仿宋" w:hAnsi="仿宋" w:eastAsia="仿宋" w:cs="仿宋"/>
          <w:spacing w:val="2"/>
          <w:sz w:val="28"/>
          <w:szCs w:val="28"/>
        </w:rPr>
        <w:t xml:space="preserve"> </w:t>
      </w:r>
      <w:r>
        <w:rPr>
          <w:rFonts w:ascii="仿宋" w:hAnsi="仿宋" w:eastAsia="仿宋" w:cs="仿宋"/>
          <w:spacing w:val="-2"/>
          <w:sz w:val="28"/>
          <w:szCs w:val="28"/>
        </w:rPr>
        <w:t>通运输融合发展背景下，科技创新将成为提升交通运输竞争力和服务</w:t>
      </w:r>
      <w:r>
        <w:rPr>
          <w:rFonts w:ascii="仿宋" w:hAnsi="仿宋" w:eastAsia="仿宋" w:cs="仿宋"/>
          <w:spacing w:val="-3"/>
          <w:sz w:val="28"/>
          <w:szCs w:val="28"/>
        </w:rPr>
        <w:t>效能的</w:t>
      </w:r>
      <w:r>
        <w:rPr>
          <w:rFonts w:ascii="仿宋" w:hAnsi="仿宋" w:eastAsia="仿宋" w:cs="仿宋"/>
          <w:sz w:val="28"/>
          <w:szCs w:val="28"/>
        </w:rPr>
        <w:t xml:space="preserve"> </w:t>
      </w:r>
      <w:r>
        <w:rPr>
          <w:rFonts w:ascii="仿宋" w:hAnsi="仿宋" w:eastAsia="仿宋" w:cs="仿宋"/>
          <w:spacing w:val="-2"/>
          <w:sz w:val="28"/>
          <w:szCs w:val="28"/>
        </w:rPr>
        <w:t>关键手段。统筹推进基础设施建设，加快建设交通强国，构建便捷顺畅</w:t>
      </w:r>
      <w:r>
        <w:rPr>
          <w:rFonts w:ascii="仿宋" w:hAnsi="仿宋" w:eastAsia="仿宋" w:cs="仿宋"/>
          <w:spacing w:val="-3"/>
          <w:sz w:val="28"/>
          <w:szCs w:val="28"/>
        </w:rPr>
        <w:t>、经</w:t>
      </w:r>
      <w:r>
        <w:rPr>
          <w:rFonts w:ascii="仿宋" w:hAnsi="仿宋" w:eastAsia="仿宋" w:cs="仿宋"/>
          <w:sz w:val="28"/>
          <w:szCs w:val="28"/>
        </w:rPr>
        <w:t xml:space="preserve"> </w:t>
      </w:r>
      <w:r>
        <w:rPr>
          <w:rFonts w:ascii="仿宋" w:hAnsi="仿宋" w:eastAsia="仿宋" w:cs="仿宋"/>
          <w:spacing w:val="-2"/>
          <w:sz w:val="28"/>
          <w:szCs w:val="28"/>
        </w:rPr>
        <w:t>济高效、绿色集约、智能先进、安全可靠的现代化综合交通运输体系，</w:t>
      </w:r>
      <w:r>
        <w:rPr>
          <w:rFonts w:ascii="仿宋" w:hAnsi="仿宋" w:eastAsia="仿宋" w:cs="仿宋"/>
          <w:spacing w:val="-3"/>
          <w:sz w:val="28"/>
          <w:szCs w:val="28"/>
        </w:rPr>
        <w:t>推动</w:t>
      </w:r>
      <w:r>
        <w:rPr>
          <w:rFonts w:ascii="仿宋" w:hAnsi="仿宋" w:eastAsia="仿宋" w:cs="仿宋"/>
          <w:sz w:val="28"/>
          <w:szCs w:val="28"/>
        </w:rPr>
        <w:t xml:space="preserve"> </w:t>
      </w:r>
      <w:r>
        <w:rPr>
          <w:rFonts w:ascii="仿宋" w:hAnsi="仿宋" w:eastAsia="仿宋" w:cs="仿宋"/>
          <w:spacing w:val="-2"/>
          <w:sz w:val="28"/>
          <w:szCs w:val="28"/>
        </w:rPr>
        <w:t>交通运输高质量发展，要求在交通运输领域加快大数据、云计算、区块</w:t>
      </w:r>
      <w:r>
        <w:rPr>
          <w:rFonts w:ascii="仿宋" w:hAnsi="仿宋" w:eastAsia="仿宋" w:cs="仿宋"/>
          <w:spacing w:val="-3"/>
          <w:sz w:val="28"/>
          <w:szCs w:val="28"/>
        </w:rPr>
        <w:t>链等</w:t>
      </w:r>
      <w:r>
        <w:rPr>
          <w:rFonts w:ascii="仿宋" w:hAnsi="仿宋" w:eastAsia="仿宋" w:cs="仿宋"/>
          <w:sz w:val="28"/>
          <w:szCs w:val="28"/>
        </w:rPr>
        <w:t xml:space="preserve"> </w:t>
      </w:r>
      <w:r>
        <w:rPr>
          <w:rFonts w:ascii="仿宋" w:hAnsi="仿宋" w:eastAsia="仿宋" w:cs="仿宋"/>
          <w:spacing w:val="-2"/>
          <w:sz w:val="28"/>
          <w:szCs w:val="28"/>
        </w:rPr>
        <w:t>技术的应用和推广，充分发挥科技创新对现代综合交通运输体系</w:t>
      </w:r>
      <w:r>
        <w:rPr>
          <w:rFonts w:ascii="仿宋" w:hAnsi="仿宋" w:eastAsia="仿宋" w:cs="仿宋"/>
          <w:spacing w:val="-3"/>
          <w:sz w:val="28"/>
          <w:szCs w:val="28"/>
        </w:rPr>
        <w:t>建设的驱动</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引领作用，赋能交通运输及关联产业。要求曲靖市综合交通运输</w:t>
      </w:r>
      <w:r>
        <w:rPr>
          <w:rFonts w:ascii="仿宋" w:hAnsi="仿宋" w:eastAsia="仿宋" w:cs="仿宋"/>
          <w:spacing w:val="-3"/>
          <w:sz w:val="28"/>
          <w:szCs w:val="28"/>
        </w:rPr>
        <w:t>发展紧紧围</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绕交通强国建设和创新驱动发展这一长远战略目标，深入研究提出“十四五”综合交通运输发展思路、发展目标、重点任务，加快构建现代化综合交</w:t>
      </w:r>
      <w:r>
        <w:rPr>
          <w:rFonts w:ascii="仿宋" w:hAnsi="仿宋" w:eastAsia="仿宋" w:cs="仿宋"/>
          <w:spacing w:val="-3"/>
          <w:sz w:val="28"/>
          <w:szCs w:val="28"/>
        </w:rPr>
        <w:t>通运</w:t>
      </w:r>
    </w:p>
    <w:p w14:paraId="5CA77B84">
      <w:pPr>
        <w:spacing w:line="343" w:lineRule="auto"/>
        <w:rPr>
          <w:rFonts w:ascii="仿宋" w:hAnsi="仿宋" w:eastAsia="仿宋" w:cs="仿宋"/>
          <w:sz w:val="28"/>
          <w:szCs w:val="28"/>
        </w:rPr>
        <w:sectPr>
          <w:headerReference r:id="rId43" w:type="default"/>
          <w:footerReference r:id="rId44" w:type="default"/>
          <w:pgSz w:w="11906" w:h="16839"/>
          <w:pgMar w:top="1222" w:right="853" w:bottom="1156" w:left="1587" w:header="885" w:footer="920" w:gutter="0"/>
          <w:cols w:space="720" w:num="1"/>
        </w:sectPr>
      </w:pPr>
    </w:p>
    <w:p w14:paraId="7A259560">
      <w:pPr>
        <w:pStyle w:val="2"/>
        <w:spacing w:line="278" w:lineRule="auto"/>
      </w:pPr>
    </w:p>
    <w:p w14:paraId="7C1DBA93">
      <w:pPr>
        <w:spacing w:before="91" w:line="218" w:lineRule="auto"/>
        <w:ind w:left="13"/>
        <w:rPr>
          <w:rFonts w:ascii="仿宋" w:hAnsi="仿宋" w:eastAsia="仿宋" w:cs="仿宋"/>
          <w:sz w:val="28"/>
          <w:szCs w:val="28"/>
        </w:rPr>
      </w:pPr>
      <w:bookmarkStart w:id="16" w:name="bookmark14"/>
      <w:bookmarkEnd w:id="16"/>
      <w:r>
        <w:rPr>
          <w:rFonts w:ascii="仿宋" w:hAnsi="仿宋" w:eastAsia="仿宋" w:cs="仿宋"/>
          <w:spacing w:val="-4"/>
          <w:sz w:val="28"/>
          <w:szCs w:val="28"/>
        </w:rPr>
        <w:t>输体系。</w:t>
      </w:r>
    </w:p>
    <w:p w14:paraId="1B4A2D1D">
      <w:pPr>
        <w:spacing w:before="242" w:line="223" w:lineRule="auto"/>
        <w:ind w:left="635"/>
        <w:outlineLvl w:val="1"/>
        <w:rPr>
          <w:rFonts w:ascii="黑体" w:hAnsi="黑体" w:eastAsia="黑体" w:cs="黑体"/>
          <w:sz w:val="30"/>
          <w:szCs w:val="30"/>
        </w:rPr>
      </w:pPr>
      <w:bookmarkStart w:id="17" w:name="bookmark63"/>
      <w:bookmarkEnd w:id="17"/>
      <w:r>
        <w:rPr>
          <w:rFonts w:ascii="黑体" w:hAnsi="黑体" w:eastAsia="黑体" w:cs="黑体"/>
          <w:spacing w:val="-6"/>
          <w:sz w:val="30"/>
          <w:szCs w:val="30"/>
        </w:rPr>
        <w:t>（二）面临挑战</w:t>
      </w:r>
    </w:p>
    <w:p w14:paraId="014C7D43">
      <w:pPr>
        <w:spacing w:before="281" w:line="343" w:lineRule="auto"/>
        <w:ind w:left="9" w:right="192" w:firstLine="574"/>
        <w:jc w:val="both"/>
        <w:rPr>
          <w:rFonts w:ascii="仿宋" w:hAnsi="仿宋" w:eastAsia="仿宋" w:cs="仿宋"/>
          <w:sz w:val="28"/>
          <w:szCs w:val="28"/>
        </w:rPr>
      </w:pPr>
      <w:r>
        <w:rPr>
          <w:rFonts w:ascii="仿宋" w:hAnsi="仿宋" w:eastAsia="仿宋" w:cs="仿宋"/>
          <w:spacing w:val="-3"/>
          <w:sz w:val="28"/>
          <w:szCs w:val="28"/>
        </w:rPr>
        <w:t>外部宏观环境更加复杂严峻。当今世界正经历百年未有之大变局，国际</w:t>
      </w:r>
      <w:r>
        <w:rPr>
          <w:rFonts w:ascii="仿宋" w:hAnsi="仿宋" w:eastAsia="仿宋" w:cs="仿宋"/>
          <w:spacing w:val="-2"/>
          <w:sz w:val="28"/>
          <w:szCs w:val="28"/>
        </w:rPr>
        <w:t>环境日趋复杂，国际力量对比深刻调整，不稳定性不确定性显著增加，新冠肺炎疫情影响广泛深远。世界经济增长持续放缓，经济下行压力加大，国际投资和贸易持续低迷，复杂严峻的外部环境会对曲靖市综合交通运输发展带来较大影响。</w:t>
      </w:r>
    </w:p>
    <w:p w14:paraId="49EAA320">
      <w:pPr>
        <w:spacing w:before="15" w:line="342" w:lineRule="auto"/>
        <w:ind w:left="8" w:right="135" w:firstLine="574"/>
        <w:jc w:val="both"/>
        <w:rPr>
          <w:rFonts w:ascii="仿宋" w:hAnsi="仿宋" w:eastAsia="仿宋" w:cs="仿宋"/>
          <w:sz w:val="28"/>
          <w:szCs w:val="28"/>
        </w:rPr>
      </w:pPr>
      <w:r>
        <w:rPr>
          <w:rFonts w:ascii="仿宋" w:hAnsi="仿宋" w:eastAsia="仿宋" w:cs="仿宋"/>
          <w:spacing w:val="-3"/>
          <w:sz w:val="28"/>
          <w:szCs w:val="28"/>
        </w:rPr>
        <w:t>受疫情影响，国内实施外防输入、内防反弹的疫情防控策略下，我国正</w:t>
      </w:r>
      <w:r>
        <w:rPr>
          <w:rFonts w:ascii="仿宋" w:hAnsi="仿宋" w:eastAsia="仿宋" w:cs="仿宋"/>
          <w:spacing w:val="-2"/>
          <w:sz w:val="28"/>
          <w:szCs w:val="28"/>
        </w:rPr>
        <w:t>面临的内外发展环境、发展趋势均发生了根本变化，也面临着国内经济社会深刻转型的挑战，如何确保经济在持续稳定增长中推动创新转型加速并实现高质量跨越式发展，将成为“十四五”时期规划最主要的重任。而随着国内产业分工深刻调整，生产要素流动和产业转移步伐加快，中东部地区资本和产业北上西移，为西部发挥区位优势、承接产业转移、加快自身发展开辟了广阔空间。曲靖市属于国家西部大开发战略中率先发展的重点经济区，是在国家主体功能区战略格局中的重点开发区城市，且在长江经济带、西部陆海新通道和滇中城市群战略格局中，曲靖属于优先发展城市，经济将迎来又一个新的发展高潮。随着经济社会高质量发展和人民对美好生活的向往，曲靖</w:t>
      </w:r>
      <w:r>
        <w:rPr>
          <w:rFonts w:ascii="仿宋" w:hAnsi="仿宋" w:eastAsia="仿宋" w:cs="仿宋"/>
          <w:spacing w:val="4"/>
          <w:sz w:val="28"/>
          <w:szCs w:val="28"/>
        </w:rPr>
        <w:t>市综合交通运输需求将持续增长。</w:t>
      </w:r>
      <w:r>
        <w:rPr>
          <w:rFonts w:ascii="仿宋" w:hAnsi="仿宋" w:eastAsia="仿宋" w:cs="仿宋"/>
          <w:spacing w:val="-62"/>
          <w:sz w:val="28"/>
          <w:szCs w:val="28"/>
        </w:rPr>
        <w:t xml:space="preserve"> </w:t>
      </w:r>
      <w:r>
        <w:rPr>
          <w:rFonts w:ascii="仿宋" w:hAnsi="仿宋" w:eastAsia="仿宋" w:cs="仿宋"/>
          <w:spacing w:val="4"/>
          <w:sz w:val="28"/>
          <w:szCs w:val="28"/>
        </w:rPr>
        <w:t>因此，构建便捷、安全、经济、高效的</w:t>
      </w:r>
      <w:r>
        <w:rPr>
          <w:rFonts w:ascii="仿宋" w:hAnsi="仿宋" w:eastAsia="仿宋" w:cs="仿宋"/>
          <w:sz w:val="28"/>
          <w:szCs w:val="28"/>
        </w:rPr>
        <w:t>综合交通运输体系是曲靖市交通运输满足日益增长的交通需求的首</w:t>
      </w:r>
      <w:r>
        <w:rPr>
          <w:rFonts w:ascii="仿宋" w:hAnsi="仿宋" w:eastAsia="仿宋" w:cs="仿宋"/>
          <w:spacing w:val="-1"/>
          <w:sz w:val="28"/>
          <w:szCs w:val="28"/>
        </w:rPr>
        <w:t>要任务。</w:t>
      </w:r>
    </w:p>
    <w:p w14:paraId="69B076D3">
      <w:pPr>
        <w:spacing w:before="3" w:line="343" w:lineRule="auto"/>
        <w:ind w:left="16" w:firstLine="573"/>
        <w:jc w:val="both"/>
        <w:rPr>
          <w:rFonts w:ascii="仿宋" w:hAnsi="仿宋" w:eastAsia="仿宋" w:cs="仿宋"/>
          <w:sz w:val="28"/>
          <w:szCs w:val="28"/>
        </w:rPr>
      </w:pPr>
      <w:r>
        <w:rPr>
          <w:rFonts w:ascii="仿宋" w:hAnsi="仿宋" w:eastAsia="仿宋" w:cs="仿宋"/>
          <w:spacing w:val="-3"/>
          <w:sz w:val="28"/>
          <w:szCs w:val="28"/>
        </w:rPr>
        <w:t>“十四五”时期是曲靖市进入新时代、全面建设交通强国的开局期，交</w:t>
      </w:r>
      <w:r>
        <w:rPr>
          <w:rFonts w:ascii="仿宋" w:hAnsi="仿宋" w:eastAsia="仿宋" w:cs="仿宋"/>
          <w:spacing w:val="-2"/>
          <w:sz w:val="28"/>
          <w:szCs w:val="28"/>
        </w:rPr>
        <w:t>通运输作为先行条件，基础设施建设需求量将不断增加。当前</w:t>
      </w:r>
      <w:r>
        <w:rPr>
          <w:rFonts w:ascii="仿宋" w:hAnsi="仿宋" w:eastAsia="仿宋" w:cs="仿宋"/>
          <w:spacing w:val="-3"/>
          <w:sz w:val="28"/>
          <w:szCs w:val="28"/>
        </w:rPr>
        <w:t>国家针对曲靖</w:t>
      </w:r>
      <w:r>
        <w:rPr>
          <w:rFonts w:ascii="仿宋" w:hAnsi="仿宋" w:eastAsia="仿宋" w:cs="仿宋"/>
          <w:spacing w:val="-2"/>
          <w:sz w:val="28"/>
          <w:szCs w:val="28"/>
        </w:rPr>
        <w:t>市的基础投资补助标准低，扶持力度远不如新疆、西藏等地，</w:t>
      </w:r>
      <w:r>
        <w:rPr>
          <w:rFonts w:ascii="仿宋" w:hAnsi="仿宋" w:eastAsia="仿宋" w:cs="仿宋"/>
          <w:spacing w:val="-3"/>
          <w:sz w:val="28"/>
          <w:szCs w:val="28"/>
        </w:rPr>
        <w:t>同时相对于沿</w:t>
      </w:r>
      <w:r>
        <w:rPr>
          <w:rFonts w:ascii="仿宋" w:hAnsi="仿宋" w:eastAsia="仿宋" w:cs="仿宋"/>
          <w:spacing w:val="-2"/>
          <w:sz w:val="28"/>
          <w:szCs w:val="28"/>
        </w:rPr>
        <w:t>海发达地区，曲靖市金融市场发展较为滞后，大多建设项目仍</w:t>
      </w:r>
      <w:r>
        <w:rPr>
          <w:rFonts w:ascii="仿宋" w:hAnsi="仿宋" w:eastAsia="仿宋" w:cs="仿宋"/>
          <w:spacing w:val="-3"/>
          <w:sz w:val="28"/>
          <w:szCs w:val="28"/>
        </w:rPr>
        <w:t>以贷款为主要</w:t>
      </w:r>
      <w:r>
        <w:rPr>
          <w:rFonts w:ascii="仿宋" w:hAnsi="仿宋" w:eastAsia="仿宋" w:cs="仿宋"/>
          <w:spacing w:val="-5"/>
          <w:sz w:val="28"/>
          <w:szCs w:val="28"/>
        </w:rPr>
        <w:t>资金来源，融资渠道有限，造成了各项目建设债务沉重。国家扶持</w:t>
      </w:r>
      <w:r>
        <w:rPr>
          <w:rFonts w:ascii="仿宋" w:hAnsi="仿宋" w:eastAsia="仿宋" w:cs="仿宋"/>
          <w:spacing w:val="-6"/>
          <w:sz w:val="28"/>
          <w:szCs w:val="28"/>
        </w:rPr>
        <w:t>力度有限，</w:t>
      </w:r>
      <w:r>
        <w:rPr>
          <w:rFonts w:ascii="仿宋" w:hAnsi="仿宋" w:eastAsia="仿宋" w:cs="仿宋"/>
          <w:spacing w:val="3"/>
          <w:sz w:val="28"/>
          <w:szCs w:val="28"/>
        </w:rPr>
        <w:t>融资渠道较少，建设资金筹措困难以及建设</w:t>
      </w:r>
      <w:r>
        <w:rPr>
          <w:rFonts w:ascii="仿宋" w:hAnsi="仿宋" w:eastAsia="仿宋" w:cs="仿宋"/>
          <w:spacing w:val="2"/>
          <w:sz w:val="28"/>
          <w:szCs w:val="28"/>
        </w:rPr>
        <w:t>债务沉重仍是曲靖市</w:t>
      </w:r>
      <w:r>
        <w:rPr>
          <w:rFonts w:ascii="仿宋" w:hAnsi="仿宋" w:eastAsia="仿宋" w:cs="仿宋"/>
          <w:spacing w:val="-102"/>
          <w:sz w:val="28"/>
          <w:szCs w:val="28"/>
        </w:rPr>
        <w:t xml:space="preserve"> </w:t>
      </w:r>
      <w:r>
        <w:rPr>
          <w:rFonts w:ascii="仿宋" w:hAnsi="仿宋" w:eastAsia="仿宋" w:cs="仿宋"/>
          <w:spacing w:val="2"/>
          <w:sz w:val="28"/>
          <w:szCs w:val="28"/>
        </w:rPr>
        <w:t>“十四五”</w:t>
      </w:r>
      <w:r>
        <w:rPr>
          <w:rFonts w:ascii="仿宋" w:hAnsi="仿宋" w:eastAsia="仿宋" w:cs="仿宋"/>
          <w:spacing w:val="-2"/>
          <w:sz w:val="28"/>
          <w:szCs w:val="28"/>
        </w:rPr>
        <w:t>综合交通发展面临的主要问题。</w:t>
      </w:r>
    </w:p>
    <w:p w14:paraId="2B867215">
      <w:pPr>
        <w:spacing w:line="343" w:lineRule="auto"/>
        <w:rPr>
          <w:rFonts w:ascii="仿宋" w:hAnsi="仿宋" w:eastAsia="仿宋" w:cs="仿宋"/>
          <w:sz w:val="28"/>
          <w:szCs w:val="28"/>
        </w:rPr>
        <w:sectPr>
          <w:headerReference r:id="rId45" w:type="default"/>
          <w:footerReference r:id="rId46" w:type="default"/>
          <w:pgSz w:w="11906" w:h="16839"/>
          <w:pgMar w:top="1222" w:right="1390" w:bottom="1156" w:left="1134" w:header="885" w:footer="920" w:gutter="0"/>
          <w:cols w:space="720" w:num="1"/>
        </w:sectPr>
      </w:pPr>
    </w:p>
    <w:p w14:paraId="5C0CC2B1">
      <w:pPr>
        <w:spacing w:before="306" w:line="221" w:lineRule="auto"/>
        <w:ind w:left="635"/>
        <w:outlineLvl w:val="1"/>
        <w:rPr>
          <w:rFonts w:ascii="黑体" w:hAnsi="黑体" w:eastAsia="黑体" w:cs="黑体"/>
          <w:sz w:val="30"/>
          <w:szCs w:val="30"/>
        </w:rPr>
      </w:pPr>
      <w:bookmarkStart w:id="18" w:name="bookmark15"/>
      <w:bookmarkEnd w:id="18"/>
      <w:r>
        <w:rPr>
          <w:rFonts w:ascii="黑体" w:hAnsi="黑体" w:eastAsia="黑体" w:cs="黑体"/>
          <w:spacing w:val="-5"/>
          <w:sz w:val="30"/>
          <w:szCs w:val="30"/>
        </w:rPr>
        <w:t>（三）阶段性特征</w:t>
      </w:r>
    </w:p>
    <w:p w14:paraId="1A419383">
      <w:pPr>
        <w:tabs>
          <w:tab w:val="left" w:pos="9469"/>
        </w:tabs>
        <w:spacing w:before="284" w:line="343" w:lineRule="auto"/>
        <w:ind w:left="11" w:firstLine="572"/>
        <w:jc w:val="both"/>
        <w:rPr>
          <w:rFonts w:ascii="仿宋" w:hAnsi="仿宋" w:eastAsia="仿宋" w:cs="仿宋"/>
          <w:sz w:val="28"/>
          <w:szCs w:val="28"/>
        </w:rPr>
      </w:pPr>
      <w:r>
        <w:rPr>
          <w:rFonts w:ascii="仿宋" w:hAnsi="仿宋" w:eastAsia="仿宋" w:cs="仿宋"/>
          <w:spacing w:val="-3"/>
          <w:sz w:val="28"/>
          <w:szCs w:val="28"/>
        </w:rPr>
        <w:t>综合判断，</w:t>
      </w:r>
      <w:r>
        <w:rPr>
          <w:rFonts w:ascii="仿宋" w:hAnsi="仿宋" w:eastAsia="仿宋" w:cs="仿宋"/>
          <w:spacing w:val="-119"/>
          <w:sz w:val="28"/>
          <w:szCs w:val="28"/>
        </w:rPr>
        <w:t xml:space="preserve"> </w:t>
      </w:r>
      <w:r>
        <w:rPr>
          <w:rFonts w:ascii="仿宋" w:hAnsi="仿宋" w:eastAsia="仿宋" w:cs="仿宋"/>
          <w:spacing w:val="-3"/>
          <w:sz w:val="28"/>
          <w:szCs w:val="28"/>
        </w:rPr>
        <w:t>“十三五”期间，曲靖市综合交通运输发展</w:t>
      </w:r>
      <w:r>
        <w:rPr>
          <w:rFonts w:ascii="仿宋" w:hAnsi="仿宋" w:eastAsia="仿宋" w:cs="仿宋"/>
          <w:spacing w:val="-4"/>
          <w:sz w:val="28"/>
          <w:szCs w:val="28"/>
        </w:rPr>
        <w:t>实现了从基本缓</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4"/>
          <w:sz w:val="28"/>
          <w:szCs w:val="28"/>
        </w:rPr>
        <w:t>解</w:t>
      </w:r>
      <w:r>
        <w:rPr>
          <w:rFonts w:ascii="仿宋" w:hAnsi="仿宋" w:eastAsia="仿宋" w:cs="仿宋"/>
          <w:spacing w:val="-100"/>
          <w:sz w:val="28"/>
          <w:szCs w:val="28"/>
        </w:rPr>
        <w:t xml:space="preserve"> </w:t>
      </w:r>
      <w:r>
        <w:rPr>
          <w:rFonts w:ascii="仿宋" w:hAnsi="仿宋" w:eastAsia="仿宋" w:cs="仿宋"/>
          <w:spacing w:val="-4"/>
          <w:sz w:val="28"/>
          <w:szCs w:val="28"/>
        </w:rPr>
        <w:t>“到基本适应”的重大转变，</w:t>
      </w:r>
      <w:r>
        <w:rPr>
          <w:rFonts w:ascii="仿宋" w:hAnsi="仿宋" w:eastAsia="仿宋" w:cs="仿宋"/>
          <w:spacing w:val="-112"/>
          <w:sz w:val="28"/>
          <w:szCs w:val="28"/>
        </w:rPr>
        <w:t xml:space="preserve"> </w:t>
      </w:r>
      <w:r>
        <w:rPr>
          <w:rFonts w:ascii="仿宋" w:hAnsi="仿宋" w:eastAsia="仿宋" w:cs="仿宋"/>
          <w:spacing w:val="-4"/>
          <w:sz w:val="28"/>
          <w:szCs w:val="28"/>
        </w:rPr>
        <w:t>“十四五”期间，曲靖市综合交通运输发展</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将由“基本适应”向“提质增效、适度超前”转变。总体上分析，“十四五”</w:t>
      </w:r>
      <w:r>
        <w:rPr>
          <w:rFonts w:ascii="仿宋" w:hAnsi="仿宋" w:eastAsia="仿宋" w:cs="仿宋"/>
          <w:spacing w:val="-1"/>
          <w:sz w:val="28"/>
          <w:szCs w:val="28"/>
        </w:rPr>
        <w:t>时期曲靖市综合交通运输发展的突出特征：</w:t>
      </w:r>
    </w:p>
    <w:p w14:paraId="0EF31062">
      <w:pPr>
        <w:spacing w:before="5" w:line="342" w:lineRule="auto"/>
        <w:ind w:left="8" w:right="284" w:firstLine="556"/>
        <w:jc w:val="both"/>
        <w:rPr>
          <w:rFonts w:ascii="仿宋" w:hAnsi="仿宋" w:eastAsia="仿宋" w:cs="仿宋"/>
          <w:sz w:val="28"/>
          <w:szCs w:val="28"/>
        </w:rPr>
      </w:pPr>
      <w:r>
        <w:rPr>
          <w:rFonts w:ascii="仿宋" w:hAnsi="仿宋" w:eastAsia="仿宋" w:cs="仿宋"/>
          <w:b/>
          <w:bCs/>
          <w:spacing w:val="-4"/>
          <w:sz w:val="28"/>
          <w:szCs w:val="28"/>
        </w:rPr>
        <w:t>仍处于基础设施加快成网的攻坚时期。</w:t>
      </w:r>
      <w:r>
        <w:rPr>
          <w:rFonts w:ascii="仿宋" w:hAnsi="仿宋" w:eastAsia="仿宋" w:cs="仿宋"/>
          <w:spacing w:val="-4"/>
          <w:sz w:val="28"/>
          <w:szCs w:val="28"/>
        </w:rPr>
        <w:t>交通基础设施网络待完善、不充</w:t>
      </w:r>
      <w:r>
        <w:rPr>
          <w:rFonts w:ascii="仿宋" w:hAnsi="仿宋" w:eastAsia="仿宋" w:cs="仿宋"/>
          <w:spacing w:val="-3"/>
          <w:sz w:val="28"/>
          <w:szCs w:val="28"/>
        </w:rPr>
        <w:t>分，仍是当前曲靖综合交通发展面临的首要问题，</w:t>
      </w:r>
      <w:r>
        <w:rPr>
          <w:rFonts w:ascii="仿宋" w:hAnsi="仿宋" w:eastAsia="仿宋" w:cs="仿宋"/>
          <w:spacing w:val="-104"/>
          <w:sz w:val="28"/>
          <w:szCs w:val="28"/>
        </w:rPr>
        <w:t xml:space="preserve"> </w:t>
      </w:r>
      <w:r>
        <w:rPr>
          <w:rFonts w:ascii="仿宋" w:hAnsi="仿宋" w:eastAsia="仿宋" w:cs="仿宋"/>
          <w:spacing w:val="-3"/>
          <w:sz w:val="28"/>
          <w:szCs w:val="28"/>
        </w:rPr>
        <w:t>“十四五”期仍需保持一</w:t>
      </w:r>
      <w:r>
        <w:rPr>
          <w:rFonts w:ascii="仿宋" w:hAnsi="仿宋" w:eastAsia="仿宋" w:cs="仿宋"/>
          <w:spacing w:val="-2"/>
          <w:sz w:val="28"/>
          <w:szCs w:val="28"/>
        </w:rPr>
        <w:t>定建设规模和发展速度，加快由各种方式相对独立发展向更加注重一体融合发展、由注重通道建设向依托全国性综合交通枢纽和通道并重的转变，大力</w:t>
      </w:r>
      <w:r>
        <w:rPr>
          <w:rFonts w:ascii="仿宋" w:hAnsi="仿宋" w:eastAsia="仿宋" w:cs="仿宋"/>
          <w:spacing w:val="-1"/>
          <w:sz w:val="28"/>
          <w:szCs w:val="28"/>
        </w:rPr>
        <w:t>提升基础设施的总体供给能力。</w:t>
      </w:r>
    </w:p>
    <w:p w14:paraId="78163B70">
      <w:pPr>
        <w:spacing w:before="6" w:line="342" w:lineRule="auto"/>
        <w:ind w:left="9" w:right="197" w:firstLine="555"/>
        <w:jc w:val="both"/>
        <w:rPr>
          <w:rFonts w:ascii="仿宋" w:hAnsi="仿宋" w:eastAsia="仿宋" w:cs="仿宋"/>
          <w:sz w:val="28"/>
          <w:szCs w:val="28"/>
        </w:rPr>
      </w:pPr>
      <w:r>
        <w:rPr>
          <w:rFonts w:ascii="仿宋" w:hAnsi="仿宋" w:eastAsia="仿宋" w:cs="仿宋"/>
          <w:b/>
          <w:bCs/>
          <w:spacing w:val="-4"/>
          <w:sz w:val="28"/>
          <w:szCs w:val="28"/>
        </w:rPr>
        <w:t>仍处于运输服务全面提质的黄金时期。</w:t>
      </w:r>
      <w:r>
        <w:rPr>
          <w:rFonts w:ascii="仿宋" w:hAnsi="仿宋" w:eastAsia="仿宋" w:cs="仿宋"/>
          <w:spacing w:val="-4"/>
          <w:sz w:val="28"/>
          <w:szCs w:val="28"/>
        </w:rPr>
        <w:t>社会主要矛盾的转化和人民生活</w:t>
      </w:r>
      <w:r>
        <w:rPr>
          <w:rFonts w:ascii="仿宋" w:hAnsi="仿宋" w:eastAsia="仿宋" w:cs="仿宋"/>
          <w:spacing w:val="-8"/>
          <w:sz w:val="28"/>
          <w:szCs w:val="28"/>
        </w:rPr>
        <w:t>水平的提高，要求全面提升运输服务效率与品质，培育运输新服务、新业态、</w:t>
      </w:r>
      <w:r>
        <w:rPr>
          <w:rFonts w:ascii="仿宋" w:hAnsi="仿宋" w:eastAsia="仿宋" w:cs="仿宋"/>
          <w:spacing w:val="-2"/>
          <w:sz w:val="28"/>
          <w:szCs w:val="28"/>
        </w:rPr>
        <w:t>新模式，不断满足多元化、个性化、差异化的出行需求，提供更加可靠、可</w:t>
      </w:r>
      <w:r>
        <w:rPr>
          <w:rFonts w:ascii="仿宋" w:hAnsi="仿宋" w:eastAsia="仿宋" w:cs="仿宋"/>
          <w:spacing w:val="-1"/>
          <w:sz w:val="28"/>
          <w:szCs w:val="28"/>
        </w:rPr>
        <w:t>见、可控的现代物流服务。</w:t>
      </w:r>
    </w:p>
    <w:p w14:paraId="3D2762CF">
      <w:pPr>
        <w:spacing w:before="5" w:line="342" w:lineRule="auto"/>
        <w:ind w:left="6" w:right="218" w:firstLine="568"/>
        <w:jc w:val="both"/>
        <w:rPr>
          <w:rFonts w:ascii="仿宋" w:hAnsi="仿宋" w:eastAsia="仿宋" w:cs="仿宋"/>
          <w:sz w:val="28"/>
          <w:szCs w:val="28"/>
        </w:rPr>
      </w:pPr>
      <w:r>
        <w:rPr>
          <w:rFonts w:ascii="仿宋" w:hAnsi="仿宋" w:eastAsia="仿宋" w:cs="仿宋"/>
          <w:b/>
          <w:bCs/>
          <w:spacing w:val="-4"/>
          <w:sz w:val="28"/>
          <w:szCs w:val="28"/>
        </w:rPr>
        <w:t>将进入运输结构加速调整的关键时期。</w:t>
      </w:r>
      <w:r>
        <w:rPr>
          <w:rFonts w:ascii="仿宋" w:hAnsi="仿宋" w:eastAsia="仿宋" w:cs="仿宋"/>
          <w:spacing w:val="-4"/>
          <w:sz w:val="28"/>
          <w:szCs w:val="28"/>
        </w:rPr>
        <w:t>随着曲靖市综合交通网络的逐步</w:t>
      </w:r>
      <w:r>
        <w:rPr>
          <w:rFonts w:ascii="仿宋" w:hAnsi="仿宋" w:eastAsia="仿宋" w:cs="仿宋"/>
          <w:spacing w:val="-8"/>
          <w:sz w:val="28"/>
          <w:szCs w:val="28"/>
        </w:rPr>
        <w:t>完善，运输结构将加速调整，公路承担的中长途客货运输将逐步向</w:t>
      </w:r>
      <w:r>
        <w:rPr>
          <w:rFonts w:ascii="仿宋" w:hAnsi="仿宋" w:eastAsia="仿宋" w:cs="仿宋"/>
          <w:spacing w:val="-9"/>
          <w:sz w:val="28"/>
          <w:szCs w:val="28"/>
        </w:rPr>
        <w:t>铁路转移；</w:t>
      </w:r>
      <w:r>
        <w:rPr>
          <w:rFonts w:ascii="仿宋" w:hAnsi="仿宋" w:eastAsia="仿宋" w:cs="仿宋"/>
          <w:spacing w:val="-2"/>
          <w:sz w:val="28"/>
          <w:szCs w:val="28"/>
        </w:rPr>
        <w:t>在中短距离客货运输以及惠及全民的交通基本公共服务、适应个性化旅客运输需求、提供其他运输方式集疏运、保障应急救灾等方面，公路运输仍将发</w:t>
      </w:r>
      <w:r>
        <w:rPr>
          <w:rFonts w:ascii="仿宋" w:hAnsi="仿宋" w:eastAsia="仿宋" w:cs="仿宋"/>
          <w:spacing w:val="-1"/>
          <w:sz w:val="28"/>
          <w:szCs w:val="28"/>
        </w:rPr>
        <w:t>挥无可替代的作用。</w:t>
      </w:r>
    </w:p>
    <w:p w14:paraId="50E542DC">
      <w:pPr>
        <w:spacing w:before="6" w:line="342" w:lineRule="auto"/>
        <w:ind w:left="5" w:right="284" w:firstLine="570"/>
        <w:jc w:val="both"/>
        <w:rPr>
          <w:rFonts w:ascii="仿宋" w:hAnsi="仿宋" w:eastAsia="仿宋" w:cs="仿宋"/>
          <w:sz w:val="28"/>
          <w:szCs w:val="28"/>
        </w:rPr>
      </w:pPr>
      <w:r>
        <w:rPr>
          <w:rFonts w:ascii="仿宋" w:hAnsi="仿宋" w:eastAsia="仿宋" w:cs="仿宋"/>
          <w:b/>
          <w:bCs/>
          <w:spacing w:val="-4"/>
          <w:sz w:val="28"/>
          <w:szCs w:val="28"/>
        </w:rPr>
        <w:t>将进入高质量跨越式发展的转型时期。</w:t>
      </w:r>
      <w:r>
        <w:rPr>
          <w:rFonts w:ascii="仿宋" w:hAnsi="仿宋" w:eastAsia="仿宋" w:cs="仿宋"/>
          <w:spacing w:val="-4"/>
          <w:sz w:val="28"/>
          <w:szCs w:val="28"/>
        </w:rPr>
        <w:t>曲靖市经济由高速度增长向高质</w:t>
      </w:r>
      <w:r>
        <w:rPr>
          <w:rFonts w:ascii="仿宋" w:hAnsi="仿宋" w:eastAsia="仿宋" w:cs="仿宋"/>
          <w:spacing w:val="-2"/>
          <w:sz w:val="28"/>
          <w:szCs w:val="28"/>
        </w:rPr>
        <w:t>量发展转型，要求交通建设贯彻新发展理念，着力</w:t>
      </w:r>
      <w:bookmarkStart w:id="76" w:name="_GoBack"/>
      <w:bookmarkEnd w:id="76"/>
      <w:r>
        <w:rPr>
          <w:rFonts w:hint="eastAsia" w:ascii="仿宋" w:hAnsi="仿宋" w:eastAsia="仿宋" w:cs="仿宋"/>
          <w:spacing w:val="-2"/>
          <w:sz w:val="28"/>
          <w:szCs w:val="28"/>
          <w:lang w:eastAsia="zh-CN"/>
        </w:rPr>
        <w:t>转变发展方式、优化经济结构、转换增长动力</w:t>
      </w:r>
      <w:r>
        <w:rPr>
          <w:rFonts w:ascii="仿宋" w:hAnsi="仿宋" w:eastAsia="仿宋" w:cs="仿宋"/>
          <w:spacing w:val="-2"/>
          <w:sz w:val="28"/>
          <w:szCs w:val="28"/>
        </w:rPr>
        <w:t>，进一步调整要素投入机制，加快推广绿色、环保、低</w:t>
      </w:r>
      <w:r>
        <w:rPr>
          <w:rFonts w:ascii="仿宋" w:hAnsi="仿宋" w:eastAsia="仿宋" w:cs="仿宋"/>
          <w:spacing w:val="-4"/>
          <w:sz w:val="28"/>
          <w:szCs w:val="28"/>
        </w:rPr>
        <w:t>碳的建设方式和运输组织方式，牢牢把握高质量发展的历史性</w:t>
      </w:r>
      <w:r>
        <w:rPr>
          <w:rFonts w:ascii="仿宋" w:hAnsi="仿宋" w:eastAsia="仿宋" w:cs="仿宋"/>
          <w:spacing w:val="-99"/>
          <w:sz w:val="28"/>
          <w:szCs w:val="28"/>
        </w:rPr>
        <w:t xml:space="preserve"> </w:t>
      </w:r>
      <w:r>
        <w:rPr>
          <w:rFonts w:ascii="仿宋" w:hAnsi="仿宋" w:eastAsia="仿宋" w:cs="仿宋"/>
          <w:spacing w:val="-4"/>
          <w:sz w:val="28"/>
          <w:szCs w:val="28"/>
        </w:rPr>
        <w:t>“</w:t>
      </w:r>
      <w:r>
        <w:rPr>
          <w:rFonts w:ascii="仿宋" w:hAnsi="仿宋" w:eastAsia="仿宋" w:cs="仿宋"/>
          <w:spacing w:val="-109"/>
          <w:sz w:val="28"/>
          <w:szCs w:val="28"/>
        </w:rPr>
        <w:t xml:space="preserve"> </w:t>
      </w:r>
      <w:r>
        <w:rPr>
          <w:rFonts w:ascii="仿宋" w:hAnsi="仿宋" w:eastAsia="仿宋" w:cs="仿宋"/>
          <w:spacing w:val="-4"/>
          <w:sz w:val="28"/>
          <w:szCs w:val="28"/>
        </w:rPr>
        <w:t>窗口期”，</w:t>
      </w:r>
      <w:r>
        <w:rPr>
          <w:rFonts w:ascii="仿宋" w:hAnsi="仿宋" w:eastAsia="仿宋" w:cs="仿宋"/>
          <w:spacing w:val="-1"/>
          <w:sz w:val="28"/>
          <w:szCs w:val="28"/>
        </w:rPr>
        <w:t>实现转型升级。</w:t>
      </w:r>
    </w:p>
    <w:p w14:paraId="2AFEACF5">
      <w:pPr>
        <w:spacing w:before="1" w:line="343" w:lineRule="auto"/>
        <w:ind w:left="17" w:right="281" w:firstLine="558"/>
        <w:rPr>
          <w:rFonts w:ascii="仿宋" w:hAnsi="仿宋" w:eastAsia="仿宋" w:cs="仿宋"/>
          <w:sz w:val="28"/>
          <w:szCs w:val="28"/>
        </w:rPr>
      </w:pPr>
      <w:r>
        <w:rPr>
          <w:rFonts w:ascii="仿宋" w:hAnsi="仿宋" w:eastAsia="仿宋" w:cs="仿宋"/>
          <w:b/>
          <w:bCs/>
          <w:spacing w:val="-4"/>
          <w:sz w:val="28"/>
          <w:szCs w:val="28"/>
        </w:rPr>
        <w:t>将进入行业治理能力提升的重要时期。</w:t>
      </w:r>
      <w:r>
        <w:rPr>
          <w:rFonts w:ascii="仿宋" w:hAnsi="仿宋" w:eastAsia="仿宋" w:cs="仿宋"/>
          <w:spacing w:val="-4"/>
          <w:sz w:val="28"/>
          <w:szCs w:val="28"/>
        </w:rPr>
        <w:t>“十四五”期是我国实施收费公</w:t>
      </w:r>
      <w:r>
        <w:rPr>
          <w:rFonts w:ascii="仿宋" w:hAnsi="仿宋" w:eastAsia="仿宋" w:cs="仿宋"/>
          <w:spacing w:val="-2"/>
          <w:sz w:val="28"/>
          <w:szCs w:val="28"/>
        </w:rPr>
        <w:t>路管理政策调整、推进中央与地方事权与支出责任改革、深化</w:t>
      </w:r>
      <w:r>
        <w:rPr>
          <w:rFonts w:ascii="仿宋" w:hAnsi="仿宋" w:eastAsia="仿宋" w:cs="仿宋"/>
          <w:spacing w:val="-3"/>
          <w:sz w:val="28"/>
          <w:szCs w:val="28"/>
        </w:rPr>
        <w:t>生态文明制度</w:t>
      </w:r>
    </w:p>
    <w:p w14:paraId="0ED86064">
      <w:pPr>
        <w:spacing w:line="343" w:lineRule="auto"/>
        <w:rPr>
          <w:rFonts w:ascii="仿宋" w:hAnsi="仿宋" w:eastAsia="仿宋" w:cs="仿宋"/>
          <w:sz w:val="28"/>
          <w:szCs w:val="28"/>
        </w:rPr>
        <w:sectPr>
          <w:headerReference r:id="rId47" w:type="default"/>
          <w:footerReference r:id="rId48" w:type="default"/>
          <w:pgSz w:w="11906" w:h="16839"/>
          <w:pgMar w:top="1222" w:right="848" w:bottom="1156" w:left="1587" w:header="885" w:footer="920" w:gutter="0"/>
          <w:cols w:space="720" w:num="1"/>
        </w:sectPr>
      </w:pPr>
    </w:p>
    <w:p w14:paraId="2DA18772">
      <w:pPr>
        <w:pStyle w:val="2"/>
        <w:spacing w:line="280" w:lineRule="auto"/>
      </w:pPr>
    </w:p>
    <w:p w14:paraId="3530934C">
      <w:pPr>
        <w:spacing w:before="91" w:line="342" w:lineRule="auto"/>
        <w:ind w:left="21" w:right="84" w:hanging="14"/>
        <w:rPr>
          <w:rFonts w:ascii="仿宋" w:hAnsi="仿宋" w:eastAsia="仿宋" w:cs="仿宋"/>
          <w:sz w:val="28"/>
          <w:szCs w:val="28"/>
        </w:rPr>
      </w:pPr>
      <w:r>
        <w:rPr>
          <w:rFonts w:ascii="仿宋" w:hAnsi="仿宋" w:eastAsia="仿宋" w:cs="仿宋"/>
          <w:spacing w:val="-2"/>
          <w:sz w:val="28"/>
          <w:szCs w:val="28"/>
        </w:rPr>
        <w:t>建设的重要时期。曲靖市交通发展要统筹推进重点领域和关键环节改革，全</w:t>
      </w:r>
      <w:r>
        <w:rPr>
          <w:rFonts w:ascii="仿宋" w:hAnsi="仿宋" w:eastAsia="仿宋" w:cs="仿宋"/>
          <w:spacing w:val="-3"/>
          <w:sz w:val="28"/>
          <w:szCs w:val="28"/>
        </w:rPr>
        <w:t>面提升行业治理水平。</w:t>
      </w:r>
    </w:p>
    <w:p w14:paraId="044707BF">
      <w:pPr>
        <w:spacing w:before="141" w:line="228" w:lineRule="auto"/>
        <w:ind w:left="658"/>
        <w:outlineLvl w:val="0"/>
        <w:rPr>
          <w:rFonts w:ascii="黑体" w:hAnsi="黑体" w:eastAsia="黑体" w:cs="黑体"/>
          <w:sz w:val="31"/>
          <w:szCs w:val="31"/>
        </w:rPr>
      </w:pPr>
      <w:bookmarkStart w:id="19" w:name="bookmark17"/>
      <w:bookmarkEnd w:id="19"/>
      <w:bookmarkStart w:id="20" w:name="bookmark16"/>
      <w:bookmarkEnd w:id="20"/>
      <w:r>
        <w:rPr>
          <w:rFonts w:ascii="黑体" w:hAnsi="黑体" w:eastAsia="黑体" w:cs="黑体"/>
          <w:b/>
          <w:bCs/>
          <w:spacing w:val="4"/>
          <w:sz w:val="31"/>
          <w:szCs w:val="31"/>
        </w:rPr>
        <w:t>三、总体要求</w:t>
      </w:r>
    </w:p>
    <w:p w14:paraId="59D28EA5">
      <w:pPr>
        <w:pStyle w:val="2"/>
        <w:spacing w:line="267" w:lineRule="auto"/>
      </w:pPr>
    </w:p>
    <w:p w14:paraId="6E779632">
      <w:pPr>
        <w:spacing w:before="97" w:line="222" w:lineRule="auto"/>
        <w:ind w:left="635"/>
        <w:outlineLvl w:val="1"/>
        <w:rPr>
          <w:rFonts w:ascii="黑体" w:hAnsi="黑体" w:eastAsia="黑体" w:cs="黑体"/>
          <w:sz w:val="30"/>
          <w:szCs w:val="30"/>
        </w:rPr>
      </w:pPr>
      <w:bookmarkStart w:id="21" w:name="bookmark64"/>
      <w:bookmarkEnd w:id="21"/>
      <w:r>
        <w:rPr>
          <w:rFonts w:ascii="黑体" w:hAnsi="黑体" w:eastAsia="黑体" w:cs="黑体"/>
          <w:spacing w:val="-6"/>
          <w:sz w:val="30"/>
          <w:szCs w:val="30"/>
        </w:rPr>
        <w:t>（一）指导思想</w:t>
      </w:r>
    </w:p>
    <w:p w14:paraId="25C93BB8">
      <w:pPr>
        <w:spacing w:before="283" w:line="343" w:lineRule="auto"/>
        <w:ind w:left="9" w:firstLine="614"/>
        <w:jc w:val="both"/>
        <w:rPr>
          <w:rFonts w:ascii="仿宋" w:hAnsi="仿宋" w:eastAsia="仿宋" w:cs="仿宋"/>
          <w:sz w:val="28"/>
          <w:szCs w:val="28"/>
        </w:rPr>
      </w:pPr>
      <w:r>
        <w:rPr>
          <w:rFonts w:ascii="仿宋" w:hAnsi="仿宋" w:eastAsia="仿宋" w:cs="仿宋"/>
          <w:spacing w:val="5"/>
          <w:sz w:val="28"/>
          <w:szCs w:val="28"/>
        </w:rPr>
        <w:t>以习近平新时代中国特色社会主义思想为指导，全面贯彻落实党的十</w:t>
      </w:r>
      <w:r>
        <w:rPr>
          <w:rFonts w:ascii="仿宋" w:hAnsi="仿宋" w:eastAsia="仿宋" w:cs="仿宋"/>
          <w:spacing w:val="6"/>
          <w:sz w:val="28"/>
          <w:szCs w:val="28"/>
        </w:rPr>
        <w:t>九大和十九届历次全会精神，深入贯彻落实习近平总书记考察云南重要讲</w:t>
      </w:r>
      <w:r>
        <w:rPr>
          <w:rFonts w:ascii="仿宋" w:hAnsi="仿宋" w:eastAsia="仿宋" w:cs="仿宋"/>
          <w:spacing w:val="1"/>
          <w:sz w:val="28"/>
          <w:szCs w:val="28"/>
        </w:rPr>
        <w:t>话精神和曲靖市第六次党代会精神，贯彻落实</w:t>
      </w:r>
      <w:r>
        <w:rPr>
          <w:rFonts w:ascii="仿宋" w:hAnsi="仿宋" w:eastAsia="仿宋" w:cs="仿宋"/>
          <w:sz w:val="28"/>
          <w:szCs w:val="28"/>
        </w:rPr>
        <w:t>国家提出碳达峰碳中和目标，</w:t>
      </w:r>
      <w:r>
        <w:rPr>
          <w:rFonts w:ascii="仿宋" w:hAnsi="仿宋" w:eastAsia="仿宋" w:cs="仿宋"/>
          <w:spacing w:val="2"/>
          <w:sz w:val="28"/>
          <w:szCs w:val="28"/>
        </w:rPr>
        <w:t>统筹推进</w:t>
      </w:r>
      <w:r>
        <w:rPr>
          <w:rFonts w:ascii="仿宋" w:hAnsi="仿宋" w:eastAsia="仿宋" w:cs="仿宋"/>
          <w:spacing w:val="-88"/>
          <w:sz w:val="28"/>
          <w:szCs w:val="28"/>
        </w:rPr>
        <w:t xml:space="preserve"> </w:t>
      </w:r>
      <w:r>
        <w:rPr>
          <w:rFonts w:ascii="仿宋" w:hAnsi="仿宋" w:eastAsia="仿宋" w:cs="仿宋"/>
          <w:spacing w:val="2"/>
          <w:sz w:val="28"/>
          <w:szCs w:val="28"/>
        </w:rPr>
        <w:t>“五位一体”总体布局，协调推进</w:t>
      </w:r>
      <w:r>
        <w:rPr>
          <w:rFonts w:ascii="仿宋" w:hAnsi="仿宋" w:eastAsia="仿宋" w:cs="仿宋"/>
          <w:spacing w:val="-97"/>
          <w:sz w:val="28"/>
          <w:szCs w:val="28"/>
        </w:rPr>
        <w:t xml:space="preserve"> </w:t>
      </w:r>
      <w:r>
        <w:rPr>
          <w:rFonts w:ascii="仿宋" w:hAnsi="仿宋" w:eastAsia="仿宋" w:cs="仿宋"/>
          <w:spacing w:val="2"/>
          <w:sz w:val="28"/>
          <w:szCs w:val="28"/>
        </w:rPr>
        <w:t>“</w:t>
      </w:r>
      <w:r>
        <w:rPr>
          <w:rFonts w:ascii="仿宋" w:hAnsi="仿宋" w:eastAsia="仿宋" w:cs="仿宋"/>
          <w:spacing w:val="-89"/>
          <w:sz w:val="28"/>
          <w:szCs w:val="28"/>
        </w:rPr>
        <w:t xml:space="preserve"> </w:t>
      </w:r>
      <w:r>
        <w:rPr>
          <w:rFonts w:ascii="仿宋" w:hAnsi="仿宋" w:eastAsia="仿宋" w:cs="仿宋"/>
          <w:spacing w:val="2"/>
          <w:sz w:val="28"/>
          <w:szCs w:val="28"/>
        </w:rPr>
        <w:t>四个全面”战略布局，立足</w:t>
      </w:r>
      <w:r>
        <w:rPr>
          <w:rFonts w:ascii="仿宋" w:hAnsi="仿宋" w:eastAsia="仿宋" w:cs="仿宋"/>
          <w:spacing w:val="6"/>
          <w:sz w:val="28"/>
          <w:szCs w:val="28"/>
        </w:rPr>
        <w:t>新发展阶段，贯彻新发展理念，坚持稳中求进工作总基调，以推动高质量跨越式发展为主题，以深化供给侧结构性改革为主线，积极服务国家发展</w:t>
      </w:r>
      <w:r>
        <w:rPr>
          <w:rFonts w:ascii="仿宋" w:hAnsi="仿宋" w:eastAsia="仿宋" w:cs="仿宋"/>
          <w:spacing w:val="4"/>
          <w:sz w:val="28"/>
          <w:szCs w:val="28"/>
        </w:rPr>
        <w:t>战略和省市重大决策部署，紧紧抓住</w:t>
      </w:r>
      <w:r>
        <w:rPr>
          <w:rFonts w:ascii="仿宋" w:hAnsi="仿宋" w:eastAsia="仿宋" w:cs="仿宋"/>
          <w:spacing w:val="-96"/>
          <w:sz w:val="28"/>
          <w:szCs w:val="28"/>
        </w:rPr>
        <w:t xml:space="preserve"> </w:t>
      </w:r>
      <w:r>
        <w:rPr>
          <w:rFonts w:ascii="仿宋" w:hAnsi="仿宋" w:eastAsia="仿宋" w:cs="仿宋"/>
          <w:spacing w:val="4"/>
          <w:sz w:val="28"/>
          <w:szCs w:val="28"/>
        </w:rPr>
        <w:t>“</w:t>
      </w:r>
      <w:r>
        <w:rPr>
          <w:rFonts w:ascii="仿宋" w:hAnsi="仿宋" w:eastAsia="仿宋" w:cs="仿宋"/>
          <w:spacing w:val="-104"/>
          <w:sz w:val="28"/>
          <w:szCs w:val="28"/>
        </w:rPr>
        <w:t xml:space="preserve"> </w:t>
      </w:r>
      <w:r>
        <w:rPr>
          <w:rFonts w:ascii="仿宋" w:hAnsi="仿宋" w:eastAsia="仿宋" w:cs="仿宋"/>
          <w:spacing w:val="4"/>
          <w:sz w:val="28"/>
          <w:szCs w:val="28"/>
        </w:rPr>
        <w:t>一带一路”和长江经济带、新一轮</w:t>
      </w:r>
      <w:r>
        <w:rPr>
          <w:rFonts w:ascii="仿宋" w:hAnsi="仿宋" w:eastAsia="仿宋" w:cs="仿宋"/>
          <w:spacing w:val="-1"/>
          <w:sz w:val="28"/>
          <w:szCs w:val="28"/>
        </w:rPr>
        <w:t>西部大开发等战略机遇，聚焦“</w:t>
      </w:r>
      <w:r>
        <w:rPr>
          <w:rFonts w:ascii="仿宋" w:hAnsi="仿宋" w:eastAsia="仿宋" w:cs="仿宋"/>
          <w:spacing w:val="-87"/>
          <w:sz w:val="28"/>
          <w:szCs w:val="28"/>
        </w:rPr>
        <w:t xml:space="preserve"> </w:t>
      </w:r>
      <w:r>
        <w:rPr>
          <w:rFonts w:ascii="仿宋" w:hAnsi="仿宋" w:eastAsia="仿宋" w:cs="仿宋"/>
          <w:spacing w:val="-1"/>
          <w:sz w:val="28"/>
          <w:szCs w:val="28"/>
        </w:rPr>
        <w:t>四个定位”，突出增强人民群众的获得感、</w:t>
      </w:r>
      <w:r>
        <w:rPr>
          <w:rFonts w:ascii="仿宋" w:hAnsi="仿宋" w:eastAsia="仿宋" w:cs="仿宋"/>
          <w:spacing w:val="6"/>
          <w:sz w:val="28"/>
          <w:szCs w:val="28"/>
        </w:rPr>
        <w:t>幸福感、安全感，充分发挥交通运输在经济社会发展中的基础性和引导性作用，以交通强国建设为导向，努力推进综合交通运输体系建设，着力调整运输结构、拓展服务功能、提升智慧化水平、促进现代物流发展、建设</w:t>
      </w:r>
      <w:r>
        <w:rPr>
          <w:rFonts w:ascii="仿宋" w:hAnsi="仿宋" w:eastAsia="仿宋" w:cs="仿宋"/>
          <w:spacing w:val="3"/>
          <w:sz w:val="28"/>
          <w:szCs w:val="28"/>
        </w:rPr>
        <w:t>资源节约型和环境友好型行业，构建曲靖</w:t>
      </w:r>
      <w:r>
        <w:rPr>
          <w:rFonts w:ascii="仿宋" w:hAnsi="仿宋" w:eastAsia="仿宋" w:cs="仿宋"/>
          <w:spacing w:val="-85"/>
          <w:sz w:val="28"/>
          <w:szCs w:val="28"/>
        </w:rPr>
        <w:t xml:space="preserve"> </w:t>
      </w:r>
      <w:r>
        <w:rPr>
          <w:rFonts w:ascii="仿宋" w:hAnsi="仿宋" w:eastAsia="仿宋" w:cs="仿宋"/>
          <w:spacing w:val="3"/>
          <w:sz w:val="28"/>
          <w:szCs w:val="28"/>
        </w:rPr>
        <w:t>“</w:t>
      </w:r>
      <w:r>
        <w:rPr>
          <w:rFonts w:ascii="仿宋" w:hAnsi="仿宋" w:eastAsia="仿宋" w:cs="仿宋"/>
          <w:spacing w:val="-83"/>
          <w:sz w:val="28"/>
          <w:szCs w:val="28"/>
        </w:rPr>
        <w:t xml:space="preserve"> </w:t>
      </w:r>
      <w:r>
        <w:rPr>
          <w:rFonts w:ascii="仿宋" w:hAnsi="仿宋" w:eastAsia="仿宋" w:cs="仿宋"/>
          <w:spacing w:val="3"/>
          <w:sz w:val="28"/>
          <w:szCs w:val="28"/>
        </w:rPr>
        <w:t>以铁路和公路为骨干、水运为</w:t>
      </w:r>
      <w:r>
        <w:rPr>
          <w:rFonts w:ascii="仿宋" w:hAnsi="仿宋" w:eastAsia="仿宋" w:cs="仿宋"/>
          <w:spacing w:val="7"/>
          <w:sz w:val="28"/>
          <w:szCs w:val="28"/>
        </w:rPr>
        <w:t>补充、航空逐步发展”，便捷安全、经济高效</w:t>
      </w:r>
      <w:r>
        <w:rPr>
          <w:rFonts w:ascii="仿宋" w:hAnsi="仿宋" w:eastAsia="仿宋" w:cs="仿宋"/>
          <w:spacing w:val="6"/>
          <w:sz w:val="28"/>
          <w:szCs w:val="28"/>
        </w:rPr>
        <w:t>、绿色智能的现代综合交通</w:t>
      </w:r>
      <w:r>
        <w:rPr>
          <w:rFonts w:ascii="仿宋" w:hAnsi="仿宋" w:eastAsia="仿宋" w:cs="仿宋"/>
          <w:spacing w:val="3"/>
          <w:sz w:val="28"/>
          <w:szCs w:val="28"/>
        </w:rPr>
        <w:t>运输体系，为全市经济社会高质量跨越式发展和建成</w:t>
      </w:r>
      <w:r>
        <w:rPr>
          <w:rFonts w:ascii="仿宋" w:hAnsi="仿宋" w:eastAsia="仿宋" w:cs="仿宋"/>
          <w:spacing w:val="-81"/>
          <w:sz w:val="28"/>
          <w:szCs w:val="28"/>
        </w:rPr>
        <w:t xml:space="preserve"> </w:t>
      </w:r>
      <w:r>
        <w:rPr>
          <w:rFonts w:ascii="仿宋" w:hAnsi="仿宋" w:eastAsia="仿宋" w:cs="仿宋"/>
          <w:spacing w:val="3"/>
          <w:sz w:val="28"/>
          <w:szCs w:val="28"/>
        </w:rPr>
        <w:t>“</w:t>
      </w:r>
      <w:r>
        <w:rPr>
          <w:rFonts w:ascii="仿宋" w:hAnsi="仿宋" w:eastAsia="仿宋" w:cs="仿宋"/>
          <w:spacing w:val="-90"/>
          <w:sz w:val="28"/>
          <w:szCs w:val="28"/>
        </w:rPr>
        <w:t xml:space="preserve"> </w:t>
      </w:r>
      <w:r>
        <w:rPr>
          <w:rFonts w:ascii="仿宋" w:hAnsi="仿宋" w:eastAsia="仿宋" w:cs="仿宋"/>
          <w:spacing w:val="3"/>
          <w:sz w:val="28"/>
          <w:szCs w:val="28"/>
        </w:rPr>
        <w:t>四个先行区”提供</w:t>
      </w:r>
      <w:r>
        <w:rPr>
          <w:rFonts w:ascii="仿宋" w:hAnsi="仿宋" w:eastAsia="仿宋" w:cs="仿宋"/>
          <w:spacing w:val="5"/>
          <w:sz w:val="28"/>
          <w:szCs w:val="28"/>
        </w:rPr>
        <w:t>强有力的支撑和保障。</w:t>
      </w:r>
    </w:p>
    <w:p w14:paraId="0BB5106D">
      <w:pPr>
        <w:spacing w:before="50" w:line="222" w:lineRule="auto"/>
        <w:ind w:left="635"/>
        <w:outlineLvl w:val="1"/>
        <w:rPr>
          <w:rFonts w:ascii="黑体" w:hAnsi="黑体" w:eastAsia="黑体" w:cs="黑体"/>
          <w:sz w:val="30"/>
          <w:szCs w:val="30"/>
        </w:rPr>
      </w:pPr>
      <w:bookmarkStart w:id="22" w:name="bookmark18"/>
      <w:bookmarkEnd w:id="22"/>
      <w:r>
        <w:rPr>
          <w:rFonts w:ascii="黑体" w:hAnsi="黑体" w:eastAsia="黑体" w:cs="黑体"/>
          <w:spacing w:val="-6"/>
          <w:sz w:val="30"/>
          <w:szCs w:val="30"/>
        </w:rPr>
        <w:t>（二）基本原则</w:t>
      </w:r>
    </w:p>
    <w:p w14:paraId="4934151A">
      <w:pPr>
        <w:spacing w:before="285" w:line="343" w:lineRule="auto"/>
        <w:ind w:left="9" w:right="9" w:firstLine="574"/>
        <w:jc w:val="both"/>
        <w:rPr>
          <w:rFonts w:ascii="仿宋" w:hAnsi="仿宋" w:eastAsia="仿宋" w:cs="仿宋"/>
          <w:sz w:val="28"/>
          <w:szCs w:val="28"/>
        </w:rPr>
      </w:pPr>
      <w:r>
        <w:rPr>
          <w:rFonts w:ascii="仿宋" w:hAnsi="仿宋" w:eastAsia="仿宋" w:cs="仿宋"/>
          <w:b/>
          <w:bCs/>
          <w:spacing w:val="-12"/>
          <w:sz w:val="28"/>
          <w:szCs w:val="28"/>
        </w:rPr>
        <w:t>——突出重点，注重前瞻。</w:t>
      </w:r>
      <w:r>
        <w:rPr>
          <w:rFonts w:ascii="仿宋" w:hAnsi="仿宋" w:eastAsia="仿宋" w:cs="仿宋"/>
          <w:spacing w:val="-12"/>
          <w:sz w:val="28"/>
          <w:szCs w:val="28"/>
        </w:rPr>
        <w:t>着重规划和推进一批重大</w:t>
      </w:r>
      <w:r>
        <w:rPr>
          <w:rFonts w:ascii="仿宋" w:hAnsi="仿宋" w:eastAsia="仿宋" w:cs="仿宋"/>
          <w:spacing w:val="-13"/>
          <w:sz w:val="28"/>
          <w:szCs w:val="28"/>
        </w:rPr>
        <w:t>项目，着力解决“瓶</w:t>
      </w:r>
      <w:r>
        <w:rPr>
          <w:rFonts w:ascii="仿宋" w:hAnsi="仿宋" w:eastAsia="仿宋" w:cs="仿宋"/>
          <w:spacing w:val="-8"/>
          <w:sz w:val="28"/>
          <w:szCs w:val="28"/>
        </w:rPr>
        <w:t>颈”问题；同时充分发挥交通的基础性和先导性作用，按照适度超前的理念，</w:t>
      </w:r>
      <w:r>
        <w:rPr>
          <w:rFonts w:ascii="仿宋" w:hAnsi="仿宋" w:eastAsia="仿宋" w:cs="仿宋"/>
          <w:spacing w:val="-1"/>
          <w:sz w:val="28"/>
          <w:szCs w:val="28"/>
        </w:rPr>
        <w:t>进一步加快交通基础设施建设。</w:t>
      </w:r>
    </w:p>
    <w:p w14:paraId="2950E48D">
      <w:pPr>
        <w:spacing w:before="3" w:line="342" w:lineRule="auto"/>
        <w:ind w:left="15" w:right="12" w:firstLine="569"/>
        <w:rPr>
          <w:rFonts w:ascii="仿宋" w:hAnsi="仿宋" w:eastAsia="仿宋" w:cs="仿宋"/>
          <w:sz w:val="28"/>
          <w:szCs w:val="28"/>
        </w:rPr>
      </w:pPr>
      <w:r>
        <w:rPr>
          <w:rFonts w:ascii="仿宋" w:hAnsi="仿宋" w:eastAsia="仿宋" w:cs="仿宋"/>
          <w:b/>
          <w:bCs/>
          <w:spacing w:val="-1"/>
          <w:sz w:val="28"/>
          <w:szCs w:val="28"/>
        </w:rPr>
        <w:t>——优化结构，高效发展。</w:t>
      </w:r>
      <w:r>
        <w:rPr>
          <w:rFonts w:ascii="仿宋" w:hAnsi="仿宋" w:eastAsia="仿宋" w:cs="仿宋"/>
          <w:spacing w:val="-1"/>
          <w:sz w:val="28"/>
          <w:szCs w:val="28"/>
        </w:rPr>
        <w:t>适应综合运输体</w:t>
      </w:r>
      <w:r>
        <w:rPr>
          <w:rFonts w:ascii="仿宋" w:hAnsi="仿宋" w:eastAsia="仿宋" w:cs="仿宋"/>
          <w:spacing w:val="-2"/>
          <w:sz w:val="28"/>
          <w:szCs w:val="28"/>
        </w:rPr>
        <w:t>系和现代物流发展的要求，</w:t>
      </w:r>
      <w:r>
        <w:rPr>
          <w:rFonts w:ascii="仿宋" w:hAnsi="仿宋" w:eastAsia="仿宋" w:cs="仿宋"/>
          <w:spacing w:val="6"/>
          <w:sz w:val="28"/>
          <w:szCs w:val="28"/>
        </w:rPr>
        <w:t>把结构调整作为加快转变发展方式的主攻方向，充分发挥各种运输方式比</w:t>
      </w:r>
    </w:p>
    <w:p w14:paraId="4BF3C2F0">
      <w:pPr>
        <w:spacing w:line="342" w:lineRule="auto"/>
        <w:rPr>
          <w:rFonts w:ascii="仿宋" w:hAnsi="仿宋" w:eastAsia="仿宋" w:cs="仿宋"/>
          <w:sz w:val="28"/>
          <w:szCs w:val="28"/>
        </w:rPr>
        <w:sectPr>
          <w:headerReference r:id="rId49" w:type="default"/>
          <w:footerReference r:id="rId50" w:type="default"/>
          <w:pgSz w:w="11906" w:h="16839"/>
          <w:pgMar w:top="1222" w:right="1501" w:bottom="1156" w:left="1134" w:header="885" w:footer="920" w:gutter="0"/>
          <w:cols w:space="720" w:num="1"/>
        </w:sectPr>
      </w:pPr>
    </w:p>
    <w:p w14:paraId="6194BA9C">
      <w:pPr>
        <w:pStyle w:val="2"/>
        <w:spacing w:line="277" w:lineRule="auto"/>
      </w:pPr>
    </w:p>
    <w:p w14:paraId="1FA7D57D">
      <w:pPr>
        <w:spacing w:before="91" w:line="343" w:lineRule="auto"/>
        <w:ind w:left="8" w:right="2" w:firstLine="10"/>
        <w:rPr>
          <w:rFonts w:ascii="仿宋" w:hAnsi="仿宋" w:eastAsia="仿宋" w:cs="仿宋"/>
          <w:sz w:val="28"/>
          <w:szCs w:val="28"/>
        </w:rPr>
      </w:pPr>
      <w:r>
        <w:rPr>
          <w:rFonts w:ascii="仿宋" w:hAnsi="仿宋" w:eastAsia="仿宋" w:cs="仿宋"/>
          <w:spacing w:val="-8"/>
          <w:sz w:val="28"/>
          <w:szCs w:val="28"/>
        </w:rPr>
        <w:t>较优势，着力优化交通基础设施和运输服务结构。坚持建、管</w:t>
      </w:r>
      <w:r>
        <w:rPr>
          <w:rFonts w:ascii="仿宋" w:hAnsi="仿宋" w:eastAsia="仿宋" w:cs="仿宋"/>
          <w:spacing w:val="-9"/>
          <w:sz w:val="28"/>
          <w:szCs w:val="28"/>
        </w:rPr>
        <w:t>、养、运并重，</w:t>
      </w:r>
      <w:r>
        <w:rPr>
          <w:rFonts w:ascii="仿宋" w:hAnsi="仿宋" w:eastAsia="仿宋" w:cs="仿宋"/>
          <w:spacing w:val="-1"/>
          <w:sz w:val="28"/>
          <w:szCs w:val="28"/>
        </w:rPr>
        <w:t>提升交通运输整体效率。</w:t>
      </w:r>
    </w:p>
    <w:p w14:paraId="7749E2D7">
      <w:pPr>
        <w:spacing w:before="1" w:line="342" w:lineRule="auto"/>
        <w:ind w:left="8" w:right="72" w:firstLine="577"/>
        <w:jc w:val="both"/>
        <w:rPr>
          <w:rFonts w:ascii="仿宋" w:hAnsi="仿宋" w:eastAsia="仿宋" w:cs="仿宋"/>
          <w:sz w:val="28"/>
          <w:szCs w:val="28"/>
        </w:rPr>
      </w:pPr>
      <w:r>
        <w:rPr>
          <w:rFonts w:ascii="仿宋" w:hAnsi="仿宋" w:eastAsia="仿宋" w:cs="仿宋"/>
          <w:b/>
          <w:bCs/>
          <w:spacing w:val="-4"/>
          <w:sz w:val="28"/>
          <w:szCs w:val="28"/>
        </w:rPr>
        <w:t>——统筹兼顾，均衡发展。</w:t>
      </w:r>
      <w:r>
        <w:rPr>
          <w:rFonts w:ascii="仿宋" w:hAnsi="仿宋" w:eastAsia="仿宋" w:cs="仿宋"/>
          <w:spacing w:val="-4"/>
          <w:sz w:val="28"/>
          <w:szCs w:val="28"/>
        </w:rPr>
        <w:t>拓展基础设施通达深度和运输服务覆盖面，</w:t>
      </w:r>
      <w:r>
        <w:rPr>
          <w:rFonts w:ascii="仿宋" w:hAnsi="仿宋" w:eastAsia="仿宋" w:cs="仿宋"/>
          <w:spacing w:val="-2"/>
          <w:sz w:val="28"/>
          <w:szCs w:val="28"/>
        </w:rPr>
        <w:t>提高交通运输公共服务均等化水平，促进交通运输区域、城乡一体化，让交</w:t>
      </w:r>
      <w:r>
        <w:rPr>
          <w:rFonts w:ascii="仿宋" w:hAnsi="仿宋" w:eastAsia="仿宋" w:cs="仿宋"/>
          <w:spacing w:val="-1"/>
          <w:sz w:val="28"/>
          <w:szCs w:val="28"/>
        </w:rPr>
        <w:t>通运输发展成果惠及广大人民群众。</w:t>
      </w:r>
    </w:p>
    <w:p w14:paraId="2A058DAF">
      <w:pPr>
        <w:spacing w:before="2" w:line="343" w:lineRule="auto"/>
        <w:ind w:left="20" w:right="77" w:firstLine="564"/>
        <w:jc w:val="both"/>
        <w:rPr>
          <w:rFonts w:ascii="仿宋" w:hAnsi="仿宋" w:eastAsia="仿宋" w:cs="仿宋"/>
          <w:sz w:val="28"/>
          <w:szCs w:val="28"/>
        </w:rPr>
      </w:pPr>
      <w:r>
        <w:rPr>
          <w:rFonts w:ascii="仿宋" w:hAnsi="仿宋" w:eastAsia="仿宋" w:cs="仿宋"/>
          <w:b/>
          <w:bCs/>
          <w:spacing w:val="-4"/>
          <w:sz w:val="28"/>
          <w:szCs w:val="28"/>
        </w:rPr>
        <w:t>——体制创新，市场运作。</w:t>
      </w:r>
      <w:r>
        <w:rPr>
          <w:rFonts w:ascii="仿宋" w:hAnsi="仿宋" w:eastAsia="仿宋" w:cs="仿宋"/>
          <w:spacing w:val="-4"/>
          <w:sz w:val="28"/>
          <w:szCs w:val="28"/>
        </w:rPr>
        <w:t>加快体制、机制创新步伐，充分发挥市场在</w:t>
      </w:r>
      <w:r>
        <w:rPr>
          <w:rFonts w:ascii="仿宋" w:hAnsi="仿宋" w:eastAsia="仿宋" w:cs="仿宋"/>
          <w:spacing w:val="-2"/>
          <w:sz w:val="28"/>
          <w:szCs w:val="28"/>
        </w:rPr>
        <w:t>重点项目的前期规划、资金筹措、建设实施、运营管理</w:t>
      </w:r>
      <w:r>
        <w:rPr>
          <w:rFonts w:ascii="仿宋" w:hAnsi="仿宋" w:eastAsia="仿宋" w:cs="仿宋"/>
          <w:spacing w:val="-3"/>
          <w:sz w:val="28"/>
          <w:szCs w:val="28"/>
        </w:rPr>
        <w:t>各方面的作用，开创</w:t>
      </w:r>
      <w:r>
        <w:rPr>
          <w:rFonts w:ascii="仿宋" w:hAnsi="仿宋" w:eastAsia="仿宋" w:cs="仿宋"/>
          <w:spacing w:val="-2"/>
          <w:sz w:val="28"/>
          <w:szCs w:val="28"/>
        </w:rPr>
        <w:t>交通基础设施建设新路子、新局面。</w:t>
      </w:r>
    </w:p>
    <w:p w14:paraId="11CD25D7">
      <w:pPr>
        <w:spacing w:line="343" w:lineRule="auto"/>
        <w:ind w:left="13" w:right="77" w:firstLine="571"/>
        <w:jc w:val="both"/>
        <w:rPr>
          <w:rFonts w:ascii="仿宋" w:hAnsi="仿宋" w:eastAsia="仿宋" w:cs="仿宋"/>
          <w:sz w:val="28"/>
          <w:szCs w:val="28"/>
        </w:rPr>
      </w:pPr>
      <w:r>
        <w:rPr>
          <w:rFonts w:ascii="仿宋" w:hAnsi="仿宋" w:eastAsia="仿宋" w:cs="仿宋"/>
          <w:b/>
          <w:bCs/>
          <w:spacing w:val="-4"/>
          <w:sz w:val="28"/>
          <w:szCs w:val="28"/>
        </w:rPr>
        <w:t>——应急保障，安全发展。</w:t>
      </w:r>
      <w:r>
        <w:rPr>
          <w:rFonts w:ascii="仿宋" w:hAnsi="仿宋" w:eastAsia="仿宋" w:cs="仿宋"/>
          <w:spacing w:val="-4"/>
          <w:sz w:val="28"/>
          <w:szCs w:val="28"/>
        </w:rPr>
        <w:t>按照提升公共服务的要求，切实加强交通运</w:t>
      </w:r>
      <w:r>
        <w:rPr>
          <w:rFonts w:ascii="仿宋" w:hAnsi="仿宋" w:eastAsia="仿宋" w:cs="仿宋"/>
          <w:spacing w:val="-2"/>
          <w:sz w:val="28"/>
          <w:szCs w:val="28"/>
        </w:rPr>
        <w:t>输应急体系建设，提升应急保障能力。坚持“安全第一、预防为</w:t>
      </w:r>
      <w:r>
        <w:rPr>
          <w:rFonts w:ascii="仿宋" w:hAnsi="仿宋" w:eastAsia="仿宋" w:cs="仿宋"/>
          <w:spacing w:val="-3"/>
          <w:sz w:val="28"/>
          <w:szCs w:val="28"/>
        </w:rPr>
        <w:t>主、综合治</w:t>
      </w:r>
      <w:r>
        <w:rPr>
          <w:rFonts w:ascii="仿宋" w:hAnsi="仿宋" w:eastAsia="仿宋" w:cs="仿宋"/>
          <w:spacing w:val="-2"/>
          <w:sz w:val="28"/>
          <w:szCs w:val="28"/>
        </w:rPr>
        <w:t>理”的方针，处理好安全与生产、安全与效益、安全与发展的关</w:t>
      </w:r>
      <w:r>
        <w:rPr>
          <w:rFonts w:ascii="仿宋" w:hAnsi="仿宋" w:eastAsia="仿宋" w:cs="仿宋"/>
          <w:spacing w:val="-3"/>
          <w:sz w:val="28"/>
          <w:szCs w:val="28"/>
        </w:rPr>
        <w:t>系，健全体</w:t>
      </w:r>
      <w:r>
        <w:rPr>
          <w:rFonts w:ascii="仿宋" w:hAnsi="仿宋" w:eastAsia="仿宋" w:cs="仿宋"/>
          <w:spacing w:val="-1"/>
          <w:sz w:val="28"/>
          <w:szCs w:val="28"/>
        </w:rPr>
        <w:t>制机制，完善安全设施，加强安全管理。</w:t>
      </w:r>
    </w:p>
    <w:p w14:paraId="36570568">
      <w:pPr>
        <w:spacing w:before="2" w:line="342" w:lineRule="auto"/>
        <w:ind w:left="17" w:right="77" w:firstLine="568"/>
        <w:jc w:val="both"/>
        <w:rPr>
          <w:rFonts w:ascii="仿宋" w:hAnsi="仿宋" w:eastAsia="仿宋" w:cs="仿宋"/>
          <w:sz w:val="28"/>
          <w:szCs w:val="28"/>
        </w:rPr>
      </w:pPr>
      <w:r>
        <w:rPr>
          <w:rFonts w:ascii="仿宋" w:hAnsi="仿宋" w:eastAsia="仿宋" w:cs="仿宋"/>
          <w:b/>
          <w:bCs/>
          <w:spacing w:val="-4"/>
          <w:sz w:val="28"/>
          <w:szCs w:val="28"/>
        </w:rPr>
        <w:t>——低碳环保，绿色发展。</w:t>
      </w:r>
      <w:r>
        <w:rPr>
          <w:rFonts w:ascii="仿宋" w:hAnsi="仿宋" w:eastAsia="仿宋" w:cs="仿宋"/>
          <w:spacing w:val="-4"/>
          <w:sz w:val="28"/>
          <w:szCs w:val="28"/>
        </w:rPr>
        <w:t>落实碳达峰、碳中和目标要求，大力推进交</w:t>
      </w:r>
      <w:r>
        <w:rPr>
          <w:rFonts w:ascii="仿宋" w:hAnsi="仿宋" w:eastAsia="仿宋" w:cs="仿宋"/>
          <w:spacing w:val="-2"/>
          <w:sz w:val="28"/>
          <w:szCs w:val="28"/>
        </w:rPr>
        <w:t>通运输绿色、低碳发展。依靠理念、体制机制和科技创新，以</w:t>
      </w:r>
      <w:r>
        <w:rPr>
          <w:rFonts w:ascii="仿宋" w:hAnsi="仿宋" w:eastAsia="仿宋" w:cs="仿宋"/>
          <w:spacing w:val="-3"/>
          <w:sz w:val="28"/>
          <w:szCs w:val="28"/>
        </w:rPr>
        <w:t>节约资源、能</w:t>
      </w:r>
      <w:r>
        <w:rPr>
          <w:rFonts w:ascii="仿宋" w:hAnsi="仿宋" w:eastAsia="仿宋" w:cs="仿宋"/>
          <w:spacing w:val="-2"/>
          <w:sz w:val="28"/>
          <w:szCs w:val="28"/>
        </w:rPr>
        <w:t>源为重点，加快建立以低碳为特征的交通运输体系，促进交通</w:t>
      </w:r>
      <w:r>
        <w:rPr>
          <w:rFonts w:ascii="仿宋" w:hAnsi="仿宋" w:eastAsia="仿宋" w:cs="仿宋"/>
          <w:spacing w:val="-3"/>
          <w:sz w:val="28"/>
          <w:szCs w:val="28"/>
        </w:rPr>
        <w:t>运输服务全面</w:t>
      </w:r>
      <w:r>
        <w:rPr>
          <w:rFonts w:ascii="仿宋" w:hAnsi="仿宋" w:eastAsia="仿宋" w:cs="仿宋"/>
          <w:spacing w:val="-1"/>
          <w:sz w:val="28"/>
          <w:szCs w:val="28"/>
        </w:rPr>
        <w:t>绿色转型，减少交通运输对环境的负面影响。</w:t>
      </w:r>
    </w:p>
    <w:p w14:paraId="6647C30E">
      <w:pPr>
        <w:spacing w:before="56" w:line="222" w:lineRule="auto"/>
        <w:ind w:left="635"/>
        <w:outlineLvl w:val="1"/>
        <w:rPr>
          <w:rFonts w:ascii="黑体" w:hAnsi="黑体" w:eastAsia="黑体" w:cs="黑体"/>
          <w:sz w:val="30"/>
          <w:szCs w:val="30"/>
        </w:rPr>
      </w:pPr>
      <w:bookmarkStart w:id="23" w:name="bookmark19"/>
      <w:bookmarkEnd w:id="23"/>
      <w:r>
        <w:rPr>
          <w:rFonts w:ascii="黑体" w:hAnsi="黑体" w:eastAsia="黑体" w:cs="黑体"/>
          <w:spacing w:val="-6"/>
          <w:sz w:val="30"/>
          <w:szCs w:val="30"/>
        </w:rPr>
        <w:t>（三）战略定位</w:t>
      </w:r>
    </w:p>
    <w:p w14:paraId="5514A763">
      <w:pPr>
        <w:spacing w:before="282" w:line="343" w:lineRule="auto"/>
        <w:ind w:left="5" w:right="77" w:firstLine="602"/>
        <w:jc w:val="both"/>
        <w:rPr>
          <w:rFonts w:ascii="仿宋" w:hAnsi="仿宋" w:eastAsia="仿宋" w:cs="仿宋"/>
          <w:sz w:val="28"/>
          <w:szCs w:val="28"/>
        </w:rPr>
      </w:pPr>
      <w:r>
        <w:rPr>
          <w:rFonts w:ascii="仿宋" w:hAnsi="仿宋" w:eastAsia="仿宋" w:cs="仿宋"/>
          <w:spacing w:val="3"/>
          <w:sz w:val="28"/>
          <w:szCs w:val="28"/>
        </w:rPr>
        <w:t>曲靖地处云南建设面向南亚东南亚辐射中心和中国－</w:t>
      </w:r>
      <w:r>
        <w:rPr>
          <w:rFonts w:ascii="仿宋" w:hAnsi="仿宋" w:eastAsia="仿宋" w:cs="仿宋"/>
          <w:spacing w:val="-46"/>
          <w:sz w:val="28"/>
          <w:szCs w:val="28"/>
        </w:rPr>
        <w:t xml:space="preserve"> </w:t>
      </w:r>
      <w:r>
        <w:rPr>
          <w:rFonts w:ascii="仿宋" w:hAnsi="仿宋" w:eastAsia="仿宋" w:cs="仿宋"/>
          <w:spacing w:val="3"/>
          <w:sz w:val="28"/>
          <w:szCs w:val="28"/>
        </w:rPr>
        <w:t>中</w:t>
      </w:r>
      <w:r>
        <w:rPr>
          <w:rFonts w:ascii="仿宋" w:hAnsi="仿宋" w:eastAsia="仿宋" w:cs="仿宋"/>
          <w:spacing w:val="2"/>
          <w:sz w:val="28"/>
          <w:szCs w:val="28"/>
        </w:rPr>
        <w:t>南半岛经济走</w:t>
      </w:r>
      <w:r>
        <w:rPr>
          <w:rFonts w:ascii="仿宋" w:hAnsi="仿宋" w:eastAsia="仿宋" w:cs="仿宋"/>
          <w:spacing w:val="-2"/>
          <w:sz w:val="28"/>
          <w:szCs w:val="28"/>
        </w:rPr>
        <w:t>廊、孟中印缅经济走廊的重要节点，是全国主体功能区规划、泛珠三角区域合作、长江经济带的重点开发区之一，是滇中城市群的核心区域。按照“将</w:t>
      </w:r>
      <w:r>
        <w:rPr>
          <w:rFonts w:ascii="仿宋" w:hAnsi="仿宋" w:eastAsia="仿宋" w:cs="仿宋"/>
          <w:spacing w:val="-3"/>
          <w:sz w:val="28"/>
          <w:szCs w:val="28"/>
        </w:rPr>
        <w:t>云南建设成为我国面向南亚东南亚辐射中心”的战略定位和</w:t>
      </w:r>
      <w:r>
        <w:rPr>
          <w:rFonts w:ascii="仿宋" w:hAnsi="仿宋" w:eastAsia="仿宋" w:cs="仿宋"/>
          <w:spacing w:val="-4"/>
          <w:sz w:val="28"/>
          <w:szCs w:val="28"/>
        </w:rPr>
        <w:t>“</w:t>
      </w:r>
      <w:r>
        <w:rPr>
          <w:rFonts w:ascii="仿宋" w:hAnsi="仿宋" w:eastAsia="仿宋" w:cs="仿宋"/>
          <w:spacing w:val="-96"/>
          <w:sz w:val="28"/>
          <w:szCs w:val="28"/>
        </w:rPr>
        <w:t xml:space="preserve"> </w:t>
      </w:r>
      <w:r>
        <w:rPr>
          <w:rFonts w:ascii="仿宋" w:hAnsi="仿宋" w:eastAsia="仿宋" w:cs="仿宋"/>
          <w:spacing w:val="-4"/>
          <w:sz w:val="28"/>
          <w:szCs w:val="28"/>
        </w:rPr>
        <w:t>曲靖建设成为</w:t>
      </w:r>
      <w:r>
        <w:rPr>
          <w:rFonts w:ascii="仿宋" w:hAnsi="仿宋" w:eastAsia="仿宋" w:cs="仿宋"/>
          <w:spacing w:val="-2"/>
          <w:sz w:val="28"/>
          <w:szCs w:val="28"/>
        </w:rPr>
        <w:t>云南副中心城市”的发展定位，结合国家及云南省综合交通运输体系发展规划、滇中城市群发展规划、曲靖市国土空间规划等相关上位规划，以及曲靖在区域中的发展形势，确定曲靖市在区域交通发展中的战略定位为全</w:t>
      </w:r>
      <w:r>
        <w:rPr>
          <w:rFonts w:ascii="仿宋" w:hAnsi="仿宋" w:eastAsia="仿宋" w:cs="仿宋"/>
          <w:spacing w:val="-3"/>
          <w:sz w:val="28"/>
          <w:szCs w:val="28"/>
        </w:rPr>
        <w:t>国性综</w:t>
      </w:r>
      <w:r>
        <w:rPr>
          <w:rFonts w:ascii="仿宋" w:hAnsi="仿宋" w:eastAsia="仿宋" w:cs="仿宋"/>
          <w:spacing w:val="6"/>
          <w:sz w:val="28"/>
          <w:szCs w:val="28"/>
        </w:rPr>
        <w:t>合交通枢纽和滇东区域物流枢纽。</w:t>
      </w:r>
    </w:p>
    <w:p w14:paraId="23B1EB47">
      <w:pPr>
        <w:spacing w:before="1" w:line="215" w:lineRule="auto"/>
        <w:ind w:left="585"/>
        <w:rPr>
          <w:rFonts w:ascii="仿宋" w:hAnsi="仿宋" w:eastAsia="仿宋" w:cs="仿宋"/>
          <w:sz w:val="28"/>
          <w:szCs w:val="28"/>
        </w:rPr>
      </w:pPr>
      <w:r>
        <w:rPr>
          <w:rFonts w:ascii="仿宋" w:hAnsi="仿宋" w:eastAsia="仿宋" w:cs="仿宋"/>
          <w:b/>
          <w:bCs/>
          <w:spacing w:val="3"/>
          <w:sz w:val="28"/>
          <w:szCs w:val="28"/>
        </w:rPr>
        <w:t>——全国性综合交通枢纽。</w:t>
      </w:r>
      <w:r>
        <w:rPr>
          <w:rFonts w:ascii="仿宋" w:hAnsi="仿宋" w:eastAsia="仿宋" w:cs="仿宋"/>
          <w:spacing w:val="-61"/>
          <w:sz w:val="28"/>
          <w:szCs w:val="28"/>
        </w:rPr>
        <w:t xml:space="preserve"> </w:t>
      </w:r>
      <w:r>
        <w:rPr>
          <w:rFonts w:ascii="仿宋" w:hAnsi="仿宋" w:eastAsia="仿宋" w:cs="仿宋"/>
          <w:spacing w:val="3"/>
          <w:sz w:val="28"/>
          <w:szCs w:val="28"/>
        </w:rPr>
        <w:t>曲靖市地处云南东部，东部连黔</w:t>
      </w:r>
      <w:r>
        <w:rPr>
          <w:rFonts w:ascii="仿宋" w:hAnsi="仿宋" w:eastAsia="仿宋" w:cs="仿宋"/>
          <w:spacing w:val="2"/>
          <w:sz w:val="28"/>
          <w:szCs w:val="28"/>
        </w:rPr>
        <w:t>桂、北部</w:t>
      </w:r>
    </w:p>
    <w:p w14:paraId="62B40831">
      <w:pPr>
        <w:spacing w:line="215" w:lineRule="auto"/>
        <w:rPr>
          <w:rFonts w:ascii="仿宋" w:hAnsi="仿宋" w:eastAsia="仿宋" w:cs="仿宋"/>
          <w:sz w:val="28"/>
          <w:szCs w:val="28"/>
        </w:rPr>
        <w:sectPr>
          <w:headerReference r:id="rId51" w:type="default"/>
          <w:footerReference r:id="rId52" w:type="default"/>
          <w:pgSz w:w="11906" w:h="16839"/>
          <w:pgMar w:top="1222" w:right="1054" w:bottom="1156" w:left="1587" w:header="885" w:footer="920" w:gutter="0"/>
          <w:cols w:space="720" w:num="1"/>
        </w:sectPr>
      </w:pPr>
    </w:p>
    <w:p w14:paraId="2D1DFDE4">
      <w:pPr>
        <w:pStyle w:val="2"/>
        <w:spacing w:line="277" w:lineRule="auto"/>
      </w:pPr>
    </w:p>
    <w:p w14:paraId="1A4D847D">
      <w:pPr>
        <w:spacing w:before="91" w:line="343" w:lineRule="auto"/>
        <w:ind w:left="7" w:right="79" w:firstLine="2"/>
        <w:jc w:val="both"/>
        <w:rPr>
          <w:rFonts w:ascii="仿宋" w:hAnsi="仿宋" w:eastAsia="仿宋" w:cs="仿宋"/>
          <w:sz w:val="28"/>
          <w:szCs w:val="28"/>
        </w:rPr>
      </w:pPr>
      <w:r>
        <w:rPr>
          <w:rFonts w:ascii="仿宋" w:hAnsi="仿宋" w:eastAsia="仿宋" w:cs="仿宋"/>
          <w:spacing w:val="-2"/>
          <w:sz w:val="28"/>
          <w:szCs w:val="28"/>
        </w:rPr>
        <w:t>接川渝，是国家确定的全国性综合交通枢纽之一，作为“十纵十横”综合运</w:t>
      </w:r>
      <w:r>
        <w:rPr>
          <w:rFonts w:ascii="仿宋" w:hAnsi="仿宋" w:eastAsia="仿宋" w:cs="仿宋"/>
          <w:spacing w:val="-4"/>
          <w:sz w:val="28"/>
          <w:szCs w:val="28"/>
        </w:rPr>
        <w:t>输大通道中纵</w:t>
      </w:r>
      <w:r>
        <w:rPr>
          <w:rFonts w:ascii="仿宋" w:hAnsi="仿宋" w:eastAsia="仿宋" w:cs="仿宋"/>
          <w:spacing w:val="-32"/>
          <w:sz w:val="28"/>
          <w:szCs w:val="28"/>
        </w:rPr>
        <w:t xml:space="preserve"> </w:t>
      </w:r>
      <w:r>
        <w:rPr>
          <w:rFonts w:ascii="仿宋" w:hAnsi="仿宋" w:eastAsia="仿宋" w:cs="仿宋"/>
          <w:spacing w:val="-4"/>
          <w:sz w:val="28"/>
          <w:szCs w:val="28"/>
        </w:rPr>
        <w:t>7、横</w:t>
      </w:r>
      <w:r>
        <w:rPr>
          <w:rFonts w:ascii="仿宋" w:hAnsi="仿宋" w:eastAsia="仿宋" w:cs="仿宋"/>
          <w:spacing w:val="-47"/>
          <w:sz w:val="28"/>
          <w:szCs w:val="28"/>
        </w:rPr>
        <w:t xml:space="preserve"> </w:t>
      </w:r>
      <w:r>
        <w:rPr>
          <w:rFonts w:ascii="仿宋" w:hAnsi="仿宋" w:eastAsia="仿宋" w:cs="仿宋"/>
          <w:spacing w:val="-4"/>
          <w:sz w:val="28"/>
          <w:szCs w:val="28"/>
        </w:rPr>
        <w:t>7</w:t>
      </w:r>
      <w:r>
        <w:rPr>
          <w:rFonts w:ascii="仿宋" w:hAnsi="仿宋" w:eastAsia="仿宋" w:cs="仿宋"/>
          <w:spacing w:val="-51"/>
          <w:sz w:val="28"/>
          <w:szCs w:val="28"/>
        </w:rPr>
        <w:t xml:space="preserve"> </w:t>
      </w:r>
      <w:r>
        <w:rPr>
          <w:rFonts w:ascii="仿宋" w:hAnsi="仿宋" w:eastAsia="仿宋" w:cs="仿宋"/>
          <w:spacing w:val="-4"/>
          <w:sz w:val="28"/>
          <w:szCs w:val="28"/>
        </w:rPr>
        <w:t>和横</w:t>
      </w:r>
      <w:r>
        <w:rPr>
          <w:rFonts w:ascii="仿宋" w:hAnsi="仿宋" w:eastAsia="仿宋" w:cs="仿宋"/>
          <w:spacing w:val="-47"/>
          <w:sz w:val="28"/>
          <w:szCs w:val="28"/>
        </w:rPr>
        <w:t xml:space="preserve"> </w:t>
      </w:r>
      <w:r>
        <w:rPr>
          <w:rFonts w:ascii="仿宋" w:hAnsi="仿宋" w:eastAsia="仿宋" w:cs="仿宋"/>
          <w:spacing w:val="-4"/>
          <w:sz w:val="28"/>
          <w:szCs w:val="28"/>
        </w:rPr>
        <w:t>8</w:t>
      </w:r>
      <w:r>
        <w:rPr>
          <w:rFonts w:ascii="仿宋" w:hAnsi="仿宋" w:eastAsia="仿宋" w:cs="仿宋"/>
          <w:spacing w:val="-36"/>
          <w:sz w:val="28"/>
          <w:szCs w:val="28"/>
        </w:rPr>
        <w:t xml:space="preserve"> </w:t>
      </w:r>
      <w:r>
        <w:rPr>
          <w:rFonts w:ascii="仿宋" w:hAnsi="仿宋" w:eastAsia="仿宋" w:cs="仿宋"/>
          <w:spacing w:val="-4"/>
          <w:sz w:val="28"/>
          <w:szCs w:val="28"/>
        </w:rPr>
        <w:t>的重要节点，对于跨区域人员流动和国家战略</w:t>
      </w:r>
      <w:r>
        <w:rPr>
          <w:rFonts w:ascii="仿宋" w:hAnsi="仿宋" w:eastAsia="仿宋" w:cs="仿宋"/>
          <w:spacing w:val="-2"/>
          <w:sz w:val="28"/>
          <w:szCs w:val="28"/>
        </w:rPr>
        <w:t>物资运输中集散、中转的支撑作用十分突出。曲靖市参与“一带一路”，主</w:t>
      </w:r>
      <w:r>
        <w:rPr>
          <w:rFonts w:ascii="仿宋" w:hAnsi="仿宋" w:eastAsia="仿宋" w:cs="仿宋"/>
          <w:spacing w:val="-5"/>
          <w:sz w:val="28"/>
          <w:szCs w:val="28"/>
        </w:rPr>
        <w:t>要是通过云南建设面向南亚东南亚辐射中心的发展定位，融入中国－</w:t>
      </w:r>
      <w:r>
        <w:rPr>
          <w:rFonts w:ascii="仿宋" w:hAnsi="仿宋" w:eastAsia="仿宋" w:cs="仿宋"/>
          <w:spacing w:val="-38"/>
          <w:sz w:val="28"/>
          <w:szCs w:val="28"/>
        </w:rPr>
        <w:t xml:space="preserve"> </w:t>
      </w:r>
      <w:r>
        <w:rPr>
          <w:rFonts w:ascii="仿宋" w:hAnsi="仿宋" w:eastAsia="仿宋" w:cs="仿宋"/>
          <w:spacing w:val="-5"/>
          <w:sz w:val="28"/>
          <w:szCs w:val="28"/>
        </w:rPr>
        <w:t>中南半</w:t>
      </w:r>
      <w:r>
        <w:rPr>
          <w:rFonts w:ascii="仿宋" w:hAnsi="仿宋" w:eastAsia="仿宋" w:cs="仿宋"/>
          <w:spacing w:val="-2"/>
          <w:sz w:val="28"/>
          <w:szCs w:val="28"/>
        </w:rPr>
        <w:t>岛经济走廊和孟中印缅经济走廊，向北联系新亚欧大陆桥，成为祖国内地连接南亚东南亚国家的必经枢纽节点。曲靖市应充分发挥区位优势，积极规划建设铁路、公路、机场等多种运输方式，加快建设综合客运枢纽和物流中转集散基地，构建面向南亚东南亚的开放门户，服务于“一带一路”、长江经</w:t>
      </w:r>
      <w:r>
        <w:rPr>
          <w:rFonts w:ascii="仿宋" w:hAnsi="仿宋" w:eastAsia="仿宋" w:cs="仿宋"/>
          <w:spacing w:val="-1"/>
          <w:sz w:val="28"/>
          <w:szCs w:val="28"/>
        </w:rPr>
        <w:t>济带等国家战略，突出曲靖市作为全国性综合交通枢纽的地位。</w:t>
      </w:r>
    </w:p>
    <w:p w14:paraId="479990D5">
      <w:pPr>
        <w:spacing w:before="3" w:line="343" w:lineRule="auto"/>
        <w:ind w:left="7" w:firstLine="577"/>
        <w:jc w:val="both"/>
        <w:rPr>
          <w:rFonts w:ascii="仿宋" w:hAnsi="仿宋" w:eastAsia="仿宋" w:cs="仿宋"/>
          <w:sz w:val="28"/>
          <w:szCs w:val="28"/>
        </w:rPr>
      </w:pPr>
      <w:r>
        <w:rPr>
          <w:rFonts w:ascii="仿宋" w:hAnsi="仿宋" w:eastAsia="仿宋" w:cs="仿宋"/>
          <w:b/>
          <w:bCs/>
          <w:spacing w:val="-4"/>
          <w:sz w:val="28"/>
          <w:szCs w:val="28"/>
        </w:rPr>
        <w:t>——滇东区域物流枢纽。</w:t>
      </w:r>
      <w:r>
        <w:rPr>
          <w:rFonts w:ascii="仿宋" w:hAnsi="仿宋" w:eastAsia="仿宋" w:cs="仿宋"/>
          <w:spacing w:val="-4"/>
          <w:sz w:val="28"/>
          <w:szCs w:val="28"/>
        </w:rPr>
        <w:t>曲靖作为滇中城市群的核心区域，正处于云南</w:t>
      </w:r>
      <w:r>
        <w:rPr>
          <w:rFonts w:ascii="仿宋" w:hAnsi="仿宋" w:eastAsia="仿宋" w:cs="仿宋"/>
          <w:spacing w:val="7"/>
          <w:sz w:val="28"/>
          <w:szCs w:val="28"/>
        </w:rPr>
        <w:t>省向东连接粤港澳大湾区和北部湾经济区及向北连接</w:t>
      </w:r>
      <w:r>
        <w:rPr>
          <w:rFonts w:ascii="仿宋" w:hAnsi="仿宋" w:eastAsia="仿宋" w:cs="仿宋"/>
          <w:spacing w:val="6"/>
          <w:sz w:val="28"/>
          <w:szCs w:val="28"/>
        </w:rPr>
        <w:t>成渝地区双城经济圈</w:t>
      </w:r>
      <w:r>
        <w:rPr>
          <w:rFonts w:ascii="仿宋" w:hAnsi="仿宋" w:eastAsia="仿宋" w:cs="仿宋"/>
          <w:spacing w:val="-2"/>
          <w:sz w:val="28"/>
          <w:szCs w:val="28"/>
        </w:rPr>
        <w:t>和北方丝绸之路的西部陆海新通道的关键位置；同时省委、省政府提出将曲靖市打造成为“先进制造基地、高端食品基地、城乡融合发展示范区和云南副中心城市”，对交通发展要求是围绕全国性综合交通枢纽的总目标，建成</w:t>
      </w:r>
      <w:r>
        <w:rPr>
          <w:rFonts w:ascii="仿宋" w:hAnsi="仿宋" w:eastAsia="仿宋" w:cs="仿宋"/>
          <w:spacing w:val="-8"/>
          <w:sz w:val="28"/>
          <w:szCs w:val="28"/>
        </w:rPr>
        <w:t>城乡一体、连通黔桂、通边达海、走向南亚东南亚的现代综合交通运输体系。</w:t>
      </w:r>
      <w:r>
        <w:rPr>
          <w:rFonts w:ascii="仿宋" w:hAnsi="仿宋" w:eastAsia="仿宋" w:cs="仿宋"/>
          <w:spacing w:val="-3"/>
          <w:sz w:val="28"/>
          <w:szCs w:val="28"/>
        </w:rPr>
        <w:t>曲靖应充分发挥作为</w:t>
      </w:r>
      <w:r>
        <w:rPr>
          <w:rFonts w:ascii="仿宋" w:hAnsi="仿宋" w:eastAsia="仿宋" w:cs="仿宋"/>
          <w:spacing w:val="-104"/>
          <w:sz w:val="28"/>
          <w:szCs w:val="28"/>
        </w:rPr>
        <w:t xml:space="preserve"> </w:t>
      </w:r>
      <w:r>
        <w:rPr>
          <w:rFonts w:ascii="仿宋" w:hAnsi="仿宋" w:eastAsia="仿宋" w:cs="仿宋"/>
          <w:spacing w:val="-3"/>
          <w:sz w:val="28"/>
          <w:szCs w:val="28"/>
        </w:rPr>
        <w:t>“北入川渝、长江经济带，西接昆明、孟中印缅，东承</w:t>
      </w:r>
      <w:r>
        <w:rPr>
          <w:rFonts w:ascii="仿宋" w:hAnsi="仿宋" w:eastAsia="仿宋" w:cs="仿宋"/>
          <w:spacing w:val="-2"/>
          <w:sz w:val="28"/>
          <w:szCs w:val="28"/>
        </w:rPr>
        <w:t>黔中、粤港澳大湾区，南联红河文山、东南亚”的区位优势，强化物流基地</w:t>
      </w:r>
      <w:r>
        <w:rPr>
          <w:rFonts w:ascii="仿宋" w:hAnsi="仿宋" w:eastAsia="仿宋" w:cs="仿宋"/>
          <w:spacing w:val="-10"/>
          <w:sz w:val="28"/>
          <w:szCs w:val="28"/>
        </w:rPr>
        <w:t>的要素集聚功能，更好地支撑滇东区域物流枢纽建设，助推区域经济迎</w:t>
      </w:r>
      <w:r>
        <w:rPr>
          <w:rFonts w:ascii="仿宋" w:hAnsi="仿宋" w:eastAsia="仿宋" w:cs="仿宋"/>
          <w:spacing w:val="-11"/>
          <w:sz w:val="28"/>
          <w:szCs w:val="28"/>
        </w:rPr>
        <w:t>来“升</w:t>
      </w:r>
      <w:bookmarkStart w:id="24" w:name="bookmark20"/>
      <w:bookmarkEnd w:id="24"/>
      <w:r>
        <w:rPr>
          <w:rFonts w:ascii="仿宋" w:hAnsi="仿宋" w:eastAsia="仿宋" w:cs="仿宋"/>
          <w:spacing w:val="-2"/>
          <w:sz w:val="28"/>
          <w:szCs w:val="28"/>
        </w:rPr>
        <w:t>级版”。</w:t>
      </w:r>
    </w:p>
    <w:p w14:paraId="74B0F1CD">
      <w:pPr>
        <w:spacing w:before="47" w:line="221" w:lineRule="auto"/>
        <w:ind w:left="635"/>
        <w:outlineLvl w:val="1"/>
        <w:rPr>
          <w:rFonts w:ascii="黑体" w:hAnsi="黑体" w:eastAsia="黑体" w:cs="黑体"/>
          <w:sz w:val="30"/>
          <w:szCs w:val="30"/>
        </w:rPr>
      </w:pPr>
      <w:bookmarkStart w:id="25" w:name="bookmark65"/>
      <w:bookmarkEnd w:id="25"/>
      <w:r>
        <w:rPr>
          <w:rFonts w:ascii="黑体" w:hAnsi="黑体" w:eastAsia="黑体" w:cs="黑体"/>
          <w:spacing w:val="-6"/>
          <w:sz w:val="30"/>
          <w:szCs w:val="30"/>
        </w:rPr>
        <w:t>（四）发展目标</w:t>
      </w:r>
    </w:p>
    <w:p w14:paraId="27453482">
      <w:pPr>
        <w:spacing w:before="238" w:line="225" w:lineRule="auto"/>
        <w:ind w:left="585"/>
        <w:outlineLvl w:val="2"/>
        <w:rPr>
          <w:rFonts w:ascii="黑体" w:hAnsi="黑体" w:eastAsia="黑体" w:cs="黑体"/>
          <w:sz w:val="28"/>
          <w:szCs w:val="28"/>
        </w:rPr>
      </w:pPr>
      <w:bookmarkStart w:id="26" w:name="bookmark21"/>
      <w:bookmarkEnd w:id="26"/>
      <w:r>
        <w:rPr>
          <w:rFonts w:ascii="黑体" w:hAnsi="黑体" w:eastAsia="黑体" w:cs="黑体"/>
          <w:spacing w:val="-7"/>
          <w:sz w:val="28"/>
          <w:szCs w:val="28"/>
        </w:rPr>
        <w:t>1.</w:t>
      </w:r>
      <w:r>
        <w:rPr>
          <w:rFonts w:ascii="黑体" w:hAnsi="黑体" w:eastAsia="黑体" w:cs="黑体"/>
          <w:spacing w:val="16"/>
          <w:sz w:val="28"/>
          <w:szCs w:val="28"/>
        </w:rPr>
        <w:t xml:space="preserve"> </w:t>
      </w:r>
      <w:r>
        <w:rPr>
          <w:rFonts w:ascii="黑体" w:hAnsi="黑体" w:eastAsia="黑体" w:cs="黑体"/>
          <w:spacing w:val="-7"/>
          <w:sz w:val="28"/>
          <w:szCs w:val="28"/>
        </w:rPr>
        <w:t>总体目标</w:t>
      </w:r>
    </w:p>
    <w:p w14:paraId="0562B162">
      <w:pPr>
        <w:spacing w:before="290" w:line="342" w:lineRule="auto"/>
        <w:ind w:left="9" w:right="79" w:firstLine="580"/>
        <w:jc w:val="both"/>
        <w:rPr>
          <w:rFonts w:ascii="仿宋" w:hAnsi="仿宋" w:eastAsia="仿宋" w:cs="仿宋"/>
          <w:sz w:val="28"/>
          <w:szCs w:val="28"/>
        </w:rPr>
      </w:pPr>
      <w:r>
        <w:rPr>
          <w:rFonts w:ascii="仿宋" w:hAnsi="仿宋" w:eastAsia="仿宋" w:cs="仿宋"/>
          <w:spacing w:val="-3"/>
          <w:sz w:val="28"/>
          <w:szCs w:val="28"/>
        </w:rPr>
        <w:t>“十四五”期间，立足全市综合交通运输发展现状，聚焦综合交通运输</w:t>
      </w:r>
      <w:r>
        <w:rPr>
          <w:rFonts w:ascii="仿宋" w:hAnsi="仿宋" w:eastAsia="仿宋" w:cs="仿宋"/>
          <w:spacing w:val="1"/>
          <w:sz w:val="28"/>
          <w:szCs w:val="28"/>
        </w:rPr>
        <w:t>发展主要矛盾，锚定</w:t>
      </w:r>
      <w:r>
        <w:rPr>
          <w:rFonts w:ascii="仿宋" w:hAnsi="仿宋" w:eastAsia="仿宋" w:cs="仿宋"/>
          <w:spacing w:val="-40"/>
          <w:sz w:val="28"/>
          <w:szCs w:val="28"/>
        </w:rPr>
        <w:t xml:space="preserve"> </w:t>
      </w:r>
      <w:r>
        <w:rPr>
          <w:rFonts w:ascii="仿宋" w:hAnsi="仿宋" w:eastAsia="仿宋" w:cs="仿宋"/>
          <w:spacing w:val="1"/>
          <w:sz w:val="28"/>
          <w:szCs w:val="28"/>
        </w:rPr>
        <w:t>2035年远景目标，以实现综合立体交通</w:t>
      </w:r>
      <w:r>
        <w:rPr>
          <w:rFonts w:ascii="仿宋" w:hAnsi="仿宋" w:eastAsia="仿宋" w:cs="仿宋"/>
          <w:spacing w:val="-100"/>
          <w:sz w:val="28"/>
          <w:szCs w:val="28"/>
        </w:rPr>
        <w:t xml:space="preserve"> </w:t>
      </w:r>
      <w:r>
        <w:rPr>
          <w:rFonts w:ascii="仿宋" w:hAnsi="仿宋" w:eastAsia="仿宋" w:cs="仿宋"/>
          <w:spacing w:val="1"/>
          <w:sz w:val="28"/>
          <w:szCs w:val="28"/>
        </w:rPr>
        <w:t>“</w:t>
      </w:r>
      <w:r>
        <w:rPr>
          <w:rFonts w:ascii="仿宋" w:hAnsi="仿宋" w:eastAsia="仿宋" w:cs="仿宋"/>
          <w:spacing w:val="-106"/>
          <w:sz w:val="28"/>
          <w:szCs w:val="28"/>
        </w:rPr>
        <w:t xml:space="preserve"> </w:t>
      </w:r>
      <w:r>
        <w:rPr>
          <w:rFonts w:ascii="仿宋" w:hAnsi="仿宋" w:eastAsia="仿宋" w:cs="仿宋"/>
          <w:spacing w:val="1"/>
          <w:sz w:val="28"/>
          <w:szCs w:val="28"/>
        </w:rPr>
        <w:t>一张网”为</w:t>
      </w:r>
      <w:r>
        <w:rPr>
          <w:rFonts w:ascii="仿宋" w:hAnsi="仿宋" w:eastAsia="仿宋" w:cs="仿宋"/>
          <w:spacing w:val="-2"/>
          <w:sz w:val="28"/>
          <w:szCs w:val="28"/>
        </w:rPr>
        <w:t>总体要求，加快交通强市建设，重点从优化完善综合交通网络、构建综合交通枢纽体系、提升综合运输服务品质、强化智慧交通创新引领、提高安全应急保障能力，促进绿色低碳转型发展、推进行业治理能力现代化等方面，打</w:t>
      </w:r>
    </w:p>
    <w:p w14:paraId="464646DA">
      <w:pPr>
        <w:spacing w:line="342" w:lineRule="auto"/>
        <w:rPr>
          <w:rFonts w:ascii="仿宋" w:hAnsi="仿宋" w:eastAsia="仿宋" w:cs="仿宋"/>
          <w:sz w:val="28"/>
          <w:szCs w:val="28"/>
        </w:rPr>
        <w:sectPr>
          <w:headerReference r:id="rId53" w:type="default"/>
          <w:footerReference r:id="rId54" w:type="default"/>
          <w:pgSz w:w="11906" w:h="16839"/>
          <w:pgMar w:top="1222" w:right="1504" w:bottom="1156" w:left="1134" w:header="885" w:footer="920" w:gutter="0"/>
          <w:cols w:space="720" w:num="1"/>
        </w:sectPr>
      </w:pPr>
    </w:p>
    <w:p w14:paraId="67A26138">
      <w:pPr>
        <w:pStyle w:val="2"/>
        <w:spacing w:line="278" w:lineRule="auto"/>
      </w:pPr>
    </w:p>
    <w:p w14:paraId="03DF709E">
      <w:pPr>
        <w:spacing w:before="91" w:line="343" w:lineRule="auto"/>
        <w:ind w:left="3" w:right="2" w:firstLine="9"/>
        <w:jc w:val="both"/>
        <w:rPr>
          <w:rFonts w:ascii="仿宋" w:hAnsi="仿宋" w:eastAsia="仿宋" w:cs="仿宋"/>
          <w:sz w:val="28"/>
          <w:szCs w:val="28"/>
        </w:rPr>
      </w:pPr>
      <w:r>
        <w:rPr>
          <w:rFonts w:ascii="仿宋" w:hAnsi="仿宋" w:eastAsia="仿宋" w:cs="仿宋"/>
          <w:spacing w:val="-2"/>
          <w:sz w:val="28"/>
          <w:szCs w:val="28"/>
        </w:rPr>
        <w:t>造交通供给网络（高品质快速交通网、高效率普通干线网、广覆盖基础</w:t>
      </w:r>
      <w:r>
        <w:rPr>
          <w:rFonts w:ascii="仿宋" w:hAnsi="仿宋" w:eastAsia="仿宋" w:cs="仿宋"/>
          <w:spacing w:val="-3"/>
          <w:sz w:val="28"/>
          <w:szCs w:val="28"/>
        </w:rPr>
        <w:t>服务</w:t>
      </w:r>
      <w:r>
        <w:rPr>
          <w:rFonts w:ascii="仿宋" w:hAnsi="仿宋" w:eastAsia="仿宋" w:cs="仿宋"/>
          <w:spacing w:val="-4"/>
          <w:sz w:val="28"/>
          <w:szCs w:val="28"/>
        </w:rPr>
        <w:t>网）和运输服务网络（运输枢纽体系、运输服务网、智</w:t>
      </w:r>
      <w:r>
        <w:rPr>
          <w:rFonts w:ascii="仿宋" w:hAnsi="仿宋" w:eastAsia="仿宋" w:cs="仿宋"/>
          <w:spacing w:val="-5"/>
          <w:sz w:val="28"/>
          <w:szCs w:val="28"/>
        </w:rPr>
        <w:t>慧交通网）。到</w:t>
      </w:r>
      <w:r>
        <w:rPr>
          <w:rFonts w:ascii="仿宋" w:hAnsi="仿宋" w:eastAsia="仿宋" w:cs="仿宋"/>
          <w:spacing w:val="-49"/>
          <w:sz w:val="28"/>
          <w:szCs w:val="28"/>
        </w:rPr>
        <w:t xml:space="preserve"> </w:t>
      </w:r>
      <w:r>
        <w:rPr>
          <w:rFonts w:ascii="仿宋" w:hAnsi="仿宋" w:eastAsia="仿宋" w:cs="仿宋"/>
          <w:spacing w:val="-5"/>
          <w:sz w:val="28"/>
          <w:szCs w:val="28"/>
        </w:rPr>
        <w:t>2025</w:t>
      </w:r>
      <w:r>
        <w:rPr>
          <w:rFonts w:ascii="仿宋" w:hAnsi="仿宋" w:eastAsia="仿宋" w:cs="仿宋"/>
          <w:spacing w:val="-2"/>
          <w:sz w:val="28"/>
          <w:szCs w:val="28"/>
        </w:rPr>
        <w:t>年，实现高速公路向乡镇延伸、县与县之间及国高网与国高网之间“互联互</w:t>
      </w:r>
      <w:r>
        <w:rPr>
          <w:rFonts w:ascii="仿宋" w:hAnsi="仿宋" w:eastAsia="仿宋" w:cs="仿宋"/>
          <w:spacing w:val="-8"/>
          <w:sz w:val="28"/>
          <w:szCs w:val="28"/>
        </w:rPr>
        <w:t>通”，铁路建网提速，铁路运输网络进一步完善，航空运输实现跨越式发展，</w:t>
      </w:r>
      <w:r>
        <w:rPr>
          <w:rFonts w:ascii="仿宋" w:hAnsi="仿宋" w:eastAsia="仿宋" w:cs="仿宋"/>
          <w:spacing w:val="-2"/>
          <w:sz w:val="28"/>
          <w:szCs w:val="28"/>
        </w:rPr>
        <w:t>水路运输逐步规范化，基本达到“西融滇中、东承黔桂、北入川渝、南向出</w:t>
      </w:r>
      <w:r>
        <w:rPr>
          <w:rFonts w:ascii="仿宋" w:hAnsi="仿宋" w:eastAsia="仿宋" w:cs="仿宋"/>
          <w:spacing w:val="7"/>
          <w:sz w:val="28"/>
          <w:szCs w:val="28"/>
        </w:rPr>
        <w:t>境”的目标，初步形成各运输方式相互衔接、</w:t>
      </w:r>
      <w:r>
        <w:rPr>
          <w:rFonts w:ascii="仿宋" w:hAnsi="仿宋" w:eastAsia="仿宋" w:cs="仿宋"/>
          <w:spacing w:val="6"/>
          <w:sz w:val="28"/>
          <w:szCs w:val="28"/>
        </w:rPr>
        <w:t>优势互补、便捷安全、经济</w:t>
      </w:r>
      <w:r>
        <w:rPr>
          <w:rFonts w:ascii="仿宋" w:hAnsi="仿宋" w:eastAsia="仿宋" w:cs="仿宋"/>
          <w:sz w:val="28"/>
          <w:szCs w:val="28"/>
        </w:rPr>
        <w:t>高效、绿色智能的现代综合交通运输体系，着力打造</w:t>
      </w:r>
      <w:r>
        <w:rPr>
          <w:rFonts w:ascii="仿宋" w:hAnsi="仿宋" w:eastAsia="仿宋" w:cs="仿宋"/>
          <w:spacing w:val="-89"/>
          <w:sz w:val="28"/>
          <w:szCs w:val="28"/>
        </w:rPr>
        <w:t xml:space="preserve"> </w:t>
      </w:r>
      <w:r>
        <w:rPr>
          <w:rFonts w:ascii="仿宋" w:hAnsi="仿宋" w:eastAsia="仿宋" w:cs="仿宋"/>
          <w:sz w:val="28"/>
          <w:szCs w:val="28"/>
        </w:rPr>
        <w:t>“</w:t>
      </w:r>
      <w:r>
        <w:rPr>
          <w:rFonts w:ascii="仿宋" w:hAnsi="仿宋" w:eastAsia="仿宋" w:cs="仿宋"/>
          <w:spacing w:val="-110"/>
          <w:sz w:val="28"/>
          <w:szCs w:val="28"/>
        </w:rPr>
        <w:t xml:space="preserve"> </w:t>
      </w:r>
      <w:r>
        <w:rPr>
          <w:rFonts w:ascii="仿宋" w:hAnsi="仿宋" w:eastAsia="仿宋" w:cs="仿宋"/>
          <w:sz w:val="28"/>
          <w:szCs w:val="28"/>
        </w:rPr>
        <w:t>123”交通圈，实现</w:t>
      </w:r>
      <w:r>
        <w:rPr>
          <w:rFonts w:ascii="仿宋" w:hAnsi="仿宋" w:eastAsia="仿宋" w:cs="仿宋"/>
          <w:spacing w:val="7"/>
          <w:sz w:val="28"/>
          <w:szCs w:val="28"/>
        </w:rPr>
        <w:t>交通强国建设的阶段性战略目标，为曲靖市打</w:t>
      </w:r>
      <w:r>
        <w:rPr>
          <w:rFonts w:ascii="仿宋" w:hAnsi="仿宋" w:eastAsia="仿宋" w:cs="仿宋"/>
          <w:spacing w:val="6"/>
          <w:sz w:val="28"/>
          <w:szCs w:val="28"/>
        </w:rPr>
        <w:t>造全国性综合交通枢纽和滇东区域物流枢纽提供保障，有效支持曲靖市建设成为云</w:t>
      </w:r>
      <w:r>
        <w:rPr>
          <w:rFonts w:ascii="仿宋" w:hAnsi="仿宋" w:eastAsia="仿宋" w:cs="仿宋"/>
          <w:spacing w:val="5"/>
          <w:sz w:val="28"/>
          <w:szCs w:val="28"/>
        </w:rPr>
        <w:t>南副中心城市。</w:t>
      </w:r>
    </w:p>
    <w:p w14:paraId="61EFFF4C">
      <w:pPr>
        <w:spacing w:before="156" w:line="345" w:lineRule="auto"/>
        <w:ind w:left="19" w:right="89" w:firstLine="595"/>
        <w:rPr>
          <w:rFonts w:ascii="仿宋" w:hAnsi="仿宋" w:eastAsia="仿宋" w:cs="仿宋"/>
          <w:sz w:val="28"/>
          <w:szCs w:val="28"/>
        </w:rPr>
      </w:pPr>
      <w:r>
        <w:rPr>
          <w:rFonts w:ascii="仿宋" w:hAnsi="仿宋" w:eastAsia="仿宋" w:cs="仿宋"/>
          <w:spacing w:val="4"/>
          <w:sz w:val="28"/>
          <w:szCs w:val="28"/>
        </w:rPr>
        <w:t>“</w:t>
      </w:r>
      <w:r>
        <w:rPr>
          <w:rFonts w:ascii="仿宋" w:hAnsi="仿宋" w:eastAsia="仿宋" w:cs="仿宋"/>
          <w:spacing w:val="-89"/>
          <w:sz w:val="28"/>
          <w:szCs w:val="28"/>
        </w:rPr>
        <w:t xml:space="preserve"> </w:t>
      </w:r>
      <w:r>
        <w:rPr>
          <w:rFonts w:ascii="仿宋" w:hAnsi="仿宋" w:eastAsia="仿宋" w:cs="仿宋"/>
          <w:spacing w:val="4"/>
          <w:sz w:val="28"/>
          <w:szCs w:val="28"/>
        </w:rPr>
        <w:t>123”交通圈：滇中城市群</w:t>
      </w:r>
      <w:r>
        <w:rPr>
          <w:rFonts w:ascii="仿宋" w:hAnsi="仿宋" w:eastAsia="仿宋" w:cs="仿宋"/>
          <w:spacing w:val="-27"/>
          <w:sz w:val="28"/>
          <w:szCs w:val="28"/>
        </w:rPr>
        <w:t xml:space="preserve"> </w:t>
      </w:r>
      <w:r>
        <w:rPr>
          <w:rFonts w:ascii="仿宋" w:hAnsi="仿宋" w:eastAsia="仿宋" w:cs="仿宋"/>
          <w:spacing w:val="4"/>
          <w:sz w:val="28"/>
          <w:szCs w:val="28"/>
        </w:rPr>
        <w:t>1</w:t>
      </w:r>
      <w:r>
        <w:rPr>
          <w:rFonts w:ascii="仿宋" w:hAnsi="仿宋" w:eastAsia="仿宋" w:cs="仿宋"/>
          <w:spacing w:val="-47"/>
          <w:sz w:val="28"/>
          <w:szCs w:val="28"/>
        </w:rPr>
        <w:t xml:space="preserve"> </w:t>
      </w:r>
      <w:r>
        <w:rPr>
          <w:rFonts w:ascii="仿宋" w:hAnsi="仿宋" w:eastAsia="仿宋" w:cs="仿宋"/>
          <w:spacing w:val="4"/>
          <w:sz w:val="28"/>
          <w:szCs w:val="28"/>
        </w:rPr>
        <w:t>小时通勤圈，</w:t>
      </w:r>
      <w:r>
        <w:rPr>
          <w:rFonts w:ascii="仿宋" w:hAnsi="仿宋" w:eastAsia="仿宋" w:cs="仿宋"/>
          <w:spacing w:val="-83"/>
          <w:sz w:val="28"/>
          <w:szCs w:val="28"/>
        </w:rPr>
        <w:t xml:space="preserve"> </w:t>
      </w:r>
      <w:r>
        <w:rPr>
          <w:rFonts w:ascii="仿宋" w:hAnsi="仿宋" w:eastAsia="仿宋" w:cs="仿宋"/>
          <w:spacing w:val="4"/>
          <w:sz w:val="28"/>
          <w:szCs w:val="28"/>
        </w:rPr>
        <w:t>中心城区至省内及周边</w:t>
      </w:r>
      <w:r>
        <w:rPr>
          <w:rFonts w:ascii="仿宋" w:hAnsi="仿宋" w:eastAsia="仿宋" w:cs="仿宋"/>
          <w:spacing w:val="1"/>
          <w:sz w:val="28"/>
          <w:szCs w:val="28"/>
        </w:rPr>
        <w:t>省</w:t>
      </w:r>
      <w:r>
        <w:rPr>
          <w:rFonts w:ascii="仿宋" w:hAnsi="仿宋" w:eastAsia="仿宋" w:cs="仿宋"/>
          <w:spacing w:val="-61"/>
          <w:sz w:val="28"/>
          <w:szCs w:val="28"/>
        </w:rPr>
        <w:t xml:space="preserve"> </w:t>
      </w:r>
      <w:r>
        <w:rPr>
          <w:rFonts w:ascii="仿宋" w:hAnsi="仿宋" w:eastAsia="仿宋" w:cs="仿宋"/>
          <w:spacing w:val="1"/>
          <w:sz w:val="28"/>
          <w:szCs w:val="28"/>
        </w:rPr>
        <w:t>区</w:t>
      </w:r>
      <w:r>
        <w:rPr>
          <w:rFonts w:ascii="仿宋" w:hAnsi="仿宋" w:eastAsia="仿宋" w:cs="仿宋"/>
          <w:spacing w:val="-34"/>
          <w:sz w:val="28"/>
          <w:szCs w:val="28"/>
        </w:rPr>
        <w:t xml:space="preserve"> </w:t>
      </w:r>
      <w:r>
        <w:rPr>
          <w:rFonts w:ascii="仿宋" w:hAnsi="仿宋" w:eastAsia="仿宋" w:cs="仿宋"/>
          <w:spacing w:val="1"/>
          <w:sz w:val="28"/>
          <w:szCs w:val="28"/>
        </w:rPr>
        <w:t>2</w:t>
      </w:r>
      <w:r>
        <w:rPr>
          <w:rFonts w:ascii="仿宋" w:hAnsi="仿宋" w:eastAsia="仿宋" w:cs="仿宋"/>
          <w:spacing w:val="-49"/>
          <w:sz w:val="28"/>
          <w:szCs w:val="28"/>
        </w:rPr>
        <w:t xml:space="preserve"> </w:t>
      </w:r>
      <w:r>
        <w:rPr>
          <w:rFonts w:ascii="仿宋" w:hAnsi="仿宋" w:eastAsia="仿宋" w:cs="仿宋"/>
          <w:spacing w:val="1"/>
          <w:sz w:val="28"/>
          <w:szCs w:val="28"/>
        </w:rPr>
        <w:t>小时内到达，</w:t>
      </w:r>
      <w:r>
        <w:rPr>
          <w:rFonts w:ascii="仿宋" w:hAnsi="仿宋" w:eastAsia="仿宋" w:cs="仿宋"/>
          <w:spacing w:val="-81"/>
          <w:sz w:val="28"/>
          <w:szCs w:val="28"/>
        </w:rPr>
        <w:t xml:space="preserve"> </w:t>
      </w:r>
      <w:r>
        <w:rPr>
          <w:rFonts w:ascii="仿宋" w:hAnsi="仿宋" w:eastAsia="仿宋" w:cs="仿宋"/>
          <w:spacing w:val="1"/>
          <w:sz w:val="28"/>
          <w:szCs w:val="28"/>
        </w:rPr>
        <w:t>中心城区至全国主要城市</w:t>
      </w:r>
      <w:r>
        <w:rPr>
          <w:rFonts w:ascii="仿宋" w:hAnsi="仿宋" w:eastAsia="仿宋" w:cs="仿宋"/>
          <w:spacing w:val="-23"/>
          <w:sz w:val="28"/>
          <w:szCs w:val="28"/>
        </w:rPr>
        <w:t xml:space="preserve"> </w:t>
      </w:r>
      <w:r>
        <w:rPr>
          <w:rFonts w:ascii="仿宋" w:hAnsi="仿宋" w:eastAsia="仿宋" w:cs="仿宋"/>
          <w:spacing w:val="1"/>
          <w:sz w:val="28"/>
          <w:szCs w:val="28"/>
        </w:rPr>
        <w:t>3</w:t>
      </w:r>
      <w:r>
        <w:rPr>
          <w:rFonts w:ascii="仿宋" w:hAnsi="仿宋" w:eastAsia="仿宋" w:cs="仿宋"/>
          <w:spacing w:val="-49"/>
          <w:sz w:val="28"/>
          <w:szCs w:val="28"/>
        </w:rPr>
        <w:t xml:space="preserve"> </w:t>
      </w:r>
      <w:r>
        <w:rPr>
          <w:rFonts w:ascii="仿宋" w:hAnsi="仿宋" w:eastAsia="仿宋" w:cs="仿宋"/>
          <w:spacing w:val="1"/>
          <w:sz w:val="28"/>
          <w:szCs w:val="28"/>
        </w:rPr>
        <w:t>小时左右达到。</w:t>
      </w:r>
    </w:p>
    <w:p w14:paraId="4599568C">
      <w:pPr>
        <w:spacing w:before="105" w:line="224" w:lineRule="auto"/>
        <w:ind w:left="569"/>
        <w:outlineLvl w:val="2"/>
        <w:rPr>
          <w:rFonts w:ascii="黑体" w:hAnsi="黑体" w:eastAsia="黑体" w:cs="黑体"/>
          <w:sz w:val="28"/>
          <w:szCs w:val="28"/>
        </w:rPr>
      </w:pPr>
      <w:bookmarkStart w:id="27" w:name="bookmark22"/>
      <w:bookmarkEnd w:id="27"/>
      <w:r>
        <w:rPr>
          <w:rFonts w:ascii="黑体" w:hAnsi="黑体" w:eastAsia="黑体" w:cs="黑体"/>
          <w:spacing w:val="-5"/>
          <w:sz w:val="28"/>
          <w:szCs w:val="28"/>
        </w:rPr>
        <w:t>2.</w:t>
      </w:r>
      <w:r>
        <w:rPr>
          <w:rFonts w:ascii="黑体" w:hAnsi="黑体" w:eastAsia="黑体" w:cs="黑体"/>
          <w:spacing w:val="21"/>
          <w:sz w:val="28"/>
          <w:szCs w:val="28"/>
        </w:rPr>
        <w:t xml:space="preserve"> </w:t>
      </w:r>
      <w:r>
        <w:rPr>
          <w:rFonts w:ascii="黑体" w:hAnsi="黑体" w:eastAsia="黑体" w:cs="黑体"/>
          <w:spacing w:val="-5"/>
          <w:sz w:val="28"/>
          <w:szCs w:val="28"/>
        </w:rPr>
        <w:t>具体目标</w:t>
      </w:r>
    </w:p>
    <w:p w14:paraId="17558266">
      <w:pPr>
        <w:spacing w:before="285" w:line="343" w:lineRule="auto"/>
        <w:ind w:left="8" w:right="84" w:firstLine="591"/>
        <w:jc w:val="both"/>
        <w:rPr>
          <w:rFonts w:ascii="仿宋" w:hAnsi="仿宋" w:eastAsia="仿宋" w:cs="仿宋"/>
          <w:sz w:val="28"/>
          <w:szCs w:val="28"/>
        </w:rPr>
      </w:pPr>
      <w:r>
        <w:rPr>
          <w:rFonts w:ascii="仿宋" w:hAnsi="仿宋" w:eastAsia="仿宋" w:cs="仿宋"/>
          <w:b/>
          <w:bCs/>
          <w:spacing w:val="5"/>
          <w:sz w:val="28"/>
          <w:szCs w:val="28"/>
        </w:rPr>
        <w:t>——设施网络：</w:t>
      </w:r>
      <w:r>
        <w:rPr>
          <w:rFonts w:ascii="仿宋" w:hAnsi="仿宋" w:eastAsia="仿宋" w:cs="仿宋"/>
          <w:spacing w:val="5"/>
          <w:sz w:val="28"/>
          <w:szCs w:val="28"/>
        </w:rPr>
        <w:t>路网规模稳步增长。综合交通实体线网规模实现新增</w:t>
      </w:r>
      <w:r>
        <w:rPr>
          <w:rFonts w:ascii="仿宋" w:hAnsi="仿宋" w:eastAsia="仿宋" w:cs="仿宋"/>
          <w:spacing w:val="3"/>
          <w:sz w:val="28"/>
          <w:szCs w:val="28"/>
        </w:rPr>
        <w:t>长，运输方式实现新突破。铁路营运里程力争达到</w:t>
      </w:r>
      <w:r>
        <w:rPr>
          <w:rFonts w:ascii="仿宋" w:hAnsi="仿宋" w:eastAsia="仿宋" w:cs="仿宋"/>
          <w:spacing w:val="-37"/>
          <w:sz w:val="28"/>
          <w:szCs w:val="28"/>
        </w:rPr>
        <w:t xml:space="preserve"> </w:t>
      </w:r>
      <w:r>
        <w:rPr>
          <w:rFonts w:ascii="仿宋" w:hAnsi="仿宋" w:eastAsia="仿宋" w:cs="仿宋"/>
          <w:spacing w:val="3"/>
          <w:sz w:val="28"/>
          <w:szCs w:val="28"/>
        </w:rPr>
        <w:t>800</w:t>
      </w:r>
      <w:r>
        <w:rPr>
          <w:rFonts w:ascii="仿宋" w:hAnsi="仿宋" w:eastAsia="仿宋" w:cs="仿宋"/>
          <w:spacing w:val="-52"/>
          <w:sz w:val="28"/>
          <w:szCs w:val="28"/>
        </w:rPr>
        <w:t xml:space="preserve"> </w:t>
      </w:r>
      <w:r>
        <w:rPr>
          <w:rFonts w:ascii="仿宋" w:hAnsi="仿宋" w:eastAsia="仿宋" w:cs="仿宋"/>
          <w:spacing w:val="3"/>
          <w:sz w:val="28"/>
          <w:szCs w:val="28"/>
        </w:rPr>
        <w:t>公</w:t>
      </w:r>
      <w:r>
        <w:rPr>
          <w:rFonts w:ascii="仿宋" w:hAnsi="仿宋" w:eastAsia="仿宋" w:cs="仿宋"/>
          <w:spacing w:val="2"/>
          <w:sz w:val="28"/>
          <w:szCs w:val="28"/>
        </w:rPr>
        <w:t>里（</w:t>
      </w:r>
      <w:r>
        <w:rPr>
          <w:rFonts w:ascii="仿宋" w:hAnsi="仿宋" w:eastAsia="仿宋" w:cs="仿宋"/>
          <w:spacing w:val="-73"/>
          <w:sz w:val="28"/>
          <w:szCs w:val="28"/>
        </w:rPr>
        <w:t xml:space="preserve"> </w:t>
      </w:r>
      <w:r>
        <w:rPr>
          <w:rFonts w:ascii="仿宋" w:hAnsi="仿宋" w:eastAsia="仿宋" w:cs="仿宋"/>
          <w:spacing w:val="2"/>
          <w:sz w:val="28"/>
          <w:szCs w:val="28"/>
        </w:rPr>
        <w:t>高速铁路接</w:t>
      </w:r>
      <w:r>
        <w:rPr>
          <w:rFonts w:ascii="仿宋" w:hAnsi="仿宋" w:eastAsia="仿宋" w:cs="仿宋"/>
          <w:spacing w:val="1"/>
          <w:sz w:val="28"/>
          <w:szCs w:val="28"/>
        </w:rPr>
        <w:t>近</w:t>
      </w:r>
      <w:r>
        <w:rPr>
          <w:rFonts w:ascii="仿宋" w:hAnsi="仿宋" w:eastAsia="仿宋" w:cs="仿宋"/>
          <w:spacing w:val="-39"/>
          <w:sz w:val="28"/>
          <w:szCs w:val="28"/>
        </w:rPr>
        <w:t xml:space="preserve"> </w:t>
      </w:r>
      <w:r>
        <w:rPr>
          <w:rFonts w:ascii="仿宋" w:hAnsi="仿宋" w:eastAsia="仿宋" w:cs="仿宋"/>
          <w:spacing w:val="1"/>
          <w:sz w:val="28"/>
          <w:szCs w:val="28"/>
        </w:rPr>
        <w:t>260</w:t>
      </w:r>
      <w:r>
        <w:rPr>
          <w:rFonts w:ascii="仿宋" w:hAnsi="仿宋" w:eastAsia="仿宋" w:cs="仿宋"/>
          <w:spacing w:val="-53"/>
          <w:sz w:val="28"/>
          <w:szCs w:val="28"/>
        </w:rPr>
        <w:t xml:space="preserve"> </w:t>
      </w:r>
      <w:r>
        <w:rPr>
          <w:rFonts w:ascii="仿宋" w:hAnsi="仿宋" w:eastAsia="仿宋" w:cs="仿宋"/>
          <w:spacing w:val="1"/>
          <w:sz w:val="28"/>
          <w:szCs w:val="28"/>
        </w:rPr>
        <w:t>公里</w:t>
      </w:r>
      <w:r>
        <w:rPr>
          <w:rFonts w:ascii="仿宋" w:hAnsi="仿宋" w:eastAsia="仿宋" w:cs="仿宋"/>
          <w:spacing w:val="9"/>
          <w:sz w:val="28"/>
          <w:szCs w:val="28"/>
        </w:rPr>
        <w:t>），</w:t>
      </w:r>
      <w:r>
        <w:rPr>
          <w:rFonts w:ascii="仿宋" w:hAnsi="仿宋" w:eastAsia="仿宋" w:cs="仿宋"/>
          <w:spacing w:val="1"/>
          <w:sz w:val="28"/>
          <w:szCs w:val="28"/>
        </w:rPr>
        <w:t>建成和在建里程力争达到</w:t>
      </w:r>
      <w:r>
        <w:rPr>
          <w:rFonts w:ascii="仿宋" w:hAnsi="仿宋" w:eastAsia="仿宋" w:cs="仿宋"/>
          <w:spacing w:val="-35"/>
          <w:sz w:val="28"/>
          <w:szCs w:val="28"/>
        </w:rPr>
        <w:t xml:space="preserve"> </w:t>
      </w:r>
      <w:r>
        <w:rPr>
          <w:rFonts w:ascii="仿宋" w:hAnsi="仿宋" w:eastAsia="仿宋" w:cs="仿宋"/>
          <w:spacing w:val="1"/>
          <w:sz w:val="28"/>
          <w:szCs w:val="28"/>
        </w:rPr>
        <w:t>500</w:t>
      </w:r>
      <w:r>
        <w:rPr>
          <w:rFonts w:ascii="仿宋" w:hAnsi="仿宋" w:eastAsia="仿宋" w:cs="仿宋"/>
          <w:spacing w:val="-53"/>
          <w:sz w:val="28"/>
          <w:szCs w:val="28"/>
        </w:rPr>
        <w:t xml:space="preserve"> </w:t>
      </w:r>
      <w:r>
        <w:rPr>
          <w:rFonts w:ascii="仿宋" w:hAnsi="仿宋" w:eastAsia="仿宋" w:cs="仿宋"/>
          <w:spacing w:val="1"/>
          <w:sz w:val="28"/>
          <w:szCs w:val="28"/>
        </w:rPr>
        <w:t>公里。</w:t>
      </w:r>
      <w:r>
        <w:rPr>
          <w:rFonts w:ascii="仿宋" w:hAnsi="仿宋" w:eastAsia="仿宋" w:cs="仿宋"/>
          <w:sz w:val="28"/>
          <w:szCs w:val="28"/>
        </w:rPr>
        <w:t>公路总里程（</w:t>
      </w:r>
      <w:r>
        <w:rPr>
          <w:rFonts w:ascii="仿宋" w:hAnsi="仿宋" w:eastAsia="仿宋" w:cs="仿宋"/>
          <w:spacing w:val="-73"/>
          <w:sz w:val="28"/>
          <w:szCs w:val="28"/>
        </w:rPr>
        <w:t xml:space="preserve"> </w:t>
      </w:r>
      <w:r>
        <w:rPr>
          <w:rFonts w:ascii="仿宋" w:hAnsi="仿宋" w:eastAsia="仿宋" w:cs="仿宋"/>
          <w:sz w:val="28"/>
          <w:szCs w:val="28"/>
        </w:rPr>
        <w:t>列统里</w:t>
      </w:r>
      <w:r>
        <w:rPr>
          <w:rFonts w:ascii="仿宋" w:hAnsi="仿宋" w:eastAsia="仿宋" w:cs="仿宋"/>
          <w:spacing w:val="2"/>
          <w:sz w:val="28"/>
          <w:szCs w:val="28"/>
        </w:rPr>
        <w:t>程）力争达到</w:t>
      </w:r>
      <w:r>
        <w:rPr>
          <w:rFonts w:ascii="仿宋" w:hAnsi="仿宋" w:eastAsia="仿宋" w:cs="仿宋"/>
          <w:spacing w:val="-22"/>
          <w:sz w:val="28"/>
          <w:szCs w:val="28"/>
        </w:rPr>
        <w:t xml:space="preserve"> </w:t>
      </w:r>
      <w:r>
        <w:rPr>
          <w:rFonts w:ascii="仿宋" w:hAnsi="仿宋" w:eastAsia="仿宋" w:cs="仿宋"/>
          <w:spacing w:val="2"/>
          <w:sz w:val="28"/>
          <w:szCs w:val="28"/>
        </w:rPr>
        <w:t>3.5</w:t>
      </w:r>
      <w:r>
        <w:rPr>
          <w:rFonts w:ascii="仿宋" w:hAnsi="仿宋" w:eastAsia="仿宋" w:cs="仿宋"/>
          <w:spacing w:val="-35"/>
          <w:sz w:val="28"/>
          <w:szCs w:val="28"/>
        </w:rPr>
        <w:t xml:space="preserve"> </w:t>
      </w:r>
      <w:r>
        <w:rPr>
          <w:rFonts w:ascii="仿宋" w:hAnsi="仿宋" w:eastAsia="仿宋" w:cs="仿宋"/>
          <w:spacing w:val="2"/>
          <w:sz w:val="28"/>
          <w:szCs w:val="28"/>
        </w:rPr>
        <w:t>万公里，高速公路建成通车里程达</w:t>
      </w:r>
      <w:r>
        <w:rPr>
          <w:rFonts w:ascii="仿宋" w:hAnsi="仿宋" w:eastAsia="仿宋" w:cs="仿宋"/>
          <w:spacing w:val="-33"/>
          <w:sz w:val="28"/>
          <w:szCs w:val="28"/>
        </w:rPr>
        <w:t xml:space="preserve"> </w:t>
      </w:r>
      <w:r>
        <w:rPr>
          <w:rFonts w:ascii="仿宋" w:hAnsi="仿宋" w:eastAsia="仿宋" w:cs="仿宋"/>
          <w:spacing w:val="2"/>
          <w:sz w:val="28"/>
          <w:szCs w:val="28"/>
        </w:rPr>
        <w:t>1600</w:t>
      </w:r>
      <w:r>
        <w:rPr>
          <w:rFonts w:ascii="仿宋" w:hAnsi="仿宋" w:eastAsia="仿宋" w:cs="仿宋"/>
          <w:spacing w:val="-52"/>
          <w:sz w:val="28"/>
          <w:szCs w:val="28"/>
        </w:rPr>
        <w:t xml:space="preserve"> </w:t>
      </w:r>
      <w:r>
        <w:rPr>
          <w:rFonts w:ascii="仿宋" w:hAnsi="仿宋" w:eastAsia="仿宋" w:cs="仿宋"/>
          <w:spacing w:val="2"/>
          <w:sz w:val="28"/>
          <w:szCs w:val="28"/>
        </w:rPr>
        <w:t>公路，80%以上</w:t>
      </w:r>
      <w:r>
        <w:rPr>
          <w:rFonts w:ascii="仿宋" w:hAnsi="仿宋" w:eastAsia="仿宋" w:cs="仿宋"/>
          <w:spacing w:val="9"/>
          <w:sz w:val="28"/>
          <w:szCs w:val="28"/>
        </w:rPr>
        <w:t>乡镇（街道）通高速（政府所</w:t>
      </w:r>
      <w:r>
        <w:rPr>
          <w:rFonts w:hint="eastAsia" w:ascii="仿宋" w:hAnsi="仿宋" w:eastAsia="仿宋" w:cs="仿宋"/>
          <w:spacing w:val="9"/>
          <w:sz w:val="28"/>
          <w:szCs w:val="28"/>
          <w:lang w:eastAsia="zh-CN"/>
        </w:rPr>
        <w:t>在</w:t>
      </w:r>
      <w:r>
        <w:rPr>
          <w:rFonts w:ascii="仿宋" w:hAnsi="仿宋" w:eastAsia="仿宋" w:cs="仿宋"/>
          <w:spacing w:val="-22"/>
          <w:sz w:val="28"/>
          <w:szCs w:val="28"/>
        </w:rPr>
        <w:t xml:space="preserve"> </w:t>
      </w:r>
      <w:r>
        <w:rPr>
          <w:rFonts w:ascii="仿宋" w:hAnsi="仿宋" w:eastAsia="仿宋" w:cs="仿宋"/>
          <w:spacing w:val="9"/>
          <w:sz w:val="28"/>
          <w:szCs w:val="28"/>
        </w:rPr>
        <w:t>30</w:t>
      </w:r>
      <w:r>
        <w:rPr>
          <w:rFonts w:ascii="仿宋" w:hAnsi="仿宋" w:eastAsia="仿宋" w:cs="仿宋"/>
          <w:spacing w:val="-46"/>
          <w:sz w:val="28"/>
          <w:szCs w:val="28"/>
        </w:rPr>
        <w:t xml:space="preserve"> </w:t>
      </w:r>
      <w:r>
        <w:rPr>
          <w:rFonts w:ascii="仿宋" w:hAnsi="仿宋" w:eastAsia="仿宋" w:cs="仿宋"/>
          <w:spacing w:val="9"/>
          <w:sz w:val="28"/>
          <w:szCs w:val="28"/>
        </w:rPr>
        <w:t>分钟内上下高速</w:t>
      </w:r>
      <w:r>
        <w:rPr>
          <w:rFonts w:ascii="仿宋" w:hAnsi="仿宋" w:eastAsia="仿宋" w:cs="仿宋"/>
          <w:spacing w:val="3"/>
          <w:sz w:val="28"/>
          <w:szCs w:val="28"/>
        </w:rPr>
        <w:t>），</w:t>
      </w:r>
      <w:r>
        <w:rPr>
          <w:rFonts w:ascii="仿宋" w:hAnsi="仿宋" w:eastAsia="仿宋" w:cs="仿宋"/>
          <w:spacing w:val="9"/>
          <w:sz w:val="28"/>
          <w:szCs w:val="28"/>
        </w:rPr>
        <w:t>新改建普通国</w:t>
      </w:r>
      <w:r>
        <w:rPr>
          <w:rFonts w:ascii="仿宋" w:hAnsi="仿宋" w:eastAsia="仿宋" w:cs="仿宋"/>
          <w:spacing w:val="7"/>
          <w:sz w:val="28"/>
          <w:szCs w:val="28"/>
        </w:rPr>
        <w:t>省道力争达</w:t>
      </w:r>
      <w:r>
        <w:rPr>
          <w:rFonts w:ascii="仿宋" w:hAnsi="仿宋" w:eastAsia="仿宋" w:cs="仿宋"/>
          <w:spacing w:val="-35"/>
          <w:sz w:val="28"/>
          <w:szCs w:val="28"/>
        </w:rPr>
        <w:t xml:space="preserve"> </w:t>
      </w:r>
      <w:r>
        <w:rPr>
          <w:rFonts w:ascii="仿宋" w:hAnsi="仿宋" w:eastAsia="仿宋" w:cs="仿宋"/>
          <w:spacing w:val="7"/>
          <w:sz w:val="28"/>
          <w:szCs w:val="28"/>
        </w:rPr>
        <w:t>200</w:t>
      </w:r>
      <w:r>
        <w:rPr>
          <w:rFonts w:ascii="仿宋" w:hAnsi="仿宋" w:eastAsia="仿宋" w:cs="仿宋"/>
          <w:spacing w:val="-50"/>
          <w:sz w:val="28"/>
          <w:szCs w:val="28"/>
        </w:rPr>
        <w:t xml:space="preserve"> </w:t>
      </w:r>
      <w:r>
        <w:rPr>
          <w:rFonts w:ascii="仿宋" w:hAnsi="仿宋" w:eastAsia="仿宋" w:cs="仿宋"/>
          <w:spacing w:val="7"/>
          <w:sz w:val="28"/>
          <w:szCs w:val="28"/>
        </w:rPr>
        <w:t>公里，新改建农村公路达</w:t>
      </w:r>
      <w:r>
        <w:rPr>
          <w:rFonts w:ascii="仿宋" w:hAnsi="仿宋" w:eastAsia="仿宋" w:cs="仿宋"/>
          <w:spacing w:val="-32"/>
          <w:sz w:val="28"/>
          <w:szCs w:val="28"/>
        </w:rPr>
        <w:t xml:space="preserve"> </w:t>
      </w:r>
      <w:r>
        <w:rPr>
          <w:rFonts w:ascii="仿宋" w:hAnsi="仿宋" w:eastAsia="仿宋" w:cs="仿宋"/>
          <w:spacing w:val="7"/>
          <w:sz w:val="28"/>
          <w:szCs w:val="28"/>
        </w:rPr>
        <w:t>6000</w:t>
      </w:r>
      <w:r>
        <w:rPr>
          <w:rFonts w:ascii="仿宋" w:hAnsi="仿宋" w:eastAsia="仿宋" w:cs="仿宋"/>
          <w:spacing w:val="-49"/>
          <w:sz w:val="28"/>
          <w:szCs w:val="28"/>
        </w:rPr>
        <w:t xml:space="preserve"> </w:t>
      </w:r>
      <w:r>
        <w:rPr>
          <w:rFonts w:ascii="仿宋" w:hAnsi="仿宋" w:eastAsia="仿宋" w:cs="仿宋"/>
          <w:spacing w:val="7"/>
          <w:sz w:val="28"/>
          <w:szCs w:val="28"/>
        </w:rPr>
        <w:t>公里以上。建设</w:t>
      </w:r>
      <w:r>
        <w:rPr>
          <w:rFonts w:ascii="仿宋" w:hAnsi="仿宋" w:eastAsia="仿宋" w:cs="仿宋"/>
          <w:spacing w:val="6"/>
          <w:sz w:val="28"/>
          <w:szCs w:val="28"/>
        </w:rPr>
        <w:t>民用运输</w:t>
      </w:r>
      <w:r>
        <w:rPr>
          <w:rFonts w:ascii="仿宋" w:hAnsi="仿宋" w:eastAsia="仿宋" w:cs="仿宋"/>
          <w:spacing w:val="4"/>
          <w:sz w:val="28"/>
          <w:szCs w:val="28"/>
        </w:rPr>
        <w:t>机场</w:t>
      </w:r>
      <w:r>
        <w:rPr>
          <w:rFonts w:ascii="仿宋" w:hAnsi="仿宋" w:eastAsia="仿宋" w:cs="仿宋"/>
          <w:spacing w:val="-32"/>
          <w:sz w:val="28"/>
          <w:szCs w:val="28"/>
        </w:rPr>
        <w:t xml:space="preserve"> </w:t>
      </w:r>
      <w:r>
        <w:rPr>
          <w:rFonts w:ascii="仿宋" w:hAnsi="仿宋" w:eastAsia="仿宋" w:cs="仿宋"/>
          <w:spacing w:val="4"/>
          <w:sz w:val="28"/>
          <w:szCs w:val="28"/>
        </w:rPr>
        <w:t>1</w:t>
      </w:r>
      <w:r>
        <w:rPr>
          <w:rFonts w:ascii="仿宋" w:hAnsi="仿宋" w:eastAsia="仿宋" w:cs="仿宋"/>
          <w:spacing w:val="-58"/>
          <w:sz w:val="28"/>
          <w:szCs w:val="28"/>
        </w:rPr>
        <w:t xml:space="preserve"> </w:t>
      </w:r>
      <w:r>
        <w:rPr>
          <w:rFonts w:ascii="仿宋" w:hAnsi="仿宋" w:eastAsia="仿宋" w:cs="仿宋"/>
          <w:spacing w:val="4"/>
          <w:sz w:val="28"/>
          <w:szCs w:val="28"/>
        </w:rPr>
        <w:t>座，适时启动建设通用机场</w:t>
      </w:r>
      <w:r>
        <w:rPr>
          <w:rFonts w:ascii="仿宋" w:hAnsi="仿宋" w:eastAsia="仿宋" w:cs="仿宋"/>
          <w:spacing w:val="-39"/>
          <w:sz w:val="28"/>
          <w:szCs w:val="28"/>
        </w:rPr>
        <w:t xml:space="preserve"> </w:t>
      </w:r>
      <w:r>
        <w:rPr>
          <w:rFonts w:ascii="仿宋" w:hAnsi="仿宋" w:eastAsia="仿宋" w:cs="仿宋"/>
          <w:spacing w:val="4"/>
          <w:sz w:val="28"/>
          <w:szCs w:val="28"/>
        </w:rPr>
        <w:t>2</w:t>
      </w:r>
      <w:r>
        <w:rPr>
          <w:rFonts w:ascii="仿宋" w:hAnsi="仿宋" w:eastAsia="仿宋" w:cs="仿宋"/>
          <w:spacing w:val="-58"/>
          <w:sz w:val="28"/>
          <w:szCs w:val="28"/>
        </w:rPr>
        <w:t xml:space="preserve"> </w:t>
      </w:r>
      <w:r>
        <w:rPr>
          <w:rFonts w:ascii="仿宋" w:hAnsi="仿宋" w:eastAsia="仿宋" w:cs="仿宋"/>
          <w:spacing w:val="4"/>
          <w:sz w:val="28"/>
          <w:szCs w:val="28"/>
        </w:rPr>
        <w:t>座，航空运</w:t>
      </w:r>
      <w:r>
        <w:rPr>
          <w:rFonts w:ascii="仿宋" w:hAnsi="仿宋" w:eastAsia="仿宋" w:cs="仿宋"/>
          <w:spacing w:val="3"/>
          <w:sz w:val="28"/>
          <w:szCs w:val="28"/>
        </w:rPr>
        <w:t>输实现跨越式发展。启动</w:t>
      </w:r>
      <w:r>
        <w:rPr>
          <w:rFonts w:ascii="仿宋" w:hAnsi="仿宋" w:eastAsia="仿宋" w:cs="仿宋"/>
          <w:spacing w:val="6"/>
          <w:sz w:val="28"/>
          <w:szCs w:val="28"/>
        </w:rPr>
        <w:t>会泽港（会泽便民码头）建设，适时启动其他水运基础设施前期及建设工</w:t>
      </w:r>
      <w:r>
        <w:rPr>
          <w:rFonts w:ascii="仿宋" w:hAnsi="仿宋" w:eastAsia="仿宋" w:cs="仿宋"/>
          <w:spacing w:val="-4"/>
          <w:sz w:val="28"/>
          <w:szCs w:val="28"/>
        </w:rPr>
        <w:t>作。</w:t>
      </w:r>
    </w:p>
    <w:p w14:paraId="42561E6F">
      <w:pPr>
        <w:spacing w:before="2" w:line="343" w:lineRule="auto"/>
        <w:ind w:left="17" w:right="77" w:firstLine="561"/>
        <w:jc w:val="both"/>
        <w:rPr>
          <w:rFonts w:ascii="仿宋" w:hAnsi="仿宋" w:eastAsia="仿宋" w:cs="仿宋"/>
          <w:sz w:val="28"/>
          <w:szCs w:val="28"/>
        </w:rPr>
      </w:pPr>
      <w:r>
        <w:rPr>
          <w:rFonts w:ascii="仿宋" w:hAnsi="仿宋" w:eastAsia="仿宋" w:cs="仿宋"/>
          <w:spacing w:val="3"/>
          <w:sz w:val="28"/>
          <w:szCs w:val="28"/>
        </w:rPr>
        <w:t>路网结构更加完善。铁路网密度提升至</w:t>
      </w:r>
      <w:r>
        <w:rPr>
          <w:rFonts w:ascii="仿宋" w:hAnsi="仿宋" w:eastAsia="仿宋" w:cs="仿宋"/>
          <w:spacing w:val="-32"/>
          <w:sz w:val="28"/>
          <w:szCs w:val="28"/>
        </w:rPr>
        <w:t xml:space="preserve"> </w:t>
      </w:r>
      <w:r>
        <w:rPr>
          <w:rFonts w:ascii="仿宋" w:hAnsi="仿宋" w:eastAsia="仿宋" w:cs="仿宋"/>
          <w:spacing w:val="3"/>
          <w:sz w:val="28"/>
          <w:szCs w:val="28"/>
        </w:rPr>
        <w:t>277公里/万平方公里，铁路复</w:t>
      </w:r>
      <w:r>
        <w:rPr>
          <w:rFonts w:ascii="仿宋" w:hAnsi="仿宋" w:eastAsia="仿宋" w:cs="仿宋"/>
          <w:sz w:val="28"/>
          <w:szCs w:val="28"/>
        </w:rPr>
        <w:t>线化率近</w:t>
      </w:r>
      <w:r>
        <w:rPr>
          <w:rFonts w:ascii="仿宋" w:hAnsi="仿宋" w:eastAsia="仿宋" w:cs="仿宋"/>
          <w:spacing w:val="-49"/>
          <w:sz w:val="28"/>
          <w:szCs w:val="28"/>
        </w:rPr>
        <w:t xml:space="preserve"> </w:t>
      </w:r>
      <w:r>
        <w:rPr>
          <w:rFonts w:ascii="仿宋" w:hAnsi="仿宋" w:eastAsia="仿宋" w:cs="仿宋"/>
          <w:sz w:val="28"/>
          <w:szCs w:val="28"/>
        </w:rPr>
        <w:t>60</w:t>
      </w:r>
      <w:r>
        <w:rPr>
          <w:rFonts w:ascii="仿宋" w:hAnsi="仿宋" w:eastAsia="仿宋" w:cs="仿宋"/>
          <w:spacing w:val="-23"/>
          <w:sz w:val="28"/>
          <w:szCs w:val="28"/>
        </w:rPr>
        <w:t>％</w:t>
      </w:r>
      <w:r>
        <w:rPr>
          <w:rFonts w:ascii="仿宋" w:hAnsi="仿宋" w:eastAsia="仿宋" w:cs="仿宋"/>
          <w:spacing w:val="-77"/>
          <w:sz w:val="28"/>
          <w:szCs w:val="28"/>
        </w:rPr>
        <w:t xml:space="preserve"> </w:t>
      </w:r>
      <w:r>
        <w:rPr>
          <w:rFonts w:ascii="仿宋" w:hAnsi="仿宋" w:eastAsia="仿宋" w:cs="仿宋"/>
          <w:spacing w:val="-23"/>
          <w:sz w:val="28"/>
          <w:szCs w:val="28"/>
        </w:rPr>
        <w:t>，</w:t>
      </w:r>
      <w:r>
        <w:rPr>
          <w:rFonts w:ascii="仿宋" w:hAnsi="仿宋" w:eastAsia="仿宋" w:cs="仿宋"/>
          <w:sz w:val="28"/>
          <w:szCs w:val="28"/>
        </w:rPr>
        <w:t>公路网密度提升高至</w:t>
      </w:r>
      <w:r>
        <w:rPr>
          <w:rFonts w:ascii="仿宋" w:hAnsi="仿宋" w:eastAsia="仿宋" w:cs="仿宋"/>
          <w:spacing w:val="-42"/>
          <w:sz w:val="28"/>
          <w:szCs w:val="28"/>
        </w:rPr>
        <w:t xml:space="preserve"> </w:t>
      </w:r>
      <w:r>
        <w:rPr>
          <w:rFonts w:ascii="仿宋" w:hAnsi="仿宋" w:eastAsia="仿宋" w:cs="仿宋"/>
          <w:sz w:val="28"/>
          <w:szCs w:val="28"/>
        </w:rPr>
        <w:t>121公里/百平方公里，全市综合交通</w:t>
      </w:r>
      <w:r>
        <w:rPr>
          <w:rFonts w:ascii="仿宋" w:hAnsi="仿宋" w:eastAsia="仿宋" w:cs="仿宋"/>
          <w:spacing w:val="-2"/>
          <w:sz w:val="28"/>
          <w:szCs w:val="28"/>
        </w:rPr>
        <w:t>路网密度大幅提升，综合运输设施供给能力明显增强。综合交</w:t>
      </w:r>
      <w:r>
        <w:rPr>
          <w:rFonts w:ascii="仿宋" w:hAnsi="仿宋" w:eastAsia="仿宋" w:cs="仿宋"/>
          <w:spacing w:val="-3"/>
          <w:sz w:val="28"/>
          <w:szCs w:val="28"/>
        </w:rPr>
        <w:t>通对县级节点</w:t>
      </w:r>
      <w:r>
        <w:rPr>
          <w:rFonts w:ascii="仿宋" w:hAnsi="仿宋" w:eastAsia="仿宋" w:cs="仿宋"/>
          <w:spacing w:val="-5"/>
          <w:sz w:val="28"/>
          <w:szCs w:val="28"/>
        </w:rPr>
        <w:t>通达率</w:t>
      </w:r>
      <w:r>
        <w:rPr>
          <w:rFonts w:ascii="仿宋" w:hAnsi="仿宋" w:eastAsia="仿宋" w:cs="仿宋"/>
          <w:spacing w:val="-33"/>
          <w:sz w:val="28"/>
          <w:szCs w:val="28"/>
        </w:rPr>
        <w:t xml:space="preserve"> </w:t>
      </w:r>
      <w:r>
        <w:rPr>
          <w:rFonts w:ascii="仿宋" w:hAnsi="仿宋" w:eastAsia="仿宋" w:cs="仿宋"/>
          <w:spacing w:val="-5"/>
          <w:sz w:val="28"/>
          <w:szCs w:val="28"/>
        </w:rPr>
        <w:t>100%，县级行政中心实现全通铁路，大部分重要节点通高速铁路。50</w:t>
      </w:r>
      <w:r>
        <w:rPr>
          <w:rFonts w:ascii="仿宋" w:hAnsi="仿宋" w:eastAsia="仿宋" w:cs="仿宋"/>
          <w:spacing w:val="-3"/>
          <w:sz w:val="28"/>
          <w:szCs w:val="28"/>
        </w:rPr>
        <w:t>户以上具备条件自然村通硬化路率达</w:t>
      </w:r>
      <w:r>
        <w:rPr>
          <w:rFonts w:ascii="仿宋" w:hAnsi="仿宋" w:eastAsia="仿宋" w:cs="仿宋"/>
          <w:spacing w:val="-46"/>
          <w:sz w:val="28"/>
          <w:szCs w:val="28"/>
        </w:rPr>
        <w:t xml:space="preserve"> </w:t>
      </w:r>
      <w:r>
        <w:rPr>
          <w:rFonts w:ascii="仿宋" w:hAnsi="仿宋" w:eastAsia="仿宋" w:cs="仿宋"/>
          <w:spacing w:val="-3"/>
          <w:sz w:val="28"/>
          <w:szCs w:val="28"/>
        </w:rPr>
        <w:t>95%，30</w:t>
      </w:r>
      <w:r>
        <w:rPr>
          <w:rFonts w:ascii="仿宋" w:hAnsi="仿宋" w:eastAsia="仿宋" w:cs="仿宋"/>
          <w:spacing w:val="-48"/>
          <w:sz w:val="28"/>
          <w:szCs w:val="28"/>
        </w:rPr>
        <w:t xml:space="preserve"> </w:t>
      </w:r>
      <w:r>
        <w:rPr>
          <w:rFonts w:ascii="仿宋" w:hAnsi="仿宋" w:eastAsia="仿宋" w:cs="仿宋"/>
          <w:spacing w:val="-4"/>
          <w:sz w:val="28"/>
          <w:szCs w:val="28"/>
        </w:rPr>
        <w:t>户以上具备条件自然村通硬化</w:t>
      </w:r>
    </w:p>
    <w:p w14:paraId="054D1B98">
      <w:pPr>
        <w:spacing w:line="343" w:lineRule="auto"/>
        <w:rPr>
          <w:rFonts w:ascii="仿宋" w:hAnsi="仿宋" w:eastAsia="仿宋" w:cs="仿宋"/>
          <w:sz w:val="28"/>
          <w:szCs w:val="28"/>
        </w:rPr>
        <w:sectPr>
          <w:headerReference r:id="rId55" w:type="default"/>
          <w:footerReference r:id="rId56" w:type="default"/>
          <w:pgSz w:w="11906" w:h="16839"/>
          <w:pgMar w:top="1222" w:right="1054" w:bottom="1156" w:left="1587" w:header="885" w:footer="920" w:gutter="0"/>
          <w:cols w:space="720" w:num="1"/>
        </w:sectPr>
      </w:pPr>
    </w:p>
    <w:p w14:paraId="6B3A0A97">
      <w:pPr>
        <w:pStyle w:val="2"/>
        <w:spacing w:line="277" w:lineRule="auto"/>
      </w:pPr>
    </w:p>
    <w:p w14:paraId="32B7A5EA">
      <w:pPr>
        <w:spacing w:before="91" w:line="343" w:lineRule="auto"/>
        <w:ind w:left="27" w:right="72" w:hanging="10"/>
        <w:rPr>
          <w:rFonts w:ascii="仿宋" w:hAnsi="仿宋" w:eastAsia="仿宋" w:cs="仿宋"/>
          <w:sz w:val="28"/>
          <w:szCs w:val="28"/>
        </w:rPr>
      </w:pPr>
      <w:r>
        <w:rPr>
          <w:rFonts w:ascii="仿宋" w:hAnsi="仿宋" w:eastAsia="仿宋" w:cs="仿宋"/>
          <w:spacing w:val="-1"/>
          <w:sz w:val="28"/>
          <w:szCs w:val="28"/>
        </w:rPr>
        <w:t>路率达</w:t>
      </w:r>
      <w:r>
        <w:rPr>
          <w:rFonts w:ascii="仿宋" w:hAnsi="仿宋" w:eastAsia="仿宋" w:cs="仿宋"/>
          <w:spacing w:val="-38"/>
          <w:sz w:val="28"/>
          <w:szCs w:val="28"/>
        </w:rPr>
        <w:t xml:space="preserve"> </w:t>
      </w:r>
      <w:r>
        <w:rPr>
          <w:rFonts w:ascii="仿宋" w:hAnsi="仿宋" w:eastAsia="仿宋" w:cs="仿宋"/>
          <w:spacing w:val="-1"/>
          <w:sz w:val="28"/>
          <w:szCs w:val="28"/>
        </w:rPr>
        <w:t>50%以上，整体路网结构得到优化完善。高速公路对外出口通道增加</w:t>
      </w:r>
      <w:r>
        <w:rPr>
          <w:rFonts w:ascii="仿宋" w:hAnsi="仿宋" w:eastAsia="仿宋" w:cs="仿宋"/>
          <w:sz w:val="28"/>
          <w:szCs w:val="28"/>
        </w:rPr>
        <w:t>至</w:t>
      </w:r>
      <w:r>
        <w:rPr>
          <w:rFonts w:ascii="仿宋" w:hAnsi="仿宋" w:eastAsia="仿宋" w:cs="仿宋"/>
          <w:spacing w:val="-29"/>
          <w:sz w:val="28"/>
          <w:szCs w:val="28"/>
        </w:rPr>
        <w:t xml:space="preserve"> </w:t>
      </w:r>
      <w:r>
        <w:rPr>
          <w:rFonts w:ascii="仿宋" w:hAnsi="仿宋" w:eastAsia="仿宋" w:cs="仿宋"/>
          <w:sz w:val="28"/>
          <w:szCs w:val="28"/>
        </w:rPr>
        <w:t>16条，对外出口通道明显增强。</w:t>
      </w:r>
    </w:p>
    <w:p w14:paraId="13EBB7D2">
      <w:pPr>
        <w:spacing w:before="13" w:line="342" w:lineRule="auto"/>
        <w:ind w:left="2" w:right="77" w:firstLine="596"/>
        <w:jc w:val="both"/>
        <w:rPr>
          <w:rFonts w:ascii="仿宋" w:hAnsi="仿宋" w:eastAsia="仿宋" w:cs="仿宋"/>
          <w:sz w:val="28"/>
          <w:szCs w:val="28"/>
        </w:rPr>
      </w:pPr>
      <w:r>
        <w:rPr>
          <w:rFonts w:ascii="仿宋" w:hAnsi="仿宋" w:eastAsia="仿宋" w:cs="仿宋"/>
          <w:b/>
          <w:bCs/>
          <w:spacing w:val="5"/>
          <w:sz w:val="28"/>
          <w:szCs w:val="28"/>
        </w:rPr>
        <w:t>——综合枢纽：</w:t>
      </w:r>
      <w:r>
        <w:rPr>
          <w:rFonts w:ascii="仿宋" w:hAnsi="仿宋" w:eastAsia="仿宋" w:cs="仿宋"/>
          <w:spacing w:val="5"/>
          <w:sz w:val="28"/>
          <w:szCs w:val="28"/>
        </w:rPr>
        <w:t>以城市和综合交通发展为基础，构建以曲靖中心城市</w:t>
      </w:r>
      <w:r>
        <w:rPr>
          <w:rFonts w:ascii="仿宋" w:hAnsi="仿宋" w:eastAsia="仿宋" w:cs="仿宋"/>
          <w:spacing w:val="7"/>
          <w:sz w:val="28"/>
          <w:szCs w:val="28"/>
        </w:rPr>
        <w:t>综合客运枢纽为核心、县级客运枢纽站为支撑，乡镇</w:t>
      </w:r>
      <w:r>
        <w:rPr>
          <w:rFonts w:ascii="仿宋" w:hAnsi="仿宋" w:eastAsia="仿宋" w:cs="仿宋"/>
          <w:spacing w:val="6"/>
          <w:sz w:val="28"/>
          <w:szCs w:val="28"/>
        </w:rPr>
        <w:t>客运站为端点，基本</w:t>
      </w:r>
      <w:r>
        <w:rPr>
          <w:rFonts w:ascii="仿宋" w:hAnsi="仿宋" w:eastAsia="仿宋" w:cs="仿宋"/>
          <w:spacing w:val="5"/>
          <w:sz w:val="28"/>
          <w:szCs w:val="28"/>
        </w:rPr>
        <w:t>形成全市</w:t>
      </w:r>
      <w:r>
        <w:rPr>
          <w:rFonts w:ascii="仿宋" w:hAnsi="仿宋" w:eastAsia="仿宋" w:cs="仿宋"/>
          <w:spacing w:val="-82"/>
          <w:sz w:val="28"/>
          <w:szCs w:val="28"/>
        </w:rPr>
        <w:t xml:space="preserve"> </w:t>
      </w:r>
      <w:r>
        <w:rPr>
          <w:rFonts w:ascii="仿宋" w:hAnsi="仿宋" w:eastAsia="仿宋" w:cs="仿宋"/>
          <w:spacing w:val="5"/>
          <w:sz w:val="28"/>
          <w:szCs w:val="28"/>
        </w:rPr>
        <w:t>“层次分明、布局合理、功能完善、集约高效、畅通智慧、绿色</w:t>
      </w:r>
      <w:r>
        <w:rPr>
          <w:rFonts w:ascii="仿宋" w:hAnsi="仿宋" w:eastAsia="仿宋" w:cs="仿宋"/>
          <w:spacing w:val="7"/>
          <w:sz w:val="28"/>
          <w:szCs w:val="28"/>
        </w:rPr>
        <w:t>共享”的三级客运枢纽体系，推动高铁无轨站建设，推动公</w:t>
      </w:r>
      <w:r>
        <w:rPr>
          <w:rFonts w:ascii="仿宋" w:hAnsi="仿宋" w:eastAsia="仿宋" w:cs="仿宋"/>
          <w:spacing w:val="6"/>
          <w:sz w:val="28"/>
          <w:szCs w:val="28"/>
        </w:rPr>
        <w:t>路、铁路、航空及城市交通等多种运输方式相互衔接配合，实现</w:t>
      </w:r>
      <w:r>
        <w:rPr>
          <w:rFonts w:ascii="仿宋" w:hAnsi="仿宋" w:eastAsia="仿宋" w:cs="仿宋"/>
          <w:spacing w:val="5"/>
          <w:sz w:val="28"/>
          <w:szCs w:val="28"/>
        </w:rPr>
        <w:t>运输过程的</w:t>
      </w:r>
      <w:r>
        <w:rPr>
          <w:rFonts w:ascii="仿宋" w:hAnsi="仿宋" w:eastAsia="仿宋" w:cs="仿宋"/>
          <w:spacing w:val="-107"/>
          <w:sz w:val="28"/>
          <w:szCs w:val="28"/>
        </w:rPr>
        <w:t xml:space="preserve"> </w:t>
      </w:r>
      <w:r>
        <w:rPr>
          <w:rFonts w:ascii="仿宋" w:hAnsi="仿宋" w:eastAsia="仿宋" w:cs="仿宋"/>
          <w:spacing w:val="5"/>
          <w:sz w:val="28"/>
          <w:szCs w:val="28"/>
        </w:rPr>
        <w:t>“零距离换</w:t>
      </w:r>
      <w:r>
        <w:rPr>
          <w:rFonts w:ascii="仿宋" w:hAnsi="仿宋" w:eastAsia="仿宋" w:cs="仿宋"/>
          <w:spacing w:val="7"/>
          <w:sz w:val="28"/>
          <w:szCs w:val="28"/>
        </w:rPr>
        <w:t>乘”。打造曲靖市生产服务型国家物流枢纽、珠江源</w:t>
      </w:r>
      <w:r>
        <w:rPr>
          <w:rFonts w:ascii="仿宋" w:hAnsi="仿宋" w:eastAsia="仿宋" w:cs="仿宋"/>
          <w:spacing w:val="6"/>
          <w:sz w:val="28"/>
          <w:szCs w:val="28"/>
        </w:rPr>
        <w:t>商贸服务型物流枢纽等以铁路物流枢纽为核心的物流园区(中心)，基本形成布局合理、规模适</w:t>
      </w:r>
      <w:r>
        <w:rPr>
          <w:rFonts w:ascii="仿宋" w:hAnsi="仿宋" w:eastAsia="仿宋" w:cs="仿宋"/>
          <w:spacing w:val="7"/>
          <w:sz w:val="28"/>
          <w:szCs w:val="28"/>
        </w:rPr>
        <w:t>度、功能齐全的物流枢纽体系，物流枢纽集聚效应逐</w:t>
      </w:r>
      <w:r>
        <w:rPr>
          <w:rFonts w:ascii="仿宋" w:hAnsi="仿宋" w:eastAsia="仿宋" w:cs="仿宋"/>
          <w:spacing w:val="6"/>
          <w:sz w:val="28"/>
          <w:szCs w:val="28"/>
        </w:rPr>
        <w:t>步呈现，物流枢纽间</w:t>
      </w:r>
      <w:r>
        <w:rPr>
          <w:rFonts w:ascii="仿宋" w:hAnsi="仿宋" w:eastAsia="仿宋" w:cs="仿宋"/>
          <w:spacing w:val="7"/>
          <w:sz w:val="28"/>
          <w:szCs w:val="28"/>
        </w:rPr>
        <w:t>实现联动和特色发展，社会物流运行效率大幅提高，</w:t>
      </w:r>
      <w:r>
        <w:rPr>
          <w:rFonts w:ascii="仿宋" w:hAnsi="仿宋" w:eastAsia="仿宋" w:cs="仿宋"/>
          <w:spacing w:val="6"/>
          <w:sz w:val="28"/>
          <w:szCs w:val="28"/>
        </w:rPr>
        <w:t>带动产业结构进一步</w:t>
      </w:r>
      <w:r>
        <w:rPr>
          <w:rFonts w:ascii="仿宋" w:hAnsi="仿宋" w:eastAsia="仿宋" w:cs="仿宋"/>
          <w:spacing w:val="4"/>
          <w:sz w:val="28"/>
          <w:szCs w:val="28"/>
        </w:rPr>
        <w:t>优化，支撑曲靖建成</w:t>
      </w:r>
      <w:r>
        <w:rPr>
          <w:rFonts w:ascii="仿宋" w:hAnsi="仿宋" w:eastAsia="仿宋" w:cs="仿宋"/>
          <w:spacing w:val="-88"/>
          <w:sz w:val="28"/>
          <w:szCs w:val="28"/>
        </w:rPr>
        <w:t xml:space="preserve"> </w:t>
      </w:r>
      <w:r>
        <w:rPr>
          <w:rFonts w:ascii="仿宋" w:hAnsi="仿宋" w:eastAsia="仿宋" w:cs="仿宋"/>
          <w:spacing w:val="4"/>
          <w:sz w:val="28"/>
          <w:szCs w:val="28"/>
        </w:rPr>
        <w:t>“</w:t>
      </w:r>
      <w:r>
        <w:rPr>
          <w:rFonts w:ascii="仿宋" w:hAnsi="仿宋" w:eastAsia="仿宋" w:cs="仿宋"/>
          <w:spacing w:val="-105"/>
          <w:sz w:val="28"/>
          <w:szCs w:val="28"/>
        </w:rPr>
        <w:t xml:space="preserve"> </w:t>
      </w:r>
      <w:r>
        <w:rPr>
          <w:rFonts w:ascii="仿宋" w:hAnsi="仿宋" w:eastAsia="仿宋" w:cs="仿宋"/>
          <w:spacing w:val="4"/>
          <w:sz w:val="28"/>
          <w:szCs w:val="28"/>
        </w:rPr>
        <w:t>一带一路”国际通道上重要物流节点城市和滇东区域物流枢纽。</w:t>
      </w:r>
    </w:p>
    <w:p w14:paraId="431DC9CB">
      <w:pPr>
        <w:spacing w:before="15" w:line="342" w:lineRule="auto"/>
        <w:ind w:firstLine="599"/>
        <w:jc w:val="both"/>
        <w:rPr>
          <w:rFonts w:ascii="仿宋" w:hAnsi="仿宋" w:eastAsia="仿宋" w:cs="仿宋"/>
          <w:sz w:val="28"/>
          <w:szCs w:val="28"/>
        </w:rPr>
      </w:pPr>
      <w:r>
        <w:rPr>
          <w:rFonts w:ascii="仿宋" w:hAnsi="仿宋" w:eastAsia="仿宋" w:cs="仿宋"/>
          <w:b/>
          <w:bCs/>
          <w:spacing w:val="5"/>
          <w:sz w:val="28"/>
          <w:szCs w:val="28"/>
        </w:rPr>
        <w:t>——运输服务：</w:t>
      </w:r>
      <w:r>
        <w:rPr>
          <w:rFonts w:ascii="仿宋" w:hAnsi="仿宋" w:eastAsia="仿宋" w:cs="仿宋"/>
          <w:spacing w:val="5"/>
          <w:sz w:val="28"/>
          <w:szCs w:val="28"/>
        </w:rPr>
        <w:t>多层次的客运网络基本形成，旅客出行服务系统更加</w:t>
      </w:r>
      <w:r>
        <w:rPr>
          <w:rFonts w:ascii="仿宋" w:hAnsi="仿宋" w:eastAsia="仿宋" w:cs="仿宋"/>
          <w:spacing w:val="4"/>
          <w:sz w:val="28"/>
          <w:szCs w:val="28"/>
        </w:rPr>
        <w:t>智能，旅客联程运输比例大幅提升，客运</w:t>
      </w:r>
      <w:r>
        <w:rPr>
          <w:rFonts w:ascii="仿宋" w:hAnsi="仿宋" w:eastAsia="仿宋" w:cs="仿宋"/>
          <w:spacing w:val="-98"/>
          <w:sz w:val="28"/>
          <w:szCs w:val="28"/>
        </w:rPr>
        <w:t xml:space="preserve"> </w:t>
      </w:r>
      <w:r>
        <w:rPr>
          <w:rFonts w:ascii="仿宋" w:hAnsi="仿宋" w:eastAsia="仿宋" w:cs="仿宋"/>
          <w:spacing w:val="4"/>
          <w:sz w:val="28"/>
          <w:szCs w:val="28"/>
        </w:rPr>
        <w:t>“</w:t>
      </w:r>
      <w:r>
        <w:rPr>
          <w:rFonts w:ascii="仿宋" w:hAnsi="仿宋" w:eastAsia="仿宋" w:cs="仿宋"/>
          <w:spacing w:val="-89"/>
          <w:sz w:val="28"/>
          <w:szCs w:val="28"/>
        </w:rPr>
        <w:t xml:space="preserve"> </w:t>
      </w:r>
      <w:r>
        <w:rPr>
          <w:rFonts w:ascii="仿宋" w:hAnsi="仿宋" w:eastAsia="仿宋" w:cs="仿宋"/>
          <w:spacing w:val="4"/>
          <w:sz w:val="28"/>
          <w:szCs w:val="28"/>
        </w:rPr>
        <w:t>电子客票”广泛应用。新建综</w:t>
      </w:r>
      <w:r>
        <w:rPr>
          <w:rFonts w:ascii="仿宋" w:hAnsi="仿宋" w:eastAsia="仿宋" w:cs="仿宋"/>
          <w:spacing w:val="5"/>
          <w:sz w:val="28"/>
          <w:szCs w:val="28"/>
        </w:rPr>
        <w:t>合客运枢纽各运输方式间换乘距离控制在</w:t>
      </w:r>
      <w:r>
        <w:rPr>
          <w:rFonts w:ascii="仿宋" w:hAnsi="仿宋" w:eastAsia="仿宋" w:cs="仿宋"/>
          <w:spacing w:val="-16"/>
          <w:sz w:val="28"/>
          <w:szCs w:val="28"/>
        </w:rPr>
        <w:t xml:space="preserve"> </w:t>
      </w:r>
      <w:r>
        <w:rPr>
          <w:rFonts w:ascii="仿宋" w:hAnsi="仿宋" w:eastAsia="仿宋" w:cs="仿宋"/>
          <w:spacing w:val="5"/>
          <w:sz w:val="28"/>
          <w:szCs w:val="28"/>
        </w:rPr>
        <w:t>300</w:t>
      </w:r>
      <w:r>
        <w:rPr>
          <w:rFonts w:ascii="仿宋" w:hAnsi="仿宋" w:eastAsia="仿宋" w:cs="仿宋"/>
          <w:spacing w:val="-44"/>
          <w:sz w:val="28"/>
          <w:szCs w:val="28"/>
        </w:rPr>
        <w:t xml:space="preserve"> </w:t>
      </w:r>
      <w:r>
        <w:rPr>
          <w:rFonts w:ascii="仿宋" w:hAnsi="仿宋" w:eastAsia="仿宋" w:cs="仿宋"/>
          <w:spacing w:val="5"/>
          <w:sz w:val="28"/>
          <w:szCs w:val="28"/>
        </w:rPr>
        <w:t>米以内，全市</w:t>
      </w:r>
      <w:r>
        <w:rPr>
          <w:rFonts w:ascii="仿宋" w:hAnsi="仿宋" w:eastAsia="仿宋" w:cs="仿宋"/>
          <w:spacing w:val="-34"/>
          <w:sz w:val="28"/>
          <w:szCs w:val="28"/>
        </w:rPr>
        <w:t xml:space="preserve"> </w:t>
      </w:r>
      <w:r>
        <w:rPr>
          <w:rFonts w:ascii="仿宋" w:hAnsi="仿宋" w:eastAsia="仿宋" w:cs="仿宋"/>
          <w:spacing w:val="5"/>
          <w:sz w:val="28"/>
          <w:szCs w:val="28"/>
        </w:rPr>
        <w:t>70%以上的县（</w:t>
      </w:r>
      <w:r>
        <w:rPr>
          <w:rFonts w:ascii="仿宋" w:hAnsi="仿宋" w:eastAsia="仿宋" w:cs="仿宋"/>
          <w:spacing w:val="-58"/>
          <w:sz w:val="28"/>
          <w:szCs w:val="28"/>
        </w:rPr>
        <w:t xml:space="preserve"> </w:t>
      </w:r>
      <w:r>
        <w:rPr>
          <w:rFonts w:ascii="仿宋" w:hAnsi="仿宋" w:eastAsia="仿宋" w:cs="仿宋"/>
          <w:spacing w:val="5"/>
          <w:sz w:val="28"/>
          <w:szCs w:val="28"/>
        </w:rPr>
        <w:t>市、</w:t>
      </w:r>
      <w:r>
        <w:rPr>
          <w:rFonts w:ascii="仿宋" w:hAnsi="仿宋" w:eastAsia="仿宋" w:cs="仿宋"/>
          <w:spacing w:val="-72"/>
          <w:sz w:val="28"/>
          <w:szCs w:val="28"/>
        </w:rPr>
        <w:t xml:space="preserve"> </w:t>
      </w:r>
      <w:r>
        <w:rPr>
          <w:rFonts w:ascii="仿宋" w:hAnsi="仿宋" w:eastAsia="仿宋" w:cs="仿宋"/>
          <w:spacing w:val="5"/>
          <w:sz w:val="28"/>
          <w:szCs w:val="28"/>
        </w:rPr>
        <w:t>区）城乡客运一体化水平达到</w:t>
      </w:r>
      <w:r>
        <w:rPr>
          <w:rFonts w:ascii="仿宋" w:hAnsi="仿宋" w:eastAsia="仿宋" w:cs="仿宋"/>
          <w:spacing w:val="-45"/>
          <w:sz w:val="28"/>
          <w:szCs w:val="28"/>
        </w:rPr>
        <w:t xml:space="preserve"> </w:t>
      </w:r>
      <w:r>
        <w:rPr>
          <w:rFonts w:ascii="仿宋" w:hAnsi="仿宋" w:eastAsia="仿宋" w:cs="仿宋"/>
          <w:sz w:val="28"/>
          <w:szCs w:val="28"/>
        </w:rPr>
        <w:t>AAAA</w:t>
      </w:r>
      <w:r>
        <w:rPr>
          <w:rFonts w:ascii="仿宋" w:hAnsi="仿宋" w:eastAsia="仿宋" w:cs="仿宋"/>
          <w:spacing w:val="-34"/>
          <w:sz w:val="28"/>
          <w:szCs w:val="28"/>
        </w:rPr>
        <w:t xml:space="preserve"> </w:t>
      </w:r>
      <w:r>
        <w:rPr>
          <w:rFonts w:ascii="仿宋" w:hAnsi="仿宋" w:eastAsia="仿宋" w:cs="仿宋"/>
          <w:spacing w:val="5"/>
          <w:sz w:val="28"/>
          <w:szCs w:val="28"/>
        </w:rPr>
        <w:t>级及以上，二级及以上道路客</w:t>
      </w:r>
      <w:r>
        <w:rPr>
          <w:rFonts w:ascii="仿宋" w:hAnsi="仿宋" w:eastAsia="仿宋" w:cs="仿宋"/>
          <w:spacing w:val="8"/>
          <w:sz w:val="28"/>
          <w:szCs w:val="28"/>
        </w:rPr>
        <w:t>运站、省际和市际客运班线电子客票覆盖率分别达到</w:t>
      </w:r>
      <w:r>
        <w:rPr>
          <w:rFonts w:ascii="仿宋" w:hAnsi="仿宋" w:eastAsia="仿宋" w:cs="仿宋"/>
          <w:spacing w:val="-22"/>
          <w:sz w:val="28"/>
          <w:szCs w:val="28"/>
        </w:rPr>
        <w:t xml:space="preserve"> </w:t>
      </w:r>
      <w:r>
        <w:rPr>
          <w:rFonts w:ascii="仿宋" w:hAnsi="仿宋" w:eastAsia="仿宋" w:cs="仿宋"/>
          <w:spacing w:val="8"/>
          <w:sz w:val="28"/>
          <w:szCs w:val="28"/>
        </w:rPr>
        <w:t>99%和</w:t>
      </w:r>
      <w:r>
        <w:rPr>
          <w:rFonts w:ascii="仿宋" w:hAnsi="仿宋" w:eastAsia="仿宋" w:cs="仿宋"/>
          <w:spacing w:val="-32"/>
          <w:sz w:val="28"/>
          <w:szCs w:val="28"/>
        </w:rPr>
        <w:t xml:space="preserve"> </w:t>
      </w:r>
      <w:r>
        <w:rPr>
          <w:rFonts w:ascii="仿宋" w:hAnsi="仿宋" w:eastAsia="仿宋" w:cs="仿宋"/>
          <w:spacing w:val="8"/>
          <w:sz w:val="28"/>
          <w:szCs w:val="28"/>
        </w:rPr>
        <w:t>80%，客运出</w:t>
      </w:r>
      <w:r>
        <w:rPr>
          <w:rFonts w:ascii="仿宋" w:hAnsi="仿宋" w:eastAsia="仿宋" w:cs="仿宋"/>
          <w:spacing w:val="7"/>
          <w:sz w:val="28"/>
          <w:szCs w:val="28"/>
        </w:rPr>
        <w:t>行体验显著提升。加快曲靖市域共同配送体系、城市群快速</w:t>
      </w:r>
      <w:r>
        <w:rPr>
          <w:rFonts w:ascii="仿宋" w:hAnsi="仿宋" w:eastAsia="仿宋" w:cs="仿宋"/>
          <w:spacing w:val="6"/>
          <w:sz w:val="28"/>
          <w:szCs w:val="28"/>
        </w:rPr>
        <w:t>货运体系和对</w:t>
      </w:r>
      <w:r>
        <w:rPr>
          <w:rFonts w:ascii="仿宋" w:hAnsi="仿宋" w:eastAsia="仿宋" w:cs="仿宋"/>
          <w:sz w:val="28"/>
          <w:szCs w:val="28"/>
        </w:rPr>
        <w:t>外货运物流体系建设，推动铁路、公路、航空、水运等多种方式高度融合，</w:t>
      </w:r>
      <w:r>
        <w:rPr>
          <w:rFonts w:ascii="仿宋" w:hAnsi="仿宋" w:eastAsia="仿宋" w:cs="仿宋"/>
          <w:spacing w:val="5"/>
          <w:sz w:val="28"/>
          <w:szCs w:val="28"/>
        </w:rPr>
        <w:t>推进大宗货物运输</w:t>
      </w:r>
      <w:r>
        <w:rPr>
          <w:rFonts w:ascii="仿宋" w:hAnsi="仿宋" w:eastAsia="仿宋" w:cs="仿宋"/>
          <w:spacing w:val="-82"/>
          <w:sz w:val="28"/>
          <w:szCs w:val="28"/>
        </w:rPr>
        <w:t xml:space="preserve"> </w:t>
      </w:r>
      <w:r>
        <w:rPr>
          <w:rFonts w:ascii="仿宋" w:hAnsi="仿宋" w:eastAsia="仿宋" w:cs="仿宋"/>
          <w:spacing w:val="5"/>
          <w:sz w:val="28"/>
          <w:szCs w:val="28"/>
        </w:rPr>
        <w:t>“公转铁”，推动多式联运示范工程创建。邮政基础设</w:t>
      </w:r>
      <w:r>
        <w:rPr>
          <w:rFonts w:ascii="仿宋" w:hAnsi="仿宋" w:eastAsia="仿宋" w:cs="仿宋"/>
          <w:spacing w:val="7"/>
          <w:sz w:val="28"/>
          <w:szCs w:val="28"/>
        </w:rPr>
        <w:t>施布局更加优化，邮政普遍服务水平和均等化程度显著提升</w:t>
      </w:r>
      <w:r>
        <w:rPr>
          <w:rFonts w:ascii="仿宋" w:hAnsi="仿宋" w:eastAsia="仿宋" w:cs="仿宋"/>
          <w:spacing w:val="6"/>
          <w:sz w:val="28"/>
          <w:szCs w:val="28"/>
        </w:rPr>
        <w:t>，具备条件的</w:t>
      </w:r>
      <w:r>
        <w:rPr>
          <w:rFonts w:ascii="仿宋" w:hAnsi="仿宋" w:eastAsia="仿宋" w:cs="仿宋"/>
          <w:spacing w:val="5"/>
          <w:sz w:val="28"/>
          <w:szCs w:val="28"/>
        </w:rPr>
        <w:t>行政村（社区）实现</w:t>
      </w:r>
      <w:r>
        <w:rPr>
          <w:rFonts w:ascii="仿宋" w:hAnsi="仿宋" w:eastAsia="仿宋" w:cs="仿宋"/>
          <w:spacing w:val="-79"/>
          <w:sz w:val="28"/>
          <w:szCs w:val="28"/>
        </w:rPr>
        <w:t xml:space="preserve"> </w:t>
      </w:r>
      <w:r>
        <w:rPr>
          <w:rFonts w:ascii="仿宋" w:hAnsi="仿宋" w:eastAsia="仿宋" w:cs="仿宋"/>
          <w:spacing w:val="5"/>
          <w:sz w:val="28"/>
          <w:szCs w:val="28"/>
        </w:rPr>
        <w:t>“村村通快递”；物流企业服务水平大幅提升，物流</w:t>
      </w:r>
      <w:r>
        <w:rPr>
          <w:rFonts w:ascii="仿宋" w:hAnsi="仿宋" w:eastAsia="仿宋" w:cs="仿宋"/>
          <w:spacing w:val="7"/>
          <w:sz w:val="28"/>
          <w:szCs w:val="28"/>
        </w:rPr>
        <w:t>成本显著下降。城市公共交通网络更加完善，特殊人群出行</w:t>
      </w:r>
      <w:r>
        <w:rPr>
          <w:rFonts w:ascii="仿宋" w:hAnsi="仿宋" w:eastAsia="仿宋" w:cs="仿宋"/>
          <w:spacing w:val="6"/>
          <w:sz w:val="28"/>
          <w:szCs w:val="28"/>
        </w:rPr>
        <w:t>更加便利，交</w:t>
      </w:r>
      <w:r>
        <w:rPr>
          <w:rFonts w:ascii="仿宋" w:hAnsi="仿宋" w:eastAsia="仿宋" w:cs="仿宋"/>
          <w:spacing w:val="7"/>
          <w:sz w:val="28"/>
          <w:szCs w:val="28"/>
        </w:rPr>
        <w:t>通出行适老化服务水平显著提升。农村客运服务水平进一步提高。</w:t>
      </w:r>
    </w:p>
    <w:p w14:paraId="61332EB2">
      <w:pPr>
        <w:spacing w:line="216" w:lineRule="auto"/>
        <w:ind w:right="28"/>
        <w:jc w:val="right"/>
        <w:rPr>
          <w:rFonts w:ascii="仿宋" w:hAnsi="仿宋" w:eastAsia="仿宋" w:cs="仿宋"/>
          <w:sz w:val="28"/>
          <w:szCs w:val="28"/>
        </w:rPr>
      </w:pPr>
      <w:r>
        <w:rPr>
          <w:rFonts w:ascii="仿宋" w:hAnsi="仿宋" w:eastAsia="仿宋" w:cs="仿宋"/>
          <w:b/>
          <w:bCs/>
          <w:spacing w:val="3"/>
          <w:sz w:val="28"/>
          <w:szCs w:val="28"/>
        </w:rPr>
        <w:t>——智慧交通：</w:t>
      </w:r>
      <w:r>
        <w:rPr>
          <w:rFonts w:ascii="仿宋" w:hAnsi="仿宋" w:eastAsia="仿宋" w:cs="仿宋"/>
          <w:spacing w:val="3"/>
          <w:sz w:val="28"/>
          <w:szCs w:val="28"/>
        </w:rPr>
        <w:t>建设</w:t>
      </w:r>
      <w:r>
        <w:rPr>
          <w:rFonts w:ascii="仿宋" w:hAnsi="仿宋" w:eastAsia="仿宋" w:cs="仿宋"/>
          <w:spacing w:val="-96"/>
          <w:sz w:val="28"/>
          <w:szCs w:val="28"/>
        </w:rPr>
        <w:t xml:space="preserve"> </w:t>
      </w:r>
      <w:r>
        <w:rPr>
          <w:rFonts w:ascii="仿宋" w:hAnsi="仿宋" w:eastAsia="仿宋" w:cs="仿宋"/>
          <w:spacing w:val="3"/>
          <w:sz w:val="28"/>
          <w:szCs w:val="28"/>
        </w:rPr>
        <w:t>“智慧交通”大数据平台，对接</w:t>
      </w:r>
      <w:r>
        <w:rPr>
          <w:rFonts w:ascii="仿宋" w:hAnsi="仿宋" w:eastAsia="仿宋" w:cs="仿宋"/>
          <w:spacing w:val="-97"/>
          <w:sz w:val="28"/>
          <w:szCs w:val="28"/>
        </w:rPr>
        <w:t xml:space="preserve"> </w:t>
      </w:r>
      <w:r>
        <w:rPr>
          <w:rFonts w:ascii="仿宋" w:hAnsi="仿宋" w:eastAsia="仿宋" w:cs="仿宋"/>
          <w:spacing w:val="3"/>
          <w:sz w:val="28"/>
          <w:szCs w:val="28"/>
        </w:rPr>
        <w:t>“城市大脑”</w:t>
      </w:r>
      <w:r>
        <w:rPr>
          <w:rFonts w:ascii="仿宋" w:hAnsi="仿宋" w:eastAsia="仿宋" w:cs="仿宋"/>
          <w:spacing w:val="-108"/>
          <w:sz w:val="28"/>
          <w:szCs w:val="28"/>
        </w:rPr>
        <w:t xml:space="preserve"> </w:t>
      </w:r>
      <w:r>
        <w:rPr>
          <w:rFonts w:ascii="仿宋" w:hAnsi="仿宋" w:eastAsia="仿宋" w:cs="仿宋"/>
          <w:spacing w:val="3"/>
          <w:sz w:val="28"/>
          <w:szCs w:val="28"/>
        </w:rPr>
        <w:t>以</w:t>
      </w:r>
    </w:p>
    <w:p w14:paraId="25CE0277">
      <w:pPr>
        <w:spacing w:line="216" w:lineRule="auto"/>
        <w:rPr>
          <w:rFonts w:ascii="仿宋" w:hAnsi="仿宋" w:eastAsia="仿宋" w:cs="仿宋"/>
          <w:sz w:val="28"/>
          <w:szCs w:val="28"/>
        </w:rPr>
        <w:sectPr>
          <w:headerReference r:id="rId57" w:type="default"/>
          <w:footerReference r:id="rId58" w:type="default"/>
          <w:pgSz w:w="11906" w:h="16839"/>
          <w:pgMar w:top="1222" w:right="1513" w:bottom="1156" w:left="1133" w:header="885" w:footer="920" w:gutter="0"/>
          <w:cols w:space="720" w:num="1"/>
        </w:sectPr>
      </w:pPr>
    </w:p>
    <w:p w14:paraId="2F5E7C7D">
      <w:pPr>
        <w:pStyle w:val="2"/>
        <w:spacing w:line="277" w:lineRule="auto"/>
      </w:pPr>
    </w:p>
    <w:p w14:paraId="4823F895">
      <w:pPr>
        <w:spacing w:before="91" w:line="343" w:lineRule="auto"/>
        <w:ind w:left="8" w:right="55" w:hanging="2"/>
        <w:jc w:val="both"/>
        <w:rPr>
          <w:rFonts w:ascii="仿宋" w:hAnsi="仿宋" w:eastAsia="仿宋" w:cs="仿宋"/>
          <w:sz w:val="28"/>
          <w:szCs w:val="28"/>
        </w:rPr>
      </w:pPr>
      <w:r>
        <w:rPr>
          <w:rFonts w:ascii="仿宋" w:hAnsi="仿宋" w:eastAsia="仿宋" w:cs="仿宋"/>
          <w:spacing w:val="1"/>
          <w:sz w:val="28"/>
          <w:szCs w:val="28"/>
        </w:rPr>
        <w:t>及省级综合交通大数据中心，逐步推进“智慧路网、智慧</w:t>
      </w:r>
      <w:r>
        <w:rPr>
          <w:rFonts w:ascii="仿宋" w:hAnsi="仿宋" w:eastAsia="仿宋" w:cs="仿宋"/>
          <w:sz w:val="28"/>
          <w:szCs w:val="28"/>
        </w:rPr>
        <w:t>管理、智慧出行、</w:t>
      </w:r>
      <w:r>
        <w:rPr>
          <w:rFonts w:ascii="仿宋" w:hAnsi="仿宋" w:eastAsia="仿宋" w:cs="仿宋"/>
          <w:spacing w:val="7"/>
          <w:sz w:val="28"/>
          <w:szCs w:val="28"/>
        </w:rPr>
        <w:t>智慧应急、智慧物流、智慧装备”六大类系统应用。交</w:t>
      </w:r>
      <w:r>
        <w:rPr>
          <w:rFonts w:ascii="仿宋" w:hAnsi="仿宋" w:eastAsia="仿宋" w:cs="仿宋"/>
          <w:spacing w:val="6"/>
          <w:sz w:val="28"/>
          <w:szCs w:val="28"/>
        </w:rPr>
        <w:t>通运输业广泛应用</w:t>
      </w:r>
      <w:r>
        <w:rPr>
          <w:rFonts w:ascii="仿宋" w:hAnsi="仿宋" w:eastAsia="仿宋" w:cs="仿宋"/>
          <w:spacing w:val="-7"/>
          <w:sz w:val="28"/>
          <w:szCs w:val="28"/>
        </w:rPr>
        <w:t>北斗导航，第五代移动通信（5G）等公网和新一代</w:t>
      </w:r>
      <w:r>
        <w:rPr>
          <w:rFonts w:ascii="仿宋" w:hAnsi="仿宋" w:eastAsia="仿宋" w:cs="仿宋"/>
          <w:spacing w:val="-8"/>
          <w:sz w:val="28"/>
          <w:szCs w:val="28"/>
        </w:rPr>
        <w:t>卫星通信系统在运行监测、</w:t>
      </w:r>
      <w:r>
        <w:rPr>
          <w:rFonts w:ascii="仿宋" w:hAnsi="仿宋" w:eastAsia="仿宋" w:cs="仿宋"/>
          <w:spacing w:val="-2"/>
          <w:sz w:val="28"/>
          <w:szCs w:val="28"/>
        </w:rPr>
        <w:t>运输服务、业务管理、综合执法、安全应急和市场监管等领域的应用初显成效。交通运输大数据应用水平大幅提升，出行信息服务全程覆盖，物流服务平台化和一体化进入新阶段，行业治理和公共服务能力显著提升。交通与汽车、电子、软件、通信、互联网服务等产业深度融合，新业态和新技术应用</w:t>
      </w:r>
      <w:r>
        <w:rPr>
          <w:rFonts w:ascii="仿宋" w:hAnsi="仿宋" w:eastAsia="仿宋" w:cs="仿宋"/>
          <w:sz w:val="28"/>
          <w:szCs w:val="28"/>
        </w:rPr>
        <w:t>水平属全省领先。</w:t>
      </w:r>
      <w:r>
        <w:rPr>
          <w:rFonts w:ascii="仿宋" w:hAnsi="仿宋" w:eastAsia="仿宋" w:cs="仿宋"/>
          <w:spacing w:val="-64"/>
          <w:sz w:val="28"/>
          <w:szCs w:val="28"/>
        </w:rPr>
        <w:t xml:space="preserve"> </w:t>
      </w:r>
      <w:r>
        <w:rPr>
          <w:rFonts w:ascii="仿宋" w:hAnsi="仿宋" w:eastAsia="仿宋" w:cs="仿宋"/>
          <w:sz w:val="28"/>
          <w:szCs w:val="28"/>
        </w:rPr>
        <w:t>“互联网+”交通运输发展加快，用户体验感和获得感增</w:t>
      </w:r>
      <w:r>
        <w:rPr>
          <w:rFonts w:ascii="仿宋" w:hAnsi="仿宋" w:eastAsia="仿宋" w:cs="仿宋"/>
          <w:spacing w:val="-5"/>
          <w:sz w:val="28"/>
          <w:szCs w:val="28"/>
        </w:rPr>
        <w:t>强。</w:t>
      </w:r>
    </w:p>
    <w:p w14:paraId="2F0F8BEB">
      <w:pPr>
        <w:spacing w:before="7" w:line="342" w:lineRule="auto"/>
        <w:ind w:left="6" w:right="81" w:firstLine="592"/>
        <w:jc w:val="both"/>
        <w:rPr>
          <w:rFonts w:ascii="仿宋" w:hAnsi="仿宋" w:eastAsia="仿宋" w:cs="仿宋"/>
          <w:sz w:val="28"/>
          <w:szCs w:val="28"/>
        </w:rPr>
      </w:pPr>
      <w:r>
        <w:rPr>
          <w:rFonts w:ascii="仿宋" w:hAnsi="仿宋" w:eastAsia="仿宋" w:cs="仿宋"/>
          <w:b/>
          <w:bCs/>
          <w:spacing w:val="-4"/>
          <w:sz w:val="28"/>
          <w:szCs w:val="28"/>
        </w:rPr>
        <w:t>——安全保障：</w:t>
      </w:r>
      <w:r>
        <w:rPr>
          <w:rFonts w:ascii="仿宋" w:hAnsi="仿宋" w:eastAsia="仿宋" w:cs="仿宋"/>
          <w:spacing w:val="-4"/>
          <w:sz w:val="28"/>
          <w:szCs w:val="28"/>
        </w:rPr>
        <w:t>安全生产水平明显提高，保障国家重点物资、抢险救灾</w:t>
      </w:r>
      <w:r>
        <w:rPr>
          <w:rFonts w:ascii="仿宋" w:hAnsi="仿宋" w:eastAsia="仿宋" w:cs="仿宋"/>
          <w:spacing w:val="-2"/>
          <w:sz w:val="28"/>
          <w:szCs w:val="28"/>
        </w:rPr>
        <w:t>物资运输和节假日等客流高峰期旅客运输的能力显著提升；交通安全应急保</w:t>
      </w:r>
      <w:r>
        <w:rPr>
          <w:rFonts w:ascii="仿宋" w:hAnsi="仿宋" w:eastAsia="仿宋" w:cs="仿宋"/>
          <w:spacing w:val="-3"/>
          <w:sz w:val="28"/>
          <w:szCs w:val="28"/>
        </w:rPr>
        <w:t>障体系更加健全，交通基础设施重点路段、重要桥隧监控覆盖率达到</w:t>
      </w:r>
      <w:r>
        <w:rPr>
          <w:rFonts w:ascii="仿宋" w:hAnsi="仿宋" w:eastAsia="仿宋" w:cs="仿宋"/>
          <w:spacing w:val="-36"/>
          <w:sz w:val="28"/>
          <w:szCs w:val="28"/>
        </w:rPr>
        <w:t xml:space="preserve"> </w:t>
      </w:r>
      <w:r>
        <w:rPr>
          <w:rFonts w:ascii="仿宋" w:hAnsi="仿宋" w:eastAsia="仿宋" w:cs="仿宋"/>
          <w:spacing w:val="-3"/>
          <w:sz w:val="28"/>
          <w:szCs w:val="28"/>
        </w:rPr>
        <w:t>100%，</w:t>
      </w:r>
      <w:r>
        <w:rPr>
          <w:rFonts w:ascii="仿宋" w:hAnsi="仿宋" w:eastAsia="仿宋" w:cs="仿宋"/>
          <w:spacing w:val="3"/>
          <w:sz w:val="28"/>
          <w:szCs w:val="28"/>
        </w:rPr>
        <w:t>公路营运车辆监测覆盖率达到</w:t>
      </w:r>
      <w:r>
        <w:rPr>
          <w:rFonts w:ascii="仿宋" w:hAnsi="仿宋" w:eastAsia="仿宋" w:cs="仿宋"/>
          <w:spacing w:val="-26"/>
          <w:sz w:val="28"/>
          <w:szCs w:val="28"/>
        </w:rPr>
        <w:t xml:space="preserve"> </w:t>
      </w:r>
      <w:r>
        <w:rPr>
          <w:rFonts w:ascii="仿宋" w:hAnsi="仿宋" w:eastAsia="仿宋" w:cs="仿宋"/>
          <w:spacing w:val="3"/>
          <w:sz w:val="28"/>
          <w:szCs w:val="28"/>
        </w:rPr>
        <w:t>100%；应急指挥调度和通信联络制度更加健</w:t>
      </w:r>
      <w:r>
        <w:rPr>
          <w:rFonts w:ascii="仿宋" w:hAnsi="仿宋" w:eastAsia="仿宋" w:cs="仿宋"/>
          <w:spacing w:val="-2"/>
          <w:sz w:val="28"/>
          <w:szCs w:val="28"/>
        </w:rPr>
        <w:t>全，确保信息畅通、反应迅速、能力充分、保障有力，有效应对各种突发事件；工程建设安全水平明显提高；安全管理长效机制进一步完善，安全技术</w:t>
      </w:r>
      <w:r>
        <w:rPr>
          <w:rFonts w:ascii="仿宋" w:hAnsi="仿宋" w:eastAsia="仿宋" w:cs="仿宋"/>
          <w:spacing w:val="-1"/>
          <w:sz w:val="28"/>
          <w:szCs w:val="28"/>
        </w:rPr>
        <w:t>水平有效提高，薄弱环节得到加强。</w:t>
      </w:r>
    </w:p>
    <w:p w14:paraId="55B37B04">
      <w:pPr>
        <w:spacing w:before="12" w:line="342" w:lineRule="auto"/>
        <w:ind w:left="5" w:firstLine="594"/>
        <w:jc w:val="both"/>
        <w:rPr>
          <w:rFonts w:ascii="仿宋" w:hAnsi="仿宋" w:eastAsia="仿宋" w:cs="仿宋"/>
          <w:sz w:val="28"/>
          <w:szCs w:val="28"/>
        </w:rPr>
      </w:pPr>
      <w:r>
        <w:rPr>
          <w:rFonts w:ascii="仿宋" w:hAnsi="仿宋" w:eastAsia="仿宋" w:cs="仿宋"/>
          <w:b/>
          <w:bCs/>
          <w:spacing w:val="-4"/>
          <w:sz w:val="28"/>
          <w:szCs w:val="28"/>
        </w:rPr>
        <w:t>——绿色交通：</w:t>
      </w:r>
      <w:r>
        <w:rPr>
          <w:rFonts w:ascii="仿宋" w:hAnsi="仿宋" w:eastAsia="仿宋" w:cs="仿宋"/>
          <w:spacing w:val="-4"/>
          <w:sz w:val="28"/>
          <w:szCs w:val="28"/>
        </w:rPr>
        <w:t>基础设施环境友好、运输装备清洁低碳、运输组织集约</w:t>
      </w:r>
      <w:r>
        <w:rPr>
          <w:rFonts w:ascii="仿宋" w:hAnsi="仿宋" w:eastAsia="仿宋" w:cs="仿宋"/>
          <w:spacing w:val="-2"/>
          <w:sz w:val="28"/>
          <w:szCs w:val="28"/>
        </w:rPr>
        <w:t>高效的绿色交通体系初步构建。积极推进绿美公路、绿美走廊带、绿美服务</w:t>
      </w:r>
      <w:r>
        <w:rPr>
          <w:rFonts w:ascii="仿宋" w:hAnsi="仿宋" w:eastAsia="仿宋" w:cs="仿宋"/>
          <w:spacing w:val="-6"/>
          <w:sz w:val="28"/>
          <w:szCs w:val="28"/>
        </w:rPr>
        <w:t>区等绿美交通建设，助力绿美曲靖、绿美云南行动。节能减排取得明显成效，</w:t>
      </w:r>
      <w:r>
        <w:rPr>
          <w:rFonts w:ascii="仿宋" w:hAnsi="仿宋" w:eastAsia="仿宋" w:cs="仿宋"/>
          <w:spacing w:val="-2"/>
          <w:sz w:val="28"/>
          <w:szCs w:val="28"/>
        </w:rPr>
        <w:t>营运车辆、船舶单位运输周转量二氧化碳排放较</w:t>
      </w:r>
      <w:r>
        <w:rPr>
          <w:rFonts w:ascii="仿宋" w:hAnsi="仿宋" w:eastAsia="仿宋" w:cs="仿宋"/>
          <w:spacing w:val="-46"/>
          <w:sz w:val="28"/>
          <w:szCs w:val="28"/>
        </w:rPr>
        <w:t xml:space="preserve"> </w:t>
      </w:r>
      <w:r>
        <w:rPr>
          <w:rFonts w:ascii="仿宋" w:hAnsi="仿宋" w:eastAsia="仿宋" w:cs="仿宋"/>
          <w:spacing w:val="-2"/>
          <w:sz w:val="28"/>
          <w:szCs w:val="28"/>
        </w:rPr>
        <w:t>2020</w:t>
      </w:r>
      <w:r>
        <w:rPr>
          <w:rFonts w:ascii="仿宋" w:hAnsi="仿宋" w:eastAsia="仿宋" w:cs="仿宋"/>
          <w:spacing w:val="-55"/>
          <w:sz w:val="28"/>
          <w:szCs w:val="28"/>
        </w:rPr>
        <w:t xml:space="preserve"> </w:t>
      </w:r>
      <w:r>
        <w:rPr>
          <w:rFonts w:ascii="仿宋" w:hAnsi="仿宋" w:eastAsia="仿宋" w:cs="仿宋"/>
          <w:spacing w:val="-2"/>
          <w:sz w:val="28"/>
          <w:szCs w:val="28"/>
        </w:rPr>
        <w:t>年下降率分别达</w:t>
      </w:r>
      <w:r>
        <w:rPr>
          <w:rFonts w:ascii="仿宋" w:hAnsi="仿宋" w:eastAsia="仿宋" w:cs="仿宋"/>
          <w:spacing w:val="-46"/>
          <w:sz w:val="28"/>
          <w:szCs w:val="28"/>
        </w:rPr>
        <w:t xml:space="preserve"> </w:t>
      </w:r>
      <w:r>
        <w:rPr>
          <w:rFonts w:ascii="仿宋" w:hAnsi="仿宋" w:eastAsia="仿宋" w:cs="仿宋"/>
          <w:spacing w:val="-2"/>
          <w:sz w:val="28"/>
          <w:szCs w:val="28"/>
        </w:rPr>
        <w:t>5%和</w:t>
      </w:r>
      <w:r>
        <w:rPr>
          <w:rFonts w:ascii="仿宋" w:hAnsi="仿宋" w:eastAsia="仿宋" w:cs="仿宋"/>
          <w:sz w:val="28"/>
          <w:szCs w:val="28"/>
        </w:rPr>
        <w:t xml:space="preserve"> </w:t>
      </w:r>
      <w:r>
        <w:rPr>
          <w:rFonts w:ascii="仿宋" w:hAnsi="仿宋" w:eastAsia="仿宋" w:cs="仿宋"/>
          <w:spacing w:val="-6"/>
          <w:sz w:val="28"/>
          <w:szCs w:val="28"/>
        </w:rPr>
        <w:t>3.5%；加大推广清洁能源和新能源车辆，城市公交、出租汽车（含网约车）、</w:t>
      </w:r>
      <w:r>
        <w:rPr>
          <w:rFonts w:ascii="仿宋" w:hAnsi="仿宋" w:eastAsia="仿宋" w:cs="仿宋"/>
          <w:sz w:val="28"/>
          <w:szCs w:val="28"/>
        </w:rPr>
        <w:t>城市物流配送领域新能源汽车占比不低于</w:t>
      </w:r>
      <w:r>
        <w:rPr>
          <w:rFonts w:ascii="仿宋" w:hAnsi="仿宋" w:eastAsia="仿宋" w:cs="仿宋"/>
          <w:spacing w:val="-46"/>
          <w:sz w:val="28"/>
          <w:szCs w:val="28"/>
        </w:rPr>
        <w:t xml:space="preserve"> </w:t>
      </w:r>
      <w:r>
        <w:rPr>
          <w:rFonts w:ascii="仿宋" w:hAnsi="仿宋" w:eastAsia="仿宋" w:cs="仿宋"/>
          <w:sz w:val="28"/>
          <w:szCs w:val="28"/>
        </w:rPr>
        <w:t>72%</w:t>
      </w:r>
      <w:r>
        <w:rPr>
          <w:rFonts w:ascii="仿宋" w:hAnsi="仿宋" w:eastAsia="仿宋" w:cs="仿宋"/>
          <w:spacing w:val="-1"/>
          <w:sz w:val="28"/>
          <w:szCs w:val="28"/>
        </w:rPr>
        <w:t>、35%、20%。加大环境保护力</w:t>
      </w:r>
      <w:r>
        <w:rPr>
          <w:rFonts w:ascii="仿宋" w:hAnsi="仿宋" w:eastAsia="仿宋" w:cs="仿宋"/>
          <w:spacing w:val="-2"/>
          <w:sz w:val="28"/>
          <w:szCs w:val="28"/>
        </w:rPr>
        <w:t>度，加强重大交通工程生态修复，交通环境监测网络更加完善。绿色循环低</w:t>
      </w:r>
      <w:r>
        <w:rPr>
          <w:rFonts w:ascii="仿宋" w:hAnsi="仿宋" w:eastAsia="仿宋" w:cs="仿宋"/>
          <w:sz w:val="28"/>
          <w:szCs w:val="28"/>
        </w:rPr>
        <w:t>碳交通运输体系基本建成，交通运输可持续发展能力</w:t>
      </w:r>
      <w:r>
        <w:rPr>
          <w:rFonts w:ascii="仿宋" w:hAnsi="仿宋" w:eastAsia="仿宋" w:cs="仿宋"/>
          <w:spacing w:val="-1"/>
          <w:sz w:val="28"/>
          <w:szCs w:val="28"/>
        </w:rPr>
        <w:t>进一步提升。</w:t>
      </w:r>
    </w:p>
    <w:p w14:paraId="7B2EB4C5">
      <w:pPr>
        <w:spacing w:before="1" w:line="342" w:lineRule="auto"/>
        <w:ind w:left="17" w:right="139" w:firstLine="582"/>
        <w:rPr>
          <w:rFonts w:ascii="仿宋" w:hAnsi="仿宋" w:eastAsia="仿宋" w:cs="仿宋"/>
          <w:sz w:val="28"/>
          <w:szCs w:val="28"/>
        </w:rPr>
      </w:pPr>
      <w:r>
        <w:rPr>
          <w:rFonts w:ascii="仿宋" w:hAnsi="仿宋" w:eastAsia="仿宋" w:cs="仿宋"/>
          <w:b/>
          <w:bCs/>
          <w:spacing w:val="-4"/>
          <w:sz w:val="28"/>
          <w:szCs w:val="28"/>
        </w:rPr>
        <w:t>——行业治理：</w:t>
      </w:r>
      <w:r>
        <w:rPr>
          <w:rFonts w:ascii="仿宋" w:hAnsi="仿宋" w:eastAsia="仿宋" w:cs="仿宋"/>
          <w:spacing w:val="-4"/>
          <w:sz w:val="28"/>
          <w:szCs w:val="28"/>
        </w:rPr>
        <w:t>运输市场监管进一步完善，统一开放、公平竞争、规范</w:t>
      </w:r>
      <w:r>
        <w:rPr>
          <w:rFonts w:ascii="仿宋" w:hAnsi="仿宋" w:eastAsia="仿宋" w:cs="仿宋"/>
          <w:spacing w:val="-2"/>
          <w:sz w:val="28"/>
          <w:szCs w:val="28"/>
        </w:rPr>
        <w:t>有序的运输市场体系逐步形成。深化交通运输综合行政执法体</w:t>
      </w:r>
      <w:r>
        <w:rPr>
          <w:rFonts w:ascii="仿宋" w:hAnsi="仿宋" w:eastAsia="仿宋" w:cs="仿宋"/>
          <w:spacing w:val="-3"/>
          <w:sz w:val="28"/>
          <w:szCs w:val="28"/>
        </w:rPr>
        <w:t>制改革，逐步</w:t>
      </w:r>
    </w:p>
    <w:p w14:paraId="07FB090C">
      <w:pPr>
        <w:spacing w:line="342" w:lineRule="auto"/>
        <w:rPr>
          <w:rFonts w:ascii="仿宋" w:hAnsi="仿宋" w:eastAsia="仿宋" w:cs="仿宋"/>
          <w:sz w:val="28"/>
          <w:szCs w:val="28"/>
        </w:rPr>
        <w:sectPr>
          <w:headerReference r:id="rId59" w:type="default"/>
          <w:footerReference r:id="rId60" w:type="default"/>
          <w:pgSz w:w="11906" w:h="16839"/>
          <w:pgMar w:top="1222" w:right="990" w:bottom="1156" w:left="1587" w:header="885" w:footer="920" w:gutter="0"/>
          <w:cols w:space="720" w:num="1"/>
        </w:sectPr>
      </w:pPr>
    </w:p>
    <w:p w14:paraId="52228F13">
      <w:pPr>
        <w:pStyle w:val="2"/>
        <w:spacing w:line="281" w:lineRule="auto"/>
      </w:pPr>
    </w:p>
    <w:p w14:paraId="7AAD26EC">
      <w:pPr>
        <w:spacing w:before="91" w:line="343" w:lineRule="auto"/>
        <w:ind w:left="11" w:hanging="9"/>
        <w:jc w:val="both"/>
        <w:rPr>
          <w:rFonts w:ascii="仿宋" w:hAnsi="仿宋" w:eastAsia="仿宋" w:cs="仿宋"/>
          <w:sz w:val="28"/>
          <w:szCs w:val="28"/>
        </w:rPr>
      </w:pPr>
      <w:r>
        <w:rPr>
          <w:rFonts w:ascii="仿宋" w:hAnsi="仿宋" w:eastAsia="仿宋" w:cs="仿宋"/>
          <w:spacing w:val="-2"/>
          <w:sz w:val="28"/>
          <w:szCs w:val="28"/>
        </w:rPr>
        <w:t>形成管理、执法和服务三位一体的交通运输综合行政执法新模式。深化公路</w:t>
      </w:r>
      <w:r>
        <w:rPr>
          <w:rFonts w:ascii="仿宋" w:hAnsi="仿宋" w:eastAsia="仿宋" w:cs="仿宋"/>
          <w:spacing w:val="-8"/>
          <w:sz w:val="28"/>
          <w:szCs w:val="28"/>
        </w:rPr>
        <w:t>养护管理改革，探索具有路域特色的养护管理模式，公路养护质量全面提高，</w:t>
      </w:r>
      <w:r>
        <w:rPr>
          <w:rFonts w:ascii="仿宋" w:hAnsi="仿宋" w:eastAsia="仿宋" w:cs="仿宋"/>
          <w:spacing w:val="-1"/>
          <w:sz w:val="28"/>
          <w:szCs w:val="28"/>
        </w:rPr>
        <w:t>实现公路优良中等路率达</w:t>
      </w:r>
      <w:r>
        <w:rPr>
          <w:rFonts w:ascii="仿宋" w:hAnsi="仿宋" w:eastAsia="仿宋" w:cs="仿宋"/>
          <w:spacing w:val="-33"/>
          <w:sz w:val="28"/>
          <w:szCs w:val="28"/>
        </w:rPr>
        <w:t xml:space="preserve"> </w:t>
      </w:r>
      <w:r>
        <w:rPr>
          <w:rFonts w:ascii="仿宋" w:hAnsi="仿宋" w:eastAsia="仿宋" w:cs="仿宋"/>
          <w:spacing w:val="-1"/>
          <w:sz w:val="28"/>
          <w:szCs w:val="28"/>
        </w:rPr>
        <w:t>80%以上。强化行业监管和引导提升教学培训的规</w:t>
      </w:r>
      <w:r>
        <w:rPr>
          <w:rFonts w:ascii="仿宋" w:hAnsi="仿宋" w:eastAsia="仿宋" w:cs="仿宋"/>
          <w:spacing w:val="-2"/>
          <w:sz w:val="28"/>
          <w:szCs w:val="28"/>
        </w:rPr>
        <w:t>范化程度，实现法制健全、竞争有序、节能环保和规范高质的驾培市场。加强维修行业信用体系、诚信品牌企业建设，实现汽车维修便捷化、服务优质</w:t>
      </w:r>
      <w:r>
        <w:rPr>
          <w:rFonts w:ascii="仿宋" w:hAnsi="仿宋" w:eastAsia="仿宋" w:cs="仿宋"/>
          <w:spacing w:val="-1"/>
          <w:sz w:val="28"/>
          <w:szCs w:val="28"/>
        </w:rPr>
        <w:t>化、质量可靠化和价格合理化。</w:t>
      </w:r>
    </w:p>
    <w:p w14:paraId="06999A26">
      <w:pPr>
        <w:spacing w:before="101" w:line="221" w:lineRule="auto"/>
        <w:ind w:left="1634"/>
        <w:rPr>
          <w:rFonts w:ascii="黑体" w:hAnsi="黑体" w:eastAsia="黑体" w:cs="黑体"/>
          <w:sz w:val="24"/>
          <w:szCs w:val="24"/>
        </w:rPr>
      </w:pPr>
      <w:r>
        <w:rPr>
          <w:rFonts w:ascii="黑体" w:hAnsi="黑体" w:eastAsia="黑体" w:cs="黑体"/>
          <w:spacing w:val="-2"/>
          <w:sz w:val="24"/>
          <w:szCs w:val="24"/>
        </w:rPr>
        <w:t>表</w:t>
      </w:r>
      <w:r>
        <w:rPr>
          <w:rFonts w:ascii="黑体" w:hAnsi="黑体" w:eastAsia="黑体" w:cs="黑体"/>
          <w:spacing w:val="-22"/>
          <w:sz w:val="24"/>
          <w:szCs w:val="24"/>
        </w:rPr>
        <w:t xml:space="preserve"> </w:t>
      </w:r>
      <w:r>
        <w:rPr>
          <w:rFonts w:ascii="黑体" w:hAnsi="黑体" w:eastAsia="黑体" w:cs="黑体"/>
          <w:spacing w:val="-2"/>
          <w:sz w:val="24"/>
          <w:szCs w:val="24"/>
        </w:rPr>
        <w:t>1  曲靖市“十四五”综合交通运输发展规划主要目标</w:t>
      </w:r>
    </w:p>
    <w:p w14:paraId="655EC0AD">
      <w:pPr>
        <w:spacing w:line="98" w:lineRule="auto"/>
        <w:rPr>
          <w:rFonts w:ascii="Arial"/>
          <w:sz w:val="2"/>
        </w:rPr>
      </w:pPr>
    </w:p>
    <w:tbl>
      <w:tblPr>
        <w:tblStyle w:val="5"/>
        <w:tblW w:w="9013" w:type="dxa"/>
        <w:tblInd w:w="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2"/>
        <w:gridCol w:w="613"/>
        <w:gridCol w:w="3605"/>
        <w:gridCol w:w="1111"/>
        <w:gridCol w:w="1073"/>
        <w:gridCol w:w="1116"/>
        <w:gridCol w:w="843"/>
      </w:tblGrid>
      <w:tr w14:paraId="586D1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652" w:type="dxa"/>
            <w:tcBorders>
              <w:top w:val="single" w:color="000000" w:sz="10" w:space="0"/>
              <w:left w:val="single" w:color="000000" w:sz="10" w:space="0"/>
            </w:tcBorders>
            <w:vAlign w:val="top"/>
          </w:tcPr>
          <w:p w14:paraId="5AE23345">
            <w:pPr>
              <w:spacing w:before="86" w:line="229" w:lineRule="auto"/>
              <w:ind w:left="108"/>
              <w:rPr>
                <w:rFonts w:ascii="宋体" w:hAnsi="宋体" w:eastAsia="宋体" w:cs="宋体"/>
                <w:sz w:val="20"/>
                <w:szCs w:val="20"/>
              </w:rPr>
            </w:pPr>
            <w:r>
              <w:rPr>
                <w:rFonts w:ascii="宋体" w:hAnsi="宋体" w:eastAsia="宋体" w:cs="宋体"/>
                <w:b/>
                <w:bCs/>
                <w:spacing w:val="3"/>
                <w:sz w:val="20"/>
                <w:szCs w:val="20"/>
              </w:rPr>
              <w:t>领域</w:t>
            </w:r>
          </w:p>
        </w:tc>
        <w:tc>
          <w:tcPr>
            <w:tcW w:w="4218" w:type="dxa"/>
            <w:gridSpan w:val="2"/>
            <w:tcBorders>
              <w:top w:val="single" w:color="000000" w:sz="10" w:space="0"/>
            </w:tcBorders>
            <w:vAlign w:val="top"/>
          </w:tcPr>
          <w:p w14:paraId="48D1CB35">
            <w:pPr>
              <w:spacing w:before="86" w:line="229" w:lineRule="auto"/>
              <w:ind w:left="1900"/>
              <w:rPr>
                <w:rFonts w:ascii="宋体" w:hAnsi="宋体" w:eastAsia="宋体" w:cs="宋体"/>
                <w:sz w:val="20"/>
                <w:szCs w:val="20"/>
              </w:rPr>
            </w:pPr>
            <w:r>
              <w:rPr>
                <w:rFonts w:ascii="宋体" w:hAnsi="宋体" w:eastAsia="宋体" w:cs="宋体"/>
                <w:b/>
                <w:bCs/>
                <w:spacing w:val="2"/>
                <w:sz w:val="20"/>
                <w:szCs w:val="20"/>
              </w:rPr>
              <w:t>指标</w:t>
            </w:r>
          </w:p>
        </w:tc>
        <w:tc>
          <w:tcPr>
            <w:tcW w:w="1111" w:type="dxa"/>
            <w:tcBorders>
              <w:top w:val="single" w:color="000000" w:sz="10" w:space="0"/>
            </w:tcBorders>
            <w:vAlign w:val="top"/>
          </w:tcPr>
          <w:p w14:paraId="76E70404">
            <w:pPr>
              <w:spacing w:before="86" w:line="229" w:lineRule="auto"/>
              <w:ind w:left="352"/>
              <w:rPr>
                <w:rFonts w:ascii="宋体" w:hAnsi="宋体" w:eastAsia="宋体" w:cs="宋体"/>
                <w:sz w:val="20"/>
                <w:szCs w:val="20"/>
              </w:rPr>
            </w:pPr>
            <w:r>
              <w:rPr>
                <w:rFonts w:ascii="宋体" w:hAnsi="宋体" w:eastAsia="宋体" w:cs="宋体"/>
                <w:b/>
                <w:bCs/>
                <w:spacing w:val="3"/>
                <w:sz w:val="20"/>
                <w:szCs w:val="20"/>
              </w:rPr>
              <w:t>单位</w:t>
            </w:r>
          </w:p>
        </w:tc>
        <w:tc>
          <w:tcPr>
            <w:tcW w:w="1073" w:type="dxa"/>
            <w:tcBorders>
              <w:top w:val="single" w:color="000000" w:sz="10" w:space="0"/>
            </w:tcBorders>
            <w:vAlign w:val="top"/>
          </w:tcPr>
          <w:p w14:paraId="7322A849">
            <w:pPr>
              <w:pStyle w:val="6"/>
              <w:spacing w:before="87" w:line="228" w:lineRule="auto"/>
              <w:ind w:left="201"/>
              <w:rPr>
                <w:rFonts w:ascii="宋体" w:hAnsi="宋体" w:eastAsia="宋体" w:cs="宋体"/>
              </w:rPr>
            </w:pPr>
            <w:r>
              <w:rPr>
                <w:b/>
                <w:bCs/>
                <w:spacing w:val="2"/>
              </w:rPr>
              <w:t>2020</w:t>
            </w:r>
            <w:r>
              <w:rPr>
                <w:b/>
                <w:bCs/>
                <w:spacing w:val="13"/>
                <w:w w:val="101"/>
              </w:rPr>
              <w:t xml:space="preserve"> </w:t>
            </w:r>
            <w:r>
              <w:rPr>
                <w:rFonts w:ascii="宋体" w:hAnsi="宋体" w:eastAsia="宋体" w:cs="宋体"/>
                <w:b/>
                <w:bCs/>
                <w:spacing w:val="2"/>
              </w:rPr>
              <w:t>年</w:t>
            </w:r>
          </w:p>
        </w:tc>
        <w:tc>
          <w:tcPr>
            <w:tcW w:w="1116" w:type="dxa"/>
            <w:tcBorders>
              <w:top w:val="single" w:color="000000" w:sz="10" w:space="0"/>
            </w:tcBorders>
            <w:vAlign w:val="top"/>
          </w:tcPr>
          <w:p w14:paraId="544673C7">
            <w:pPr>
              <w:pStyle w:val="6"/>
              <w:spacing w:before="87" w:line="228" w:lineRule="auto"/>
              <w:ind w:left="225"/>
              <w:rPr>
                <w:rFonts w:ascii="宋体" w:hAnsi="宋体" w:eastAsia="宋体" w:cs="宋体"/>
              </w:rPr>
            </w:pPr>
            <w:r>
              <w:rPr>
                <w:b/>
                <w:bCs/>
                <w:spacing w:val="2"/>
              </w:rPr>
              <w:t>2025</w:t>
            </w:r>
            <w:r>
              <w:rPr>
                <w:b/>
                <w:bCs/>
                <w:spacing w:val="13"/>
                <w:w w:val="101"/>
              </w:rPr>
              <w:t xml:space="preserve"> </w:t>
            </w:r>
            <w:r>
              <w:rPr>
                <w:rFonts w:ascii="宋体" w:hAnsi="宋体" w:eastAsia="宋体" w:cs="宋体"/>
                <w:b/>
                <w:bCs/>
                <w:spacing w:val="2"/>
              </w:rPr>
              <w:t>年</w:t>
            </w:r>
          </w:p>
        </w:tc>
        <w:tc>
          <w:tcPr>
            <w:tcW w:w="843" w:type="dxa"/>
            <w:tcBorders>
              <w:top w:val="single" w:color="000000" w:sz="10" w:space="0"/>
              <w:right w:val="single" w:color="000000" w:sz="10" w:space="0"/>
            </w:tcBorders>
            <w:vAlign w:val="top"/>
          </w:tcPr>
          <w:p w14:paraId="49F522AB">
            <w:pPr>
              <w:spacing w:before="86" w:line="230" w:lineRule="auto"/>
              <w:ind w:left="220"/>
              <w:rPr>
                <w:rFonts w:ascii="宋体" w:hAnsi="宋体" w:eastAsia="宋体" w:cs="宋体"/>
                <w:sz w:val="20"/>
                <w:szCs w:val="20"/>
              </w:rPr>
            </w:pPr>
            <w:r>
              <w:rPr>
                <w:rFonts w:ascii="宋体" w:hAnsi="宋体" w:eastAsia="宋体" w:cs="宋体"/>
                <w:b/>
                <w:bCs/>
                <w:spacing w:val="3"/>
                <w:sz w:val="20"/>
                <w:szCs w:val="20"/>
              </w:rPr>
              <w:t>属性</w:t>
            </w:r>
          </w:p>
        </w:tc>
      </w:tr>
      <w:tr w14:paraId="6FDC0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restart"/>
            <w:tcBorders>
              <w:left w:val="single" w:color="000000" w:sz="10" w:space="0"/>
              <w:bottom w:val="nil"/>
            </w:tcBorders>
            <w:vAlign w:val="top"/>
          </w:tcPr>
          <w:p w14:paraId="05512F27">
            <w:pPr>
              <w:spacing w:line="266" w:lineRule="auto"/>
              <w:rPr>
                <w:rFonts w:ascii="Arial"/>
                <w:sz w:val="21"/>
              </w:rPr>
            </w:pPr>
          </w:p>
          <w:p w14:paraId="5723BC9D">
            <w:pPr>
              <w:spacing w:line="266" w:lineRule="auto"/>
              <w:rPr>
                <w:rFonts w:ascii="Arial"/>
                <w:sz w:val="21"/>
              </w:rPr>
            </w:pPr>
          </w:p>
          <w:p w14:paraId="294D990A">
            <w:pPr>
              <w:spacing w:line="266" w:lineRule="auto"/>
              <w:rPr>
                <w:rFonts w:ascii="Arial"/>
                <w:sz w:val="21"/>
              </w:rPr>
            </w:pPr>
          </w:p>
          <w:p w14:paraId="324DF5EA">
            <w:pPr>
              <w:spacing w:line="266" w:lineRule="auto"/>
              <w:rPr>
                <w:rFonts w:ascii="Arial"/>
                <w:sz w:val="21"/>
              </w:rPr>
            </w:pPr>
          </w:p>
          <w:p w14:paraId="3FFD324F">
            <w:pPr>
              <w:spacing w:line="266" w:lineRule="auto"/>
              <w:rPr>
                <w:rFonts w:ascii="Arial"/>
                <w:sz w:val="21"/>
              </w:rPr>
            </w:pPr>
          </w:p>
          <w:p w14:paraId="0C7A386C">
            <w:pPr>
              <w:spacing w:line="267" w:lineRule="auto"/>
              <w:rPr>
                <w:rFonts w:ascii="Arial"/>
                <w:sz w:val="21"/>
              </w:rPr>
            </w:pPr>
          </w:p>
          <w:p w14:paraId="5281A1DF">
            <w:pPr>
              <w:spacing w:before="65" w:line="298" w:lineRule="auto"/>
              <w:ind w:left="123" w:right="116" w:hanging="12"/>
              <w:rPr>
                <w:rFonts w:ascii="宋体" w:hAnsi="宋体" w:eastAsia="宋体" w:cs="宋体"/>
                <w:sz w:val="20"/>
                <w:szCs w:val="20"/>
              </w:rPr>
            </w:pPr>
            <w:r>
              <w:rPr>
                <w:rFonts w:ascii="宋体" w:hAnsi="宋体" w:eastAsia="宋体" w:cs="宋体"/>
                <w:spacing w:val="3"/>
                <w:sz w:val="20"/>
                <w:szCs w:val="20"/>
              </w:rPr>
              <w:t>设施</w:t>
            </w:r>
            <w:r>
              <w:rPr>
                <w:rFonts w:ascii="宋体" w:hAnsi="宋体" w:eastAsia="宋体" w:cs="宋体"/>
                <w:spacing w:val="-4"/>
                <w:sz w:val="20"/>
                <w:szCs w:val="20"/>
              </w:rPr>
              <w:t>网络</w:t>
            </w:r>
          </w:p>
        </w:tc>
        <w:tc>
          <w:tcPr>
            <w:tcW w:w="613" w:type="dxa"/>
            <w:vAlign w:val="top"/>
          </w:tcPr>
          <w:p w14:paraId="443E3C65">
            <w:pPr>
              <w:pStyle w:val="6"/>
              <w:spacing w:before="49" w:line="274" w:lineRule="exact"/>
              <w:ind w:left="265"/>
            </w:pPr>
            <w:r>
              <w:rPr>
                <w:position w:val="1"/>
              </w:rPr>
              <w:t>1</w:t>
            </w:r>
          </w:p>
        </w:tc>
        <w:tc>
          <w:tcPr>
            <w:tcW w:w="3605" w:type="dxa"/>
            <w:vAlign w:val="top"/>
          </w:tcPr>
          <w:p w14:paraId="4300695E">
            <w:pPr>
              <w:spacing w:before="80" w:line="228" w:lineRule="auto"/>
              <w:ind w:left="1171"/>
              <w:rPr>
                <w:rFonts w:ascii="宋体" w:hAnsi="宋体" w:eastAsia="宋体" w:cs="宋体"/>
                <w:sz w:val="20"/>
                <w:szCs w:val="20"/>
              </w:rPr>
            </w:pPr>
            <w:r>
              <w:rPr>
                <w:rFonts w:ascii="宋体" w:hAnsi="宋体" w:eastAsia="宋体" w:cs="宋体"/>
                <w:spacing w:val="8"/>
                <w:sz w:val="20"/>
                <w:szCs w:val="20"/>
              </w:rPr>
              <w:t>铁路运营里程</w:t>
            </w:r>
          </w:p>
        </w:tc>
        <w:tc>
          <w:tcPr>
            <w:tcW w:w="1111" w:type="dxa"/>
            <w:vAlign w:val="top"/>
          </w:tcPr>
          <w:p w14:paraId="7FDA8478">
            <w:pPr>
              <w:spacing w:before="80" w:line="231" w:lineRule="auto"/>
              <w:ind w:left="357"/>
              <w:rPr>
                <w:rFonts w:ascii="宋体" w:hAnsi="宋体" w:eastAsia="宋体" w:cs="宋体"/>
                <w:sz w:val="20"/>
                <w:szCs w:val="20"/>
              </w:rPr>
            </w:pPr>
            <w:r>
              <w:rPr>
                <w:rFonts w:ascii="宋体" w:hAnsi="宋体" w:eastAsia="宋体" w:cs="宋体"/>
                <w:spacing w:val="1"/>
                <w:sz w:val="20"/>
                <w:szCs w:val="20"/>
              </w:rPr>
              <w:t>公里</w:t>
            </w:r>
          </w:p>
        </w:tc>
        <w:tc>
          <w:tcPr>
            <w:tcW w:w="1073" w:type="dxa"/>
            <w:vAlign w:val="top"/>
          </w:tcPr>
          <w:p w14:paraId="3231A965">
            <w:pPr>
              <w:pStyle w:val="6"/>
              <w:spacing w:before="49" w:line="274" w:lineRule="exact"/>
              <w:ind w:left="387"/>
            </w:pPr>
            <w:r>
              <w:rPr>
                <w:spacing w:val="2"/>
                <w:position w:val="2"/>
              </w:rPr>
              <w:t>630</w:t>
            </w:r>
          </w:p>
        </w:tc>
        <w:tc>
          <w:tcPr>
            <w:tcW w:w="1116" w:type="dxa"/>
            <w:vAlign w:val="top"/>
          </w:tcPr>
          <w:p w14:paraId="5FE33E63">
            <w:pPr>
              <w:pStyle w:val="6"/>
              <w:spacing w:before="49" w:line="274" w:lineRule="exact"/>
              <w:ind w:left="417"/>
            </w:pPr>
            <w:r>
              <w:rPr>
                <w:position w:val="2"/>
              </w:rPr>
              <w:t>800</w:t>
            </w:r>
          </w:p>
        </w:tc>
        <w:tc>
          <w:tcPr>
            <w:tcW w:w="843" w:type="dxa"/>
            <w:tcBorders>
              <w:right w:val="single" w:color="000000" w:sz="10" w:space="0"/>
            </w:tcBorders>
            <w:vAlign w:val="top"/>
          </w:tcPr>
          <w:p w14:paraId="6BE452C6">
            <w:pPr>
              <w:spacing w:before="80"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6F2E1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56EF790A">
            <w:pPr>
              <w:rPr>
                <w:rFonts w:ascii="Arial"/>
                <w:sz w:val="21"/>
              </w:rPr>
            </w:pPr>
          </w:p>
        </w:tc>
        <w:tc>
          <w:tcPr>
            <w:tcW w:w="613" w:type="dxa"/>
            <w:vAlign w:val="top"/>
          </w:tcPr>
          <w:p w14:paraId="3ED7F5C4">
            <w:pPr>
              <w:pStyle w:val="6"/>
              <w:spacing w:before="50" w:line="274" w:lineRule="exact"/>
              <w:ind w:left="245"/>
            </w:pPr>
            <w:r>
              <w:rPr>
                <w:position w:val="1"/>
              </w:rPr>
              <w:t>2</w:t>
            </w:r>
          </w:p>
        </w:tc>
        <w:tc>
          <w:tcPr>
            <w:tcW w:w="3605" w:type="dxa"/>
            <w:vAlign w:val="top"/>
          </w:tcPr>
          <w:p w14:paraId="25308B40">
            <w:pPr>
              <w:spacing w:before="81" w:line="228" w:lineRule="auto"/>
              <w:ind w:left="652"/>
              <w:rPr>
                <w:rFonts w:ascii="宋体" w:hAnsi="宋体" w:eastAsia="宋体" w:cs="宋体"/>
                <w:sz w:val="20"/>
                <w:szCs w:val="20"/>
              </w:rPr>
            </w:pPr>
            <w:r>
              <w:rPr>
                <w:rFonts w:ascii="宋体" w:hAnsi="宋体" w:eastAsia="宋体" w:cs="宋体"/>
                <w:spacing w:val="7"/>
                <w:sz w:val="20"/>
                <w:szCs w:val="20"/>
              </w:rPr>
              <w:t>公路网总里程(列统里程)</w:t>
            </w:r>
          </w:p>
        </w:tc>
        <w:tc>
          <w:tcPr>
            <w:tcW w:w="1111" w:type="dxa"/>
            <w:vAlign w:val="top"/>
          </w:tcPr>
          <w:p w14:paraId="3C247BC4">
            <w:pPr>
              <w:spacing w:before="81" w:line="231" w:lineRule="auto"/>
              <w:ind w:left="357"/>
              <w:rPr>
                <w:rFonts w:ascii="宋体" w:hAnsi="宋体" w:eastAsia="宋体" w:cs="宋体"/>
                <w:sz w:val="20"/>
                <w:szCs w:val="20"/>
              </w:rPr>
            </w:pPr>
            <w:r>
              <w:rPr>
                <w:rFonts w:ascii="宋体" w:hAnsi="宋体" w:eastAsia="宋体" w:cs="宋体"/>
                <w:spacing w:val="1"/>
                <w:sz w:val="20"/>
                <w:szCs w:val="20"/>
              </w:rPr>
              <w:t>公里</w:t>
            </w:r>
          </w:p>
        </w:tc>
        <w:tc>
          <w:tcPr>
            <w:tcW w:w="1073" w:type="dxa"/>
            <w:vAlign w:val="top"/>
          </w:tcPr>
          <w:p w14:paraId="6B8D176D">
            <w:pPr>
              <w:pStyle w:val="6"/>
              <w:spacing w:before="50" w:line="274" w:lineRule="exact"/>
              <w:ind w:left="148"/>
            </w:pPr>
            <w:r>
              <w:rPr>
                <w:spacing w:val="4"/>
                <w:position w:val="2"/>
              </w:rPr>
              <w:t>27879.63</w:t>
            </w:r>
          </w:p>
        </w:tc>
        <w:tc>
          <w:tcPr>
            <w:tcW w:w="1116" w:type="dxa"/>
            <w:vAlign w:val="top"/>
          </w:tcPr>
          <w:p w14:paraId="6003D320">
            <w:pPr>
              <w:pStyle w:val="6"/>
              <w:spacing w:before="50" w:line="274" w:lineRule="exact"/>
              <w:ind w:left="308"/>
            </w:pPr>
            <w:r>
              <w:rPr>
                <w:spacing w:val="3"/>
                <w:position w:val="2"/>
              </w:rPr>
              <w:t>35000</w:t>
            </w:r>
          </w:p>
        </w:tc>
        <w:tc>
          <w:tcPr>
            <w:tcW w:w="843" w:type="dxa"/>
            <w:tcBorders>
              <w:right w:val="single" w:color="000000" w:sz="10" w:space="0"/>
            </w:tcBorders>
            <w:vAlign w:val="top"/>
          </w:tcPr>
          <w:p w14:paraId="36D7FA2A">
            <w:pPr>
              <w:spacing w:before="81"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35AD1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11E742D6">
            <w:pPr>
              <w:rPr>
                <w:rFonts w:ascii="Arial"/>
                <w:sz w:val="21"/>
              </w:rPr>
            </w:pPr>
          </w:p>
        </w:tc>
        <w:tc>
          <w:tcPr>
            <w:tcW w:w="613" w:type="dxa"/>
            <w:vAlign w:val="top"/>
          </w:tcPr>
          <w:p w14:paraId="6932D0B7">
            <w:pPr>
              <w:pStyle w:val="6"/>
              <w:spacing w:before="53" w:line="274" w:lineRule="exact"/>
              <w:ind w:left="249"/>
            </w:pPr>
            <w:r>
              <w:rPr>
                <w:position w:val="2"/>
              </w:rPr>
              <w:t>3</w:t>
            </w:r>
          </w:p>
        </w:tc>
        <w:tc>
          <w:tcPr>
            <w:tcW w:w="3605" w:type="dxa"/>
            <w:vAlign w:val="top"/>
          </w:tcPr>
          <w:p w14:paraId="4E10E7D7">
            <w:pPr>
              <w:spacing w:before="84" w:line="228" w:lineRule="auto"/>
              <w:ind w:left="983"/>
              <w:rPr>
                <w:rFonts w:ascii="宋体" w:hAnsi="宋体" w:eastAsia="宋体" w:cs="宋体"/>
                <w:sz w:val="20"/>
                <w:szCs w:val="20"/>
              </w:rPr>
            </w:pPr>
            <w:r>
              <w:rPr>
                <w:rFonts w:ascii="宋体" w:hAnsi="宋体" w:eastAsia="宋体" w:cs="宋体"/>
                <w:spacing w:val="6"/>
                <w:sz w:val="20"/>
                <w:szCs w:val="20"/>
              </w:rPr>
              <w:t>民用运输机场数量</w:t>
            </w:r>
          </w:p>
        </w:tc>
        <w:tc>
          <w:tcPr>
            <w:tcW w:w="1111" w:type="dxa"/>
            <w:vAlign w:val="top"/>
          </w:tcPr>
          <w:p w14:paraId="42A537D3">
            <w:pPr>
              <w:spacing w:before="84" w:line="228" w:lineRule="auto"/>
              <w:ind w:left="456"/>
              <w:rPr>
                <w:rFonts w:ascii="宋体" w:hAnsi="宋体" w:eastAsia="宋体" w:cs="宋体"/>
                <w:sz w:val="20"/>
                <w:szCs w:val="20"/>
              </w:rPr>
            </w:pPr>
            <w:r>
              <w:rPr>
                <w:rFonts w:ascii="宋体" w:hAnsi="宋体" w:eastAsia="宋体" w:cs="宋体"/>
                <w:sz w:val="20"/>
                <w:szCs w:val="20"/>
              </w:rPr>
              <w:t>个</w:t>
            </w:r>
          </w:p>
        </w:tc>
        <w:tc>
          <w:tcPr>
            <w:tcW w:w="1073" w:type="dxa"/>
            <w:vAlign w:val="top"/>
          </w:tcPr>
          <w:p w14:paraId="434DE06E">
            <w:pPr>
              <w:pStyle w:val="6"/>
              <w:spacing w:before="53" w:line="274" w:lineRule="exact"/>
              <w:ind w:left="508"/>
            </w:pPr>
            <w:r>
              <w:rPr>
                <w:spacing w:val="2"/>
                <w:position w:val="1"/>
              </w:rPr>
              <w:t>/</w:t>
            </w:r>
          </w:p>
        </w:tc>
        <w:tc>
          <w:tcPr>
            <w:tcW w:w="1116" w:type="dxa"/>
            <w:vAlign w:val="top"/>
          </w:tcPr>
          <w:p w14:paraId="34F389F3">
            <w:pPr>
              <w:pStyle w:val="6"/>
              <w:spacing w:before="53" w:line="274" w:lineRule="exact"/>
              <w:ind w:left="535"/>
            </w:pPr>
            <w:r>
              <w:rPr>
                <w:position w:val="1"/>
              </w:rPr>
              <w:t>1</w:t>
            </w:r>
          </w:p>
        </w:tc>
        <w:tc>
          <w:tcPr>
            <w:tcW w:w="843" w:type="dxa"/>
            <w:tcBorders>
              <w:right w:val="single" w:color="000000" w:sz="10" w:space="0"/>
            </w:tcBorders>
            <w:vAlign w:val="top"/>
          </w:tcPr>
          <w:p w14:paraId="62D4FD56">
            <w:pPr>
              <w:spacing w:before="84"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4F94F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03B5743A">
            <w:pPr>
              <w:rPr>
                <w:rFonts w:ascii="Arial"/>
                <w:sz w:val="21"/>
              </w:rPr>
            </w:pPr>
          </w:p>
        </w:tc>
        <w:tc>
          <w:tcPr>
            <w:tcW w:w="613" w:type="dxa"/>
            <w:vAlign w:val="top"/>
          </w:tcPr>
          <w:p w14:paraId="68793095">
            <w:pPr>
              <w:pStyle w:val="6"/>
              <w:spacing w:before="54" w:line="274" w:lineRule="exact"/>
              <w:ind w:left="244"/>
            </w:pPr>
            <w:r>
              <w:rPr>
                <w:spacing w:val="1"/>
                <w:position w:val="1"/>
              </w:rPr>
              <w:t>4</w:t>
            </w:r>
          </w:p>
        </w:tc>
        <w:tc>
          <w:tcPr>
            <w:tcW w:w="3605" w:type="dxa"/>
            <w:vAlign w:val="top"/>
          </w:tcPr>
          <w:p w14:paraId="7A21B399">
            <w:pPr>
              <w:spacing w:before="85" w:line="228" w:lineRule="auto"/>
              <w:ind w:left="1177"/>
              <w:rPr>
                <w:rFonts w:ascii="宋体" w:hAnsi="宋体" w:eastAsia="宋体" w:cs="宋体"/>
                <w:sz w:val="20"/>
                <w:szCs w:val="20"/>
              </w:rPr>
            </w:pPr>
            <w:r>
              <w:rPr>
                <w:rFonts w:ascii="宋体" w:hAnsi="宋体" w:eastAsia="宋体" w:cs="宋体"/>
                <w:spacing w:val="7"/>
                <w:sz w:val="20"/>
                <w:szCs w:val="20"/>
              </w:rPr>
              <w:t>高铁运营里程</w:t>
            </w:r>
          </w:p>
        </w:tc>
        <w:tc>
          <w:tcPr>
            <w:tcW w:w="1111" w:type="dxa"/>
            <w:vAlign w:val="top"/>
          </w:tcPr>
          <w:p w14:paraId="22B6E114">
            <w:pPr>
              <w:spacing w:before="85" w:line="231" w:lineRule="auto"/>
              <w:ind w:left="357"/>
              <w:rPr>
                <w:rFonts w:ascii="宋体" w:hAnsi="宋体" w:eastAsia="宋体" w:cs="宋体"/>
                <w:sz w:val="20"/>
                <w:szCs w:val="20"/>
              </w:rPr>
            </w:pPr>
            <w:r>
              <w:rPr>
                <w:rFonts w:ascii="宋体" w:hAnsi="宋体" w:eastAsia="宋体" w:cs="宋体"/>
                <w:spacing w:val="1"/>
                <w:sz w:val="20"/>
                <w:szCs w:val="20"/>
              </w:rPr>
              <w:t>公里</w:t>
            </w:r>
          </w:p>
        </w:tc>
        <w:tc>
          <w:tcPr>
            <w:tcW w:w="1073" w:type="dxa"/>
            <w:vAlign w:val="top"/>
          </w:tcPr>
          <w:p w14:paraId="6B4A1D09">
            <w:pPr>
              <w:pStyle w:val="6"/>
              <w:spacing w:before="54" w:line="274" w:lineRule="exact"/>
              <w:ind w:left="408"/>
            </w:pPr>
            <w:r>
              <w:rPr>
                <w:spacing w:val="-6"/>
                <w:position w:val="2"/>
              </w:rPr>
              <w:t>116</w:t>
            </w:r>
          </w:p>
        </w:tc>
        <w:tc>
          <w:tcPr>
            <w:tcW w:w="1116" w:type="dxa"/>
            <w:vAlign w:val="top"/>
          </w:tcPr>
          <w:p w14:paraId="70B04E4C">
            <w:pPr>
              <w:pStyle w:val="6"/>
              <w:spacing w:before="54" w:line="274" w:lineRule="exact"/>
              <w:ind w:left="409"/>
            </w:pPr>
            <w:r>
              <w:rPr>
                <w:spacing w:val="3"/>
                <w:position w:val="2"/>
              </w:rPr>
              <w:t>260</w:t>
            </w:r>
          </w:p>
        </w:tc>
        <w:tc>
          <w:tcPr>
            <w:tcW w:w="843" w:type="dxa"/>
            <w:tcBorders>
              <w:right w:val="single" w:color="000000" w:sz="10" w:space="0"/>
            </w:tcBorders>
            <w:vAlign w:val="top"/>
          </w:tcPr>
          <w:p w14:paraId="0F0BB6FE">
            <w:pPr>
              <w:spacing w:before="85"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729E6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16A6A9C7">
            <w:pPr>
              <w:rPr>
                <w:rFonts w:ascii="Arial"/>
                <w:sz w:val="21"/>
              </w:rPr>
            </w:pPr>
          </w:p>
        </w:tc>
        <w:tc>
          <w:tcPr>
            <w:tcW w:w="613" w:type="dxa"/>
            <w:vAlign w:val="top"/>
          </w:tcPr>
          <w:p w14:paraId="1D0A8EA7">
            <w:pPr>
              <w:pStyle w:val="6"/>
              <w:spacing w:before="124" w:line="192" w:lineRule="auto"/>
              <w:ind w:left="250"/>
            </w:pPr>
            <w:r>
              <w:t>5</w:t>
            </w:r>
          </w:p>
        </w:tc>
        <w:tc>
          <w:tcPr>
            <w:tcW w:w="3605" w:type="dxa"/>
            <w:vAlign w:val="top"/>
          </w:tcPr>
          <w:p w14:paraId="6BD0AA41">
            <w:pPr>
              <w:spacing w:before="86" w:line="228" w:lineRule="auto"/>
              <w:ind w:left="651"/>
              <w:rPr>
                <w:rFonts w:ascii="宋体" w:hAnsi="宋体" w:eastAsia="宋体" w:cs="宋体"/>
                <w:sz w:val="20"/>
                <w:szCs w:val="20"/>
              </w:rPr>
            </w:pPr>
            <w:r>
              <w:rPr>
                <w:rFonts w:ascii="宋体" w:hAnsi="宋体" w:eastAsia="宋体" w:cs="宋体"/>
                <w:spacing w:val="8"/>
                <w:sz w:val="20"/>
                <w:szCs w:val="20"/>
              </w:rPr>
              <w:t>高速公路建成通车总里程</w:t>
            </w:r>
          </w:p>
        </w:tc>
        <w:tc>
          <w:tcPr>
            <w:tcW w:w="1111" w:type="dxa"/>
            <w:vAlign w:val="top"/>
          </w:tcPr>
          <w:p w14:paraId="2638F7AB">
            <w:pPr>
              <w:spacing w:before="86" w:line="231" w:lineRule="auto"/>
              <w:ind w:left="357"/>
              <w:rPr>
                <w:rFonts w:ascii="宋体" w:hAnsi="宋体" w:eastAsia="宋体" w:cs="宋体"/>
                <w:sz w:val="20"/>
                <w:szCs w:val="20"/>
              </w:rPr>
            </w:pPr>
            <w:r>
              <w:rPr>
                <w:rFonts w:ascii="宋体" w:hAnsi="宋体" w:eastAsia="宋体" w:cs="宋体"/>
                <w:spacing w:val="1"/>
                <w:sz w:val="20"/>
                <w:szCs w:val="20"/>
              </w:rPr>
              <w:t>公里</w:t>
            </w:r>
          </w:p>
        </w:tc>
        <w:tc>
          <w:tcPr>
            <w:tcW w:w="1073" w:type="dxa"/>
            <w:vAlign w:val="top"/>
          </w:tcPr>
          <w:p w14:paraId="5C3DF9E0">
            <w:pPr>
              <w:pStyle w:val="6"/>
              <w:spacing w:before="55" w:line="274" w:lineRule="exact"/>
              <w:ind w:left="220"/>
            </w:pPr>
            <w:r>
              <w:rPr>
                <w:spacing w:val="1"/>
                <w:position w:val="2"/>
              </w:rPr>
              <w:t>1090.24</w:t>
            </w:r>
          </w:p>
        </w:tc>
        <w:tc>
          <w:tcPr>
            <w:tcW w:w="1116" w:type="dxa"/>
            <w:vAlign w:val="top"/>
          </w:tcPr>
          <w:p w14:paraId="5C6C1906">
            <w:pPr>
              <w:pStyle w:val="6"/>
              <w:spacing w:before="55" w:line="274" w:lineRule="exact"/>
              <w:ind w:left="376"/>
            </w:pPr>
            <w:r>
              <w:rPr>
                <w:spacing w:val="-2"/>
                <w:position w:val="2"/>
              </w:rPr>
              <w:t>1600</w:t>
            </w:r>
          </w:p>
        </w:tc>
        <w:tc>
          <w:tcPr>
            <w:tcW w:w="843" w:type="dxa"/>
            <w:tcBorders>
              <w:right w:val="single" w:color="000000" w:sz="10" w:space="0"/>
            </w:tcBorders>
            <w:vAlign w:val="top"/>
          </w:tcPr>
          <w:p w14:paraId="7A969047">
            <w:pPr>
              <w:spacing w:before="86" w:line="228" w:lineRule="auto"/>
              <w:ind w:left="118"/>
              <w:rPr>
                <w:rFonts w:ascii="宋体" w:hAnsi="宋体" w:eastAsia="宋体" w:cs="宋体"/>
                <w:sz w:val="20"/>
                <w:szCs w:val="20"/>
              </w:rPr>
            </w:pPr>
            <w:r>
              <w:rPr>
                <w:rFonts w:ascii="宋体" w:hAnsi="宋体" w:eastAsia="宋体" w:cs="宋体"/>
                <w:spacing w:val="5"/>
                <w:sz w:val="20"/>
                <w:szCs w:val="20"/>
              </w:rPr>
              <w:t>约束性</w:t>
            </w:r>
          </w:p>
        </w:tc>
      </w:tr>
      <w:tr w14:paraId="124AA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1A8AA0B0">
            <w:pPr>
              <w:rPr>
                <w:rFonts w:ascii="Arial"/>
                <w:sz w:val="21"/>
              </w:rPr>
            </w:pPr>
          </w:p>
        </w:tc>
        <w:tc>
          <w:tcPr>
            <w:tcW w:w="613" w:type="dxa"/>
            <w:vAlign w:val="top"/>
          </w:tcPr>
          <w:p w14:paraId="21A9C5FF">
            <w:pPr>
              <w:pStyle w:val="6"/>
              <w:spacing w:before="56" w:line="274" w:lineRule="exact"/>
              <w:ind w:left="249"/>
            </w:pPr>
            <w:r>
              <w:rPr>
                <w:position w:val="2"/>
              </w:rPr>
              <w:t>6</w:t>
            </w:r>
          </w:p>
        </w:tc>
        <w:tc>
          <w:tcPr>
            <w:tcW w:w="3605" w:type="dxa"/>
            <w:vAlign w:val="top"/>
          </w:tcPr>
          <w:p w14:paraId="5E19D7DB">
            <w:pPr>
              <w:spacing w:before="87" w:line="228" w:lineRule="auto"/>
              <w:ind w:left="542"/>
              <w:rPr>
                <w:rFonts w:ascii="宋体" w:hAnsi="宋体" w:eastAsia="宋体" w:cs="宋体"/>
                <w:sz w:val="20"/>
                <w:szCs w:val="20"/>
              </w:rPr>
            </w:pPr>
            <w:r>
              <w:rPr>
                <w:rFonts w:ascii="宋体" w:hAnsi="宋体" w:eastAsia="宋体" w:cs="宋体"/>
                <w:spacing w:val="9"/>
                <w:sz w:val="20"/>
                <w:szCs w:val="20"/>
              </w:rPr>
              <w:t>普通国省道二级及以上里程</w:t>
            </w:r>
          </w:p>
        </w:tc>
        <w:tc>
          <w:tcPr>
            <w:tcW w:w="1111" w:type="dxa"/>
            <w:vAlign w:val="top"/>
          </w:tcPr>
          <w:p w14:paraId="7F5D2794">
            <w:pPr>
              <w:spacing w:before="87" w:line="231" w:lineRule="auto"/>
              <w:ind w:left="357"/>
              <w:rPr>
                <w:rFonts w:ascii="宋体" w:hAnsi="宋体" w:eastAsia="宋体" w:cs="宋体"/>
                <w:sz w:val="20"/>
                <w:szCs w:val="20"/>
              </w:rPr>
            </w:pPr>
            <w:r>
              <w:rPr>
                <w:rFonts w:ascii="宋体" w:hAnsi="宋体" w:eastAsia="宋体" w:cs="宋体"/>
                <w:spacing w:val="1"/>
                <w:sz w:val="20"/>
                <w:szCs w:val="20"/>
              </w:rPr>
              <w:t>公里</w:t>
            </w:r>
          </w:p>
        </w:tc>
        <w:tc>
          <w:tcPr>
            <w:tcW w:w="1073" w:type="dxa"/>
            <w:vAlign w:val="top"/>
          </w:tcPr>
          <w:p w14:paraId="5D3D9537">
            <w:pPr>
              <w:pStyle w:val="6"/>
              <w:spacing w:before="56" w:line="274" w:lineRule="exact"/>
              <w:ind w:left="262"/>
            </w:pPr>
            <w:r>
              <w:rPr>
                <w:spacing w:val="2"/>
                <w:position w:val="2"/>
              </w:rPr>
              <w:t>879.86</w:t>
            </w:r>
          </w:p>
        </w:tc>
        <w:tc>
          <w:tcPr>
            <w:tcW w:w="1116" w:type="dxa"/>
            <w:vAlign w:val="top"/>
          </w:tcPr>
          <w:p w14:paraId="101A2C45">
            <w:pPr>
              <w:pStyle w:val="6"/>
              <w:spacing w:before="56" w:line="274" w:lineRule="exact"/>
              <w:ind w:left="376"/>
            </w:pPr>
            <w:r>
              <w:rPr>
                <w:spacing w:val="-1"/>
                <w:position w:val="2"/>
              </w:rPr>
              <w:t>1000</w:t>
            </w:r>
          </w:p>
        </w:tc>
        <w:tc>
          <w:tcPr>
            <w:tcW w:w="843" w:type="dxa"/>
            <w:tcBorders>
              <w:right w:val="single" w:color="000000" w:sz="10" w:space="0"/>
            </w:tcBorders>
            <w:vAlign w:val="top"/>
          </w:tcPr>
          <w:p w14:paraId="60CEF59A">
            <w:pPr>
              <w:spacing w:before="86"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4A7FD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7863118D">
            <w:pPr>
              <w:rPr>
                <w:rFonts w:ascii="Arial"/>
                <w:sz w:val="21"/>
              </w:rPr>
            </w:pPr>
          </w:p>
        </w:tc>
        <w:tc>
          <w:tcPr>
            <w:tcW w:w="613" w:type="dxa"/>
            <w:vAlign w:val="top"/>
          </w:tcPr>
          <w:p w14:paraId="61139148">
            <w:pPr>
              <w:pStyle w:val="6"/>
              <w:spacing w:before="126" w:line="192" w:lineRule="auto"/>
              <w:ind w:left="248"/>
            </w:pPr>
            <w:r>
              <w:t>7</w:t>
            </w:r>
          </w:p>
        </w:tc>
        <w:tc>
          <w:tcPr>
            <w:tcW w:w="3605" w:type="dxa"/>
            <w:vAlign w:val="top"/>
          </w:tcPr>
          <w:p w14:paraId="3A8CA0A4">
            <w:pPr>
              <w:spacing w:before="88" w:line="228" w:lineRule="auto"/>
              <w:ind w:left="545"/>
              <w:rPr>
                <w:rFonts w:ascii="宋体" w:hAnsi="宋体" w:eastAsia="宋体" w:cs="宋体"/>
                <w:sz w:val="20"/>
                <w:szCs w:val="20"/>
              </w:rPr>
            </w:pPr>
            <w:r>
              <w:rPr>
                <w:rFonts w:ascii="宋体" w:hAnsi="宋体" w:eastAsia="宋体" w:cs="宋体"/>
                <w:spacing w:val="8"/>
                <w:sz w:val="20"/>
                <w:szCs w:val="20"/>
              </w:rPr>
              <w:t>综合交通对县级节点通达率</w:t>
            </w:r>
          </w:p>
        </w:tc>
        <w:tc>
          <w:tcPr>
            <w:tcW w:w="1111" w:type="dxa"/>
            <w:vAlign w:val="top"/>
          </w:tcPr>
          <w:p w14:paraId="3CA29180">
            <w:pPr>
              <w:pStyle w:val="6"/>
              <w:spacing w:before="56" w:line="275" w:lineRule="exact"/>
              <w:ind w:left="474"/>
            </w:pPr>
            <w:r>
              <w:rPr>
                <w:position w:val="2"/>
              </w:rPr>
              <w:t>%</w:t>
            </w:r>
          </w:p>
        </w:tc>
        <w:tc>
          <w:tcPr>
            <w:tcW w:w="1073" w:type="dxa"/>
            <w:vAlign w:val="top"/>
          </w:tcPr>
          <w:p w14:paraId="027A678E">
            <w:pPr>
              <w:pStyle w:val="6"/>
              <w:spacing w:before="56" w:line="275" w:lineRule="exact"/>
              <w:ind w:left="362"/>
            </w:pPr>
            <w:r>
              <w:rPr>
                <w:spacing w:val="2"/>
                <w:position w:val="2"/>
              </w:rPr>
              <w:t>77.8</w:t>
            </w:r>
          </w:p>
        </w:tc>
        <w:tc>
          <w:tcPr>
            <w:tcW w:w="1116" w:type="dxa"/>
            <w:vAlign w:val="top"/>
          </w:tcPr>
          <w:p w14:paraId="4F60CC55">
            <w:pPr>
              <w:pStyle w:val="6"/>
              <w:spacing w:before="56" w:line="275" w:lineRule="exact"/>
              <w:ind w:left="429"/>
            </w:pPr>
            <w:r>
              <w:rPr>
                <w:spacing w:val="-3"/>
                <w:position w:val="2"/>
              </w:rPr>
              <w:t>100</w:t>
            </w:r>
          </w:p>
        </w:tc>
        <w:tc>
          <w:tcPr>
            <w:tcW w:w="843" w:type="dxa"/>
            <w:tcBorders>
              <w:right w:val="single" w:color="000000" w:sz="10" w:space="0"/>
            </w:tcBorders>
            <w:vAlign w:val="top"/>
          </w:tcPr>
          <w:p w14:paraId="232070FC">
            <w:pPr>
              <w:spacing w:before="87"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16C09B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4A23B82E">
            <w:pPr>
              <w:rPr>
                <w:rFonts w:ascii="Arial"/>
                <w:sz w:val="21"/>
              </w:rPr>
            </w:pPr>
          </w:p>
        </w:tc>
        <w:tc>
          <w:tcPr>
            <w:tcW w:w="613" w:type="dxa"/>
            <w:vAlign w:val="top"/>
          </w:tcPr>
          <w:p w14:paraId="737B55E2">
            <w:pPr>
              <w:pStyle w:val="6"/>
              <w:spacing w:before="57" w:line="274" w:lineRule="exact"/>
              <w:ind w:left="253"/>
            </w:pPr>
            <w:r>
              <w:rPr>
                <w:position w:val="2"/>
              </w:rPr>
              <w:t>8</w:t>
            </w:r>
          </w:p>
        </w:tc>
        <w:tc>
          <w:tcPr>
            <w:tcW w:w="3605" w:type="dxa"/>
            <w:vAlign w:val="top"/>
          </w:tcPr>
          <w:p w14:paraId="6DD0C4A1">
            <w:pPr>
              <w:spacing w:before="88" w:line="228" w:lineRule="auto"/>
              <w:ind w:left="757"/>
              <w:rPr>
                <w:rFonts w:ascii="宋体" w:hAnsi="宋体" w:eastAsia="宋体" w:cs="宋体"/>
                <w:sz w:val="20"/>
                <w:szCs w:val="20"/>
              </w:rPr>
            </w:pPr>
            <w:r>
              <w:rPr>
                <w:rFonts w:ascii="宋体" w:hAnsi="宋体" w:eastAsia="宋体" w:cs="宋体"/>
                <w:spacing w:val="8"/>
                <w:sz w:val="20"/>
                <w:szCs w:val="20"/>
              </w:rPr>
              <w:t>高速公路对外出口通道</w:t>
            </w:r>
          </w:p>
        </w:tc>
        <w:tc>
          <w:tcPr>
            <w:tcW w:w="1111" w:type="dxa"/>
            <w:vAlign w:val="top"/>
          </w:tcPr>
          <w:p w14:paraId="5FC27ED2">
            <w:pPr>
              <w:spacing w:before="88" w:line="228" w:lineRule="auto"/>
              <w:ind w:left="458"/>
              <w:rPr>
                <w:rFonts w:ascii="宋体" w:hAnsi="宋体" w:eastAsia="宋体" w:cs="宋体"/>
                <w:sz w:val="20"/>
                <w:szCs w:val="20"/>
              </w:rPr>
            </w:pPr>
            <w:r>
              <w:rPr>
                <w:rFonts w:ascii="宋体" w:hAnsi="宋体" w:eastAsia="宋体" w:cs="宋体"/>
                <w:sz w:val="20"/>
                <w:szCs w:val="20"/>
              </w:rPr>
              <w:t>条</w:t>
            </w:r>
          </w:p>
        </w:tc>
        <w:tc>
          <w:tcPr>
            <w:tcW w:w="1073" w:type="dxa"/>
            <w:vAlign w:val="top"/>
          </w:tcPr>
          <w:p w14:paraId="22E70809">
            <w:pPr>
              <w:pStyle w:val="6"/>
              <w:spacing w:before="57" w:line="274" w:lineRule="exact"/>
              <w:ind w:left="492"/>
            </w:pPr>
            <w:r>
              <w:rPr>
                <w:position w:val="2"/>
              </w:rPr>
              <w:t>9</w:t>
            </w:r>
          </w:p>
        </w:tc>
        <w:tc>
          <w:tcPr>
            <w:tcW w:w="1116" w:type="dxa"/>
            <w:vAlign w:val="top"/>
          </w:tcPr>
          <w:p w14:paraId="58EFA308">
            <w:pPr>
              <w:pStyle w:val="6"/>
              <w:spacing w:before="57" w:line="274" w:lineRule="exact"/>
              <w:ind w:left="482"/>
            </w:pPr>
            <w:r>
              <w:rPr>
                <w:spacing w:val="-8"/>
                <w:position w:val="2"/>
              </w:rPr>
              <w:t>16</w:t>
            </w:r>
          </w:p>
        </w:tc>
        <w:tc>
          <w:tcPr>
            <w:tcW w:w="843" w:type="dxa"/>
            <w:tcBorders>
              <w:right w:val="single" w:color="000000" w:sz="10" w:space="0"/>
            </w:tcBorders>
            <w:vAlign w:val="top"/>
          </w:tcPr>
          <w:p w14:paraId="75A9FB21">
            <w:pPr>
              <w:spacing w:before="88"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4FB41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39BFB083">
            <w:pPr>
              <w:rPr>
                <w:rFonts w:ascii="Arial"/>
                <w:sz w:val="21"/>
              </w:rPr>
            </w:pPr>
          </w:p>
        </w:tc>
        <w:tc>
          <w:tcPr>
            <w:tcW w:w="613" w:type="dxa"/>
            <w:vAlign w:val="top"/>
          </w:tcPr>
          <w:p w14:paraId="1E890833">
            <w:pPr>
              <w:pStyle w:val="6"/>
              <w:spacing w:before="58" w:line="274" w:lineRule="exact"/>
              <w:ind w:left="249"/>
            </w:pPr>
            <w:r>
              <w:rPr>
                <w:position w:val="2"/>
              </w:rPr>
              <w:t>9</w:t>
            </w:r>
          </w:p>
        </w:tc>
        <w:tc>
          <w:tcPr>
            <w:tcW w:w="3605" w:type="dxa"/>
            <w:vAlign w:val="top"/>
          </w:tcPr>
          <w:p w14:paraId="0FDA6199">
            <w:pPr>
              <w:pStyle w:val="6"/>
              <w:spacing w:before="58" w:line="274" w:lineRule="exact"/>
              <w:ind w:left="98"/>
              <w:rPr>
                <w:rFonts w:ascii="宋体" w:hAnsi="宋体" w:eastAsia="宋体" w:cs="宋体"/>
              </w:rPr>
            </w:pPr>
            <w:r>
              <w:rPr>
                <w:spacing w:val="8"/>
                <w:position w:val="1"/>
              </w:rPr>
              <w:t xml:space="preserve">50 </w:t>
            </w:r>
            <w:r>
              <w:rPr>
                <w:rFonts w:ascii="宋体" w:hAnsi="宋体" w:eastAsia="宋体" w:cs="宋体"/>
                <w:spacing w:val="8"/>
                <w:position w:val="1"/>
              </w:rPr>
              <w:t>户以上具备条件自然村通硬化路率</w:t>
            </w:r>
          </w:p>
        </w:tc>
        <w:tc>
          <w:tcPr>
            <w:tcW w:w="1111" w:type="dxa"/>
            <w:vAlign w:val="top"/>
          </w:tcPr>
          <w:p w14:paraId="2210CF64">
            <w:pPr>
              <w:pStyle w:val="6"/>
              <w:spacing w:before="58" w:line="274" w:lineRule="exact"/>
              <w:ind w:left="474"/>
            </w:pPr>
            <w:r>
              <w:rPr>
                <w:position w:val="2"/>
              </w:rPr>
              <w:t>%</w:t>
            </w:r>
          </w:p>
        </w:tc>
        <w:tc>
          <w:tcPr>
            <w:tcW w:w="1073" w:type="dxa"/>
            <w:vAlign w:val="top"/>
          </w:tcPr>
          <w:p w14:paraId="44F34847">
            <w:pPr>
              <w:pStyle w:val="6"/>
              <w:spacing w:before="58" w:line="274" w:lineRule="exact"/>
              <w:ind w:left="311"/>
            </w:pPr>
            <w:r>
              <w:rPr>
                <w:spacing w:val="3"/>
                <w:position w:val="2"/>
              </w:rPr>
              <w:t>63.96</w:t>
            </w:r>
          </w:p>
        </w:tc>
        <w:tc>
          <w:tcPr>
            <w:tcW w:w="1116" w:type="dxa"/>
            <w:vAlign w:val="top"/>
          </w:tcPr>
          <w:p w14:paraId="331A0B89">
            <w:pPr>
              <w:pStyle w:val="6"/>
              <w:spacing w:before="58" w:line="274" w:lineRule="exact"/>
              <w:ind w:left="466"/>
            </w:pPr>
            <w:r>
              <w:rPr>
                <w:position w:val="2"/>
              </w:rPr>
              <w:t>95</w:t>
            </w:r>
          </w:p>
        </w:tc>
        <w:tc>
          <w:tcPr>
            <w:tcW w:w="843" w:type="dxa"/>
            <w:tcBorders>
              <w:right w:val="single" w:color="000000" w:sz="10" w:space="0"/>
            </w:tcBorders>
            <w:vAlign w:val="top"/>
          </w:tcPr>
          <w:p w14:paraId="6CB56B0A">
            <w:pPr>
              <w:spacing w:before="89" w:line="228" w:lineRule="auto"/>
              <w:ind w:left="118"/>
              <w:rPr>
                <w:rFonts w:ascii="宋体" w:hAnsi="宋体" w:eastAsia="宋体" w:cs="宋体"/>
                <w:sz w:val="20"/>
                <w:szCs w:val="20"/>
              </w:rPr>
            </w:pPr>
            <w:r>
              <w:rPr>
                <w:rFonts w:ascii="宋体" w:hAnsi="宋体" w:eastAsia="宋体" w:cs="宋体"/>
                <w:spacing w:val="5"/>
                <w:sz w:val="20"/>
                <w:szCs w:val="20"/>
              </w:rPr>
              <w:t>约束性</w:t>
            </w:r>
          </w:p>
        </w:tc>
      </w:tr>
      <w:tr w14:paraId="23630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tcBorders>
            <w:vAlign w:val="top"/>
          </w:tcPr>
          <w:p w14:paraId="798CDCFB">
            <w:pPr>
              <w:rPr>
                <w:rFonts w:ascii="Arial"/>
                <w:sz w:val="21"/>
              </w:rPr>
            </w:pPr>
          </w:p>
        </w:tc>
        <w:tc>
          <w:tcPr>
            <w:tcW w:w="613" w:type="dxa"/>
            <w:vAlign w:val="top"/>
          </w:tcPr>
          <w:p w14:paraId="6504F9A3">
            <w:pPr>
              <w:pStyle w:val="6"/>
              <w:spacing w:before="59" w:line="274" w:lineRule="exact"/>
              <w:ind w:left="212"/>
            </w:pPr>
            <w:r>
              <w:rPr>
                <w:spacing w:val="-8"/>
                <w:position w:val="2"/>
              </w:rPr>
              <w:t>10</w:t>
            </w:r>
          </w:p>
        </w:tc>
        <w:tc>
          <w:tcPr>
            <w:tcW w:w="3605" w:type="dxa"/>
            <w:vAlign w:val="top"/>
          </w:tcPr>
          <w:p w14:paraId="61736D4B">
            <w:pPr>
              <w:pStyle w:val="6"/>
              <w:spacing w:before="59" w:line="274" w:lineRule="exact"/>
              <w:ind w:left="97"/>
              <w:rPr>
                <w:rFonts w:ascii="宋体" w:hAnsi="宋体" w:eastAsia="宋体" w:cs="宋体"/>
              </w:rPr>
            </w:pPr>
            <w:r>
              <w:rPr>
                <w:spacing w:val="8"/>
                <w:position w:val="1"/>
              </w:rPr>
              <w:t xml:space="preserve">30 </w:t>
            </w:r>
            <w:r>
              <w:rPr>
                <w:rFonts w:ascii="宋体" w:hAnsi="宋体" w:eastAsia="宋体" w:cs="宋体"/>
                <w:spacing w:val="8"/>
                <w:position w:val="1"/>
              </w:rPr>
              <w:t>户以上具备条件自然村通硬化路率</w:t>
            </w:r>
          </w:p>
        </w:tc>
        <w:tc>
          <w:tcPr>
            <w:tcW w:w="1111" w:type="dxa"/>
            <w:vAlign w:val="top"/>
          </w:tcPr>
          <w:p w14:paraId="7B90AF8E">
            <w:pPr>
              <w:pStyle w:val="6"/>
              <w:spacing w:before="59" w:line="274" w:lineRule="exact"/>
              <w:ind w:left="474"/>
            </w:pPr>
            <w:r>
              <w:rPr>
                <w:position w:val="2"/>
              </w:rPr>
              <w:t>%</w:t>
            </w:r>
          </w:p>
        </w:tc>
        <w:tc>
          <w:tcPr>
            <w:tcW w:w="1073" w:type="dxa"/>
            <w:vAlign w:val="top"/>
          </w:tcPr>
          <w:p w14:paraId="320B6261">
            <w:pPr>
              <w:pStyle w:val="6"/>
              <w:spacing w:before="59" w:line="274" w:lineRule="exact"/>
              <w:ind w:left="508"/>
            </w:pPr>
            <w:r>
              <w:rPr>
                <w:spacing w:val="2"/>
                <w:position w:val="1"/>
              </w:rPr>
              <w:t>/</w:t>
            </w:r>
          </w:p>
        </w:tc>
        <w:tc>
          <w:tcPr>
            <w:tcW w:w="1116" w:type="dxa"/>
            <w:vAlign w:val="top"/>
          </w:tcPr>
          <w:p w14:paraId="756C2D8F">
            <w:pPr>
              <w:pStyle w:val="6"/>
              <w:spacing w:before="103" w:line="195" w:lineRule="auto"/>
              <w:ind w:left="466"/>
            </w:pPr>
            <w:r>
              <w:t>65</w:t>
            </w:r>
          </w:p>
        </w:tc>
        <w:tc>
          <w:tcPr>
            <w:tcW w:w="843" w:type="dxa"/>
            <w:tcBorders>
              <w:right w:val="single" w:color="000000" w:sz="10" w:space="0"/>
            </w:tcBorders>
            <w:vAlign w:val="top"/>
          </w:tcPr>
          <w:p w14:paraId="3E0548C7">
            <w:pPr>
              <w:spacing w:before="90" w:line="228" w:lineRule="auto"/>
              <w:ind w:left="118"/>
              <w:rPr>
                <w:rFonts w:ascii="宋体" w:hAnsi="宋体" w:eastAsia="宋体" w:cs="宋体"/>
                <w:sz w:val="20"/>
                <w:szCs w:val="20"/>
              </w:rPr>
            </w:pPr>
            <w:r>
              <w:rPr>
                <w:rFonts w:ascii="宋体" w:hAnsi="宋体" w:eastAsia="宋体" w:cs="宋体"/>
                <w:spacing w:val="5"/>
                <w:sz w:val="20"/>
                <w:szCs w:val="20"/>
              </w:rPr>
              <w:t>约束性</w:t>
            </w:r>
          </w:p>
        </w:tc>
      </w:tr>
      <w:tr w14:paraId="03000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restart"/>
            <w:tcBorders>
              <w:left w:val="single" w:color="000000" w:sz="10" w:space="0"/>
              <w:bottom w:val="nil"/>
            </w:tcBorders>
            <w:vAlign w:val="top"/>
          </w:tcPr>
          <w:p w14:paraId="50FD8D76">
            <w:pPr>
              <w:spacing w:line="447" w:lineRule="auto"/>
              <w:rPr>
                <w:rFonts w:ascii="Arial"/>
                <w:sz w:val="21"/>
              </w:rPr>
            </w:pPr>
          </w:p>
          <w:p w14:paraId="30FB9CCD">
            <w:pPr>
              <w:spacing w:before="65" w:line="294" w:lineRule="auto"/>
              <w:ind w:left="108" w:right="116"/>
              <w:rPr>
                <w:rFonts w:ascii="宋体" w:hAnsi="宋体" w:eastAsia="宋体" w:cs="宋体"/>
                <w:sz w:val="20"/>
                <w:szCs w:val="20"/>
              </w:rPr>
            </w:pPr>
            <w:r>
              <w:rPr>
                <w:rFonts w:ascii="宋体" w:hAnsi="宋体" w:eastAsia="宋体" w:cs="宋体"/>
                <w:spacing w:val="4"/>
                <w:sz w:val="20"/>
                <w:szCs w:val="20"/>
              </w:rPr>
              <w:t>运输服务</w:t>
            </w:r>
          </w:p>
        </w:tc>
        <w:tc>
          <w:tcPr>
            <w:tcW w:w="613" w:type="dxa"/>
            <w:vAlign w:val="top"/>
          </w:tcPr>
          <w:p w14:paraId="64A49159">
            <w:pPr>
              <w:pStyle w:val="6"/>
              <w:spacing w:before="60" w:line="274" w:lineRule="exact"/>
              <w:ind w:left="214"/>
            </w:pPr>
            <w:r>
              <w:rPr>
                <w:spacing w:val="-10"/>
                <w:position w:val="1"/>
              </w:rPr>
              <w:t>11</w:t>
            </w:r>
          </w:p>
        </w:tc>
        <w:tc>
          <w:tcPr>
            <w:tcW w:w="3605" w:type="dxa"/>
            <w:vAlign w:val="top"/>
          </w:tcPr>
          <w:p w14:paraId="17E69307">
            <w:pPr>
              <w:pStyle w:val="6"/>
              <w:spacing w:before="90" w:line="221" w:lineRule="auto"/>
              <w:ind w:left="738"/>
            </w:pPr>
            <w:r>
              <w:rPr>
                <w:rFonts w:ascii="宋体" w:hAnsi="宋体" w:eastAsia="宋体" w:cs="宋体"/>
                <w:spacing w:val="9"/>
              </w:rPr>
              <w:t>高速公路优等路率</w:t>
            </w:r>
            <w:r>
              <w:rPr>
                <w:rFonts w:ascii="宋体" w:hAnsi="宋体" w:eastAsia="宋体" w:cs="宋体"/>
                <w:spacing w:val="-38"/>
              </w:rPr>
              <w:t xml:space="preserve"> </w:t>
            </w:r>
            <w:r>
              <w:t>MQI</w:t>
            </w:r>
          </w:p>
        </w:tc>
        <w:tc>
          <w:tcPr>
            <w:tcW w:w="1111" w:type="dxa"/>
            <w:vAlign w:val="top"/>
          </w:tcPr>
          <w:p w14:paraId="67A6CF6B">
            <w:pPr>
              <w:pStyle w:val="6"/>
              <w:spacing w:before="60" w:line="274" w:lineRule="exact"/>
              <w:ind w:left="474"/>
            </w:pPr>
            <w:r>
              <w:rPr>
                <w:position w:val="2"/>
              </w:rPr>
              <w:t>%</w:t>
            </w:r>
          </w:p>
        </w:tc>
        <w:tc>
          <w:tcPr>
            <w:tcW w:w="1073" w:type="dxa"/>
            <w:vAlign w:val="top"/>
          </w:tcPr>
          <w:p w14:paraId="15B4CADA">
            <w:pPr>
              <w:pStyle w:val="6"/>
              <w:spacing w:before="60" w:line="274" w:lineRule="exact"/>
              <w:ind w:left="508"/>
            </w:pPr>
            <w:r>
              <w:rPr>
                <w:spacing w:val="2"/>
                <w:position w:val="1"/>
              </w:rPr>
              <w:t>/</w:t>
            </w:r>
          </w:p>
        </w:tc>
        <w:tc>
          <w:tcPr>
            <w:tcW w:w="1116" w:type="dxa"/>
            <w:vAlign w:val="top"/>
          </w:tcPr>
          <w:p w14:paraId="099CFE4B">
            <w:pPr>
              <w:pStyle w:val="6"/>
              <w:spacing w:before="60" w:line="274" w:lineRule="exact"/>
              <w:ind w:left="228"/>
              <w:rPr>
                <w:rFonts w:ascii="宋体" w:hAnsi="宋体" w:eastAsia="宋体" w:cs="宋体"/>
              </w:rPr>
            </w:pPr>
            <w:r>
              <w:rPr>
                <w:spacing w:val="-4"/>
                <w:position w:val="1"/>
              </w:rPr>
              <w:t>90</w:t>
            </w:r>
            <w:r>
              <w:rPr>
                <w:spacing w:val="36"/>
                <w:position w:val="1"/>
              </w:rPr>
              <w:t xml:space="preserve"> </w:t>
            </w:r>
            <w:r>
              <w:rPr>
                <w:rFonts w:ascii="宋体" w:hAnsi="宋体" w:eastAsia="宋体" w:cs="宋体"/>
                <w:spacing w:val="-4"/>
                <w:position w:val="1"/>
              </w:rPr>
              <w:t>以上</w:t>
            </w:r>
          </w:p>
        </w:tc>
        <w:tc>
          <w:tcPr>
            <w:tcW w:w="843" w:type="dxa"/>
            <w:tcBorders>
              <w:right w:val="single" w:color="000000" w:sz="10" w:space="0"/>
            </w:tcBorders>
            <w:vAlign w:val="top"/>
          </w:tcPr>
          <w:p w14:paraId="72A33596">
            <w:pPr>
              <w:spacing w:before="91" w:line="228" w:lineRule="auto"/>
              <w:ind w:left="118"/>
              <w:rPr>
                <w:rFonts w:ascii="宋体" w:hAnsi="宋体" w:eastAsia="宋体" w:cs="宋体"/>
                <w:sz w:val="20"/>
                <w:szCs w:val="20"/>
              </w:rPr>
            </w:pPr>
            <w:r>
              <w:rPr>
                <w:rFonts w:ascii="宋体" w:hAnsi="宋体" w:eastAsia="宋体" w:cs="宋体"/>
                <w:spacing w:val="5"/>
                <w:sz w:val="20"/>
                <w:szCs w:val="20"/>
              </w:rPr>
              <w:t>约束性</w:t>
            </w:r>
          </w:p>
        </w:tc>
      </w:tr>
      <w:tr w14:paraId="4BADD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66E98DAD">
            <w:pPr>
              <w:rPr>
                <w:rFonts w:ascii="Arial"/>
                <w:sz w:val="21"/>
              </w:rPr>
            </w:pPr>
          </w:p>
        </w:tc>
        <w:tc>
          <w:tcPr>
            <w:tcW w:w="613" w:type="dxa"/>
            <w:vAlign w:val="top"/>
          </w:tcPr>
          <w:p w14:paraId="755E394A">
            <w:pPr>
              <w:pStyle w:val="6"/>
              <w:spacing w:before="60" w:line="275" w:lineRule="exact"/>
              <w:ind w:left="212"/>
            </w:pPr>
            <w:r>
              <w:rPr>
                <w:spacing w:val="-8"/>
                <w:position w:val="1"/>
              </w:rPr>
              <w:t>12</w:t>
            </w:r>
          </w:p>
        </w:tc>
        <w:tc>
          <w:tcPr>
            <w:tcW w:w="3605" w:type="dxa"/>
            <w:vAlign w:val="top"/>
          </w:tcPr>
          <w:p w14:paraId="460E0C16">
            <w:pPr>
              <w:pStyle w:val="6"/>
              <w:spacing w:before="91" w:line="221" w:lineRule="auto"/>
              <w:ind w:left="731"/>
            </w:pPr>
            <w:r>
              <w:rPr>
                <w:rFonts w:ascii="宋体" w:hAnsi="宋体" w:eastAsia="宋体" w:cs="宋体"/>
                <w:spacing w:val="10"/>
              </w:rPr>
              <w:t>普通国道优良路率</w:t>
            </w:r>
            <w:r>
              <w:rPr>
                <w:rFonts w:ascii="宋体" w:hAnsi="宋体" w:eastAsia="宋体" w:cs="宋体"/>
                <w:spacing w:val="-39"/>
              </w:rPr>
              <w:t xml:space="preserve"> </w:t>
            </w:r>
            <w:r>
              <w:t>MQI</w:t>
            </w:r>
          </w:p>
        </w:tc>
        <w:tc>
          <w:tcPr>
            <w:tcW w:w="1111" w:type="dxa"/>
            <w:vAlign w:val="top"/>
          </w:tcPr>
          <w:p w14:paraId="3E008310">
            <w:pPr>
              <w:pStyle w:val="6"/>
              <w:spacing w:before="60" w:line="275" w:lineRule="exact"/>
              <w:ind w:left="474"/>
            </w:pPr>
            <w:r>
              <w:rPr>
                <w:position w:val="2"/>
              </w:rPr>
              <w:t>%</w:t>
            </w:r>
          </w:p>
        </w:tc>
        <w:tc>
          <w:tcPr>
            <w:tcW w:w="1073" w:type="dxa"/>
            <w:vAlign w:val="top"/>
          </w:tcPr>
          <w:p w14:paraId="63C9F525">
            <w:pPr>
              <w:pStyle w:val="6"/>
              <w:spacing w:before="60" w:line="275" w:lineRule="exact"/>
              <w:ind w:left="508"/>
            </w:pPr>
            <w:r>
              <w:rPr>
                <w:spacing w:val="2"/>
                <w:position w:val="1"/>
              </w:rPr>
              <w:t>/</w:t>
            </w:r>
          </w:p>
        </w:tc>
        <w:tc>
          <w:tcPr>
            <w:tcW w:w="1116" w:type="dxa"/>
            <w:vAlign w:val="top"/>
          </w:tcPr>
          <w:p w14:paraId="627A570C">
            <w:pPr>
              <w:pStyle w:val="6"/>
              <w:spacing w:before="60" w:line="275" w:lineRule="exact"/>
              <w:ind w:left="233"/>
              <w:rPr>
                <w:rFonts w:ascii="宋体" w:hAnsi="宋体" w:eastAsia="宋体" w:cs="宋体"/>
              </w:rPr>
            </w:pPr>
            <w:r>
              <w:rPr>
                <w:spacing w:val="-5"/>
                <w:position w:val="1"/>
              </w:rPr>
              <w:t>85</w:t>
            </w:r>
            <w:r>
              <w:rPr>
                <w:spacing w:val="35"/>
                <w:w w:val="101"/>
                <w:position w:val="1"/>
              </w:rPr>
              <w:t xml:space="preserve"> </w:t>
            </w:r>
            <w:r>
              <w:rPr>
                <w:rFonts w:ascii="宋体" w:hAnsi="宋体" w:eastAsia="宋体" w:cs="宋体"/>
                <w:spacing w:val="-5"/>
                <w:position w:val="1"/>
              </w:rPr>
              <w:t>以上</w:t>
            </w:r>
          </w:p>
        </w:tc>
        <w:tc>
          <w:tcPr>
            <w:tcW w:w="843" w:type="dxa"/>
            <w:tcBorders>
              <w:right w:val="single" w:color="000000" w:sz="10" w:space="0"/>
            </w:tcBorders>
            <w:vAlign w:val="top"/>
          </w:tcPr>
          <w:p w14:paraId="3D3836D9">
            <w:pPr>
              <w:spacing w:before="92" w:line="228" w:lineRule="auto"/>
              <w:ind w:left="118"/>
              <w:rPr>
                <w:rFonts w:ascii="宋体" w:hAnsi="宋体" w:eastAsia="宋体" w:cs="宋体"/>
                <w:sz w:val="20"/>
                <w:szCs w:val="20"/>
              </w:rPr>
            </w:pPr>
            <w:r>
              <w:rPr>
                <w:rFonts w:ascii="宋体" w:hAnsi="宋体" w:eastAsia="宋体" w:cs="宋体"/>
                <w:spacing w:val="5"/>
                <w:sz w:val="20"/>
                <w:szCs w:val="20"/>
              </w:rPr>
              <w:t>约束性</w:t>
            </w:r>
          </w:p>
        </w:tc>
      </w:tr>
      <w:tr w14:paraId="099D6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2BF403F1">
            <w:pPr>
              <w:rPr>
                <w:rFonts w:ascii="Arial"/>
                <w:sz w:val="21"/>
              </w:rPr>
            </w:pPr>
          </w:p>
        </w:tc>
        <w:tc>
          <w:tcPr>
            <w:tcW w:w="613" w:type="dxa"/>
            <w:vAlign w:val="top"/>
          </w:tcPr>
          <w:p w14:paraId="31F4C3F1">
            <w:pPr>
              <w:pStyle w:val="6"/>
              <w:spacing w:before="61" w:line="274" w:lineRule="exact"/>
              <w:ind w:left="212"/>
            </w:pPr>
            <w:r>
              <w:rPr>
                <w:spacing w:val="-8"/>
                <w:position w:val="2"/>
              </w:rPr>
              <w:t>13</w:t>
            </w:r>
          </w:p>
        </w:tc>
        <w:tc>
          <w:tcPr>
            <w:tcW w:w="3605" w:type="dxa"/>
            <w:vAlign w:val="top"/>
          </w:tcPr>
          <w:p w14:paraId="09D300F0">
            <w:pPr>
              <w:pStyle w:val="6"/>
              <w:spacing w:before="92" w:line="221" w:lineRule="auto"/>
              <w:ind w:left="731"/>
            </w:pPr>
            <w:r>
              <w:rPr>
                <w:rFonts w:ascii="宋体" w:hAnsi="宋体" w:eastAsia="宋体" w:cs="宋体"/>
                <w:spacing w:val="10"/>
              </w:rPr>
              <w:t>普通省道优良路率</w:t>
            </w:r>
            <w:r>
              <w:rPr>
                <w:rFonts w:ascii="宋体" w:hAnsi="宋体" w:eastAsia="宋体" w:cs="宋体"/>
                <w:spacing w:val="-39"/>
              </w:rPr>
              <w:t xml:space="preserve"> </w:t>
            </w:r>
            <w:r>
              <w:t>MQI</w:t>
            </w:r>
          </w:p>
        </w:tc>
        <w:tc>
          <w:tcPr>
            <w:tcW w:w="1111" w:type="dxa"/>
            <w:vAlign w:val="top"/>
          </w:tcPr>
          <w:p w14:paraId="17B361B7">
            <w:pPr>
              <w:pStyle w:val="6"/>
              <w:spacing w:before="61" w:line="274" w:lineRule="exact"/>
              <w:ind w:left="474"/>
            </w:pPr>
            <w:r>
              <w:rPr>
                <w:position w:val="2"/>
              </w:rPr>
              <w:t>%</w:t>
            </w:r>
          </w:p>
        </w:tc>
        <w:tc>
          <w:tcPr>
            <w:tcW w:w="1073" w:type="dxa"/>
            <w:vAlign w:val="top"/>
          </w:tcPr>
          <w:p w14:paraId="693B6EF4">
            <w:pPr>
              <w:pStyle w:val="6"/>
              <w:spacing w:before="61" w:line="274" w:lineRule="exact"/>
              <w:ind w:left="508"/>
            </w:pPr>
            <w:r>
              <w:rPr>
                <w:spacing w:val="2"/>
                <w:position w:val="1"/>
              </w:rPr>
              <w:t>/</w:t>
            </w:r>
          </w:p>
        </w:tc>
        <w:tc>
          <w:tcPr>
            <w:tcW w:w="1116" w:type="dxa"/>
            <w:vAlign w:val="top"/>
          </w:tcPr>
          <w:p w14:paraId="089D04D8">
            <w:pPr>
              <w:pStyle w:val="6"/>
              <w:spacing w:before="61" w:line="274" w:lineRule="exact"/>
              <w:ind w:left="233"/>
              <w:rPr>
                <w:rFonts w:ascii="宋体" w:hAnsi="宋体" w:eastAsia="宋体" w:cs="宋体"/>
              </w:rPr>
            </w:pPr>
            <w:r>
              <w:rPr>
                <w:spacing w:val="-5"/>
                <w:position w:val="1"/>
              </w:rPr>
              <w:t>80</w:t>
            </w:r>
            <w:r>
              <w:rPr>
                <w:spacing w:val="35"/>
                <w:w w:val="101"/>
                <w:position w:val="1"/>
              </w:rPr>
              <w:t xml:space="preserve"> </w:t>
            </w:r>
            <w:r>
              <w:rPr>
                <w:rFonts w:ascii="宋体" w:hAnsi="宋体" w:eastAsia="宋体" w:cs="宋体"/>
                <w:spacing w:val="-5"/>
                <w:position w:val="1"/>
              </w:rPr>
              <w:t>以上</w:t>
            </w:r>
          </w:p>
        </w:tc>
        <w:tc>
          <w:tcPr>
            <w:tcW w:w="843" w:type="dxa"/>
            <w:tcBorders>
              <w:right w:val="single" w:color="000000" w:sz="10" w:space="0"/>
            </w:tcBorders>
            <w:vAlign w:val="top"/>
          </w:tcPr>
          <w:p w14:paraId="75E1BA85">
            <w:pPr>
              <w:spacing w:before="95" w:line="229" w:lineRule="auto"/>
              <w:ind w:left="114"/>
              <w:rPr>
                <w:rFonts w:ascii="宋体" w:hAnsi="宋体" w:eastAsia="宋体" w:cs="宋体"/>
                <w:sz w:val="20"/>
                <w:szCs w:val="20"/>
              </w:rPr>
            </w:pPr>
            <w:r>
              <w:rPr>
                <w:rFonts w:ascii="宋体" w:hAnsi="宋体" w:eastAsia="宋体" w:cs="宋体"/>
                <w:spacing w:val="5"/>
                <w:sz w:val="20"/>
                <w:szCs w:val="20"/>
              </w:rPr>
              <w:t>预期性</w:t>
            </w:r>
          </w:p>
        </w:tc>
      </w:tr>
      <w:tr w14:paraId="65122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tcBorders>
            <w:vAlign w:val="top"/>
          </w:tcPr>
          <w:p w14:paraId="4EF20115">
            <w:pPr>
              <w:rPr>
                <w:rFonts w:ascii="Arial"/>
                <w:sz w:val="21"/>
              </w:rPr>
            </w:pPr>
          </w:p>
        </w:tc>
        <w:tc>
          <w:tcPr>
            <w:tcW w:w="613" w:type="dxa"/>
            <w:vAlign w:val="top"/>
          </w:tcPr>
          <w:p w14:paraId="6D47FABA">
            <w:pPr>
              <w:pStyle w:val="6"/>
              <w:spacing w:before="62" w:line="274" w:lineRule="exact"/>
              <w:ind w:left="212"/>
            </w:pPr>
            <w:r>
              <w:rPr>
                <w:spacing w:val="-8"/>
                <w:position w:val="1"/>
              </w:rPr>
              <w:t>14</w:t>
            </w:r>
          </w:p>
        </w:tc>
        <w:tc>
          <w:tcPr>
            <w:tcW w:w="3605" w:type="dxa"/>
            <w:vAlign w:val="top"/>
          </w:tcPr>
          <w:p w14:paraId="71E93D3F">
            <w:pPr>
              <w:pStyle w:val="6"/>
              <w:spacing w:before="93" w:line="221" w:lineRule="auto"/>
              <w:ind w:left="523"/>
            </w:pPr>
            <w:r>
              <w:rPr>
                <w:rFonts w:ascii="宋体" w:hAnsi="宋体" w:eastAsia="宋体" w:cs="宋体"/>
                <w:spacing w:val="10"/>
              </w:rPr>
              <w:t>农村公路优良中等路率</w:t>
            </w:r>
            <w:r>
              <w:rPr>
                <w:rFonts w:ascii="宋体" w:hAnsi="宋体" w:eastAsia="宋体" w:cs="宋体"/>
                <w:spacing w:val="-43"/>
              </w:rPr>
              <w:t xml:space="preserve"> </w:t>
            </w:r>
            <w:r>
              <w:t>MQI</w:t>
            </w:r>
          </w:p>
        </w:tc>
        <w:tc>
          <w:tcPr>
            <w:tcW w:w="1111" w:type="dxa"/>
            <w:vAlign w:val="top"/>
          </w:tcPr>
          <w:p w14:paraId="180094C9">
            <w:pPr>
              <w:pStyle w:val="6"/>
              <w:spacing w:before="62" w:line="274" w:lineRule="exact"/>
              <w:ind w:left="474"/>
            </w:pPr>
            <w:r>
              <w:rPr>
                <w:position w:val="2"/>
              </w:rPr>
              <w:t>%</w:t>
            </w:r>
          </w:p>
        </w:tc>
        <w:tc>
          <w:tcPr>
            <w:tcW w:w="1073" w:type="dxa"/>
            <w:vAlign w:val="top"/>
          </w:tcPr>
          <w:p w14:paraId="5746071B">
            <w:pPr>
              <w:pStyle w:val="6"/>
              <w:spacing w:before="62" w:line="274" w:lineRule="exact"/>
              <w:ind w:left="508"/>
            </w:pPr>
            <w:r>
              <w:rPr>
                <w:spacing w:val="2"/>
                <w:position w:val="1"/>
              </w:rPr>
              <w:t>/</w:t>
            </w:r>
          </w:p>
        </w:tc>
        <w:tc>
          <w:tcPr>
            <w:tcW w:w="1116" w:type="dxa"/>
            <w:vAlign w:val="top"/>
          </w:tcPr>
          <w:p w14:paraId="6E96FADA">
            <w:pPr>
              <w:pStyle w:val="6"/>
              <w:spacing w:before="86" w:line="231" w:lineRule="auto"/>
              <w:ind w:left="233"/>
              <w:rPr>
                <w:rFonts w:ascii="宋体" w:hAnsi="宋体" w:eastAsia="宋体" w:cs="宋体"/>
              </w:rPr>
            </w:pPr>
            <w:r>
              <w:rPr>
                <w:spacing w:val="-3"/>
              </w:rPr>
              <w:t>85</w:t>
            </w:r>
            <w:r>
              <w:rPr>
                <w:spacing w:val="33"/>
                <w:w w:val="101"/>
              </w:rPr>
              <w:t xml:space="preserve"> </w:t>
            </w:r>
            <w:r>
              <w:rPr>
                <w:rFonts w:ascii="宋体" w:hAnsi="宋体" w:eastAsia="宋体" w:cs="宋体"/>
                <w:spacing w:val="-3"/>
              </w:rPr>
              <w:t>以上</w:t>
            </w:r>
          </w:p>
        </w:tc>
        <w:tc>
          <w:tcPr>
            <w:tcW w:w="843" w:type="dxa"/>
            <w:tcBorders>
              <w:right w:val="single" w:color="000000" w:sz="10" w:space="0"/>
            </w:tcBorders>
            <w:vAlign w:val="top"/>
          </w:tcPr>
          <w:p w14:paraId="3F49997D">
            <w:pPr>
              <w:spacing w:before="93"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0B718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652" w:type="dxa"/>
            <w:vMerge w:val="restart"/>
            <w:tcBorders>
              <w:left w:val="single" w:color="000000" w:sz="10" w:space="0"/>
              <w:bottom w:val="nil"/>
            </w:tcBorders>
            <w:vAlign w:val="top"/>
          </w:tcPr>
          <w:p w14:paraId="40B5D2C4">
            <w:pPr>
              <w:spacing w:line="324" w:lineRule="auto"/>
              <w:rPr>
                <w:rFonts w:ascii="Arial"/>
                <w:sz w:val="21"/>
              </w:rPr>
            </w:pPr>
          </w:p>
          <w:p w14:paraId="0140123E">
            <w:pPr>
              <w:spacing w:line="325" w:lineRule="auto"/>
              <w:rPr>
                <w:rFonts w:ascii="Arial"/>
                <w:sz w:val="21"/>
              </w:rPr>
            </w:pPr>
          </w:p>
          <w:p w14:paraId="27FBDF25">
            <w:pPr>
              <w:spacing w:before="65" w:line="296" w:lineRule="auto"/>
              <w:ind w:left="111" w:right="116" w:hanging="1"/>
              <w:rPr>
                <w:rFonts w:ascii="宋体" w:hAnsi="宋体" w:eastAsia="宋体" w:cs="宋体"/>
                <w:sz w:val="20"/>
                <w:szCs w:val="20"/>
              </w:rPr>
            </w:pPr>
            <w:r>
              <w:rPr>
                <w:rFonts w:ascii="宋体" w:hAnsi="宋体" w:eastAsia="宋体" w:cs="宋体"/>
                <w:spacing w:val="3"/>
                <w:sz w:val="20"/>
                <w:szCs w:val="20"/>
              </w:rPr>
              <w:t>绿色发展</w:t>
            </w:r>
          </w:p>
        </w:tc>
        <w:tc>
          <w:tcPr>
            <w:tcW w:w="613" w:type="dxa"/>
            <w:vAlign w:val="top"/>
          </w:tcPr>
          <w:p w14:paraId="3D830AF1">
            <w:pPr>
              <w:pStyle w:val="6"/>
              <w:spacing w:before="195" w:line="274" w:lineRule="exact"/>
              <w:ind w:left="212"/>
            </w:pPr>
            <w:r>
              <w:rPr>
                <w:spacing w:val="-8"/>
                <w:position w:val="2"/>
              </w:rPr>
              <w:t>15</w:t>
            </w:r>
          </w:p>
        </w:tc>
        <w:tc>
          <w:tcPr>
            <w:tcW w:w="3605" w:type="dxa"/>
            <w:vAlign w:val="top"/>
          </w:tcPr>
          <w:p w14:paraId="7B762E97">
            <w:pPr>
              <w:pStyle w:val="6"/>
              <w:spacing w:before="67" w:line="259" w:lineRule="auto"/>
              <w:ind w:left="909" w:right="122" w:hanging="780"/>
              <w:rPr>
                <w:rFonts w:ascii="宋体" w:hAnsi="宋体" w:eastAsia="宋体" w:cs="宋体"/>
              </w:rPr>
            </w:pPr>
            <w:r>
              <w:rPr>
                <w:rFonts w:ascii="宋体" w:hAnsi="宋体" w:eastAsia="宋体" w:cs="宋体"/>
                <w:spacing w:val="8"/>
              </w:rPr>
              <w:t>营运车辆单位运输周转量二氧化碳排</w:t>
            </w:r>
            <w:r>
              <w:rPr>
                <w:rFonts w:ascii="宋体" w:hAnsi="宋体" w:eastAsia="宋体" w:cs="宋体"/>
                <w:spacing w:val="5"/>
              </w:rPr>
              <w:t>放较</w:t>
            </w:r>
            <w:r>
              <w:rPr>
                <w:rFonts w:ascii="宋体" w:hAnsi="宋体" w:eastAsia="宋体" w:cs="宋体"/>
                <w:spacing w:val="-31"/>
              </w:rPr>
              <w:t xml:space="preserve"> </w:t>
            </w:r>
            <w:r>
              <w:rPr>
                <w:spacing w:val="5"/>
              </w:rPr>
              <w:t xml:space="preserve">2020 </w:t>
            </w:r>
            <w:r>
              <w:rPr>
                <w:rFonts w:ascii="宋体" w:hAnsi="宋体" w:eastAsia="宋体" w:cs="宋体"/>
                <w:spacing w:val="5"/>
              </w:rPr>
              <w:t>年下降率</w:t>
            </w:r>
          </w:p>
        </w:tc>
        <w:tc>
          <w:tcPr>
            <w:tcW w:w="1111" w:type="dxa"/>
            <w:vAlign w:val="top"/>
          </w:tcPr>
          <w:p w14:paraId="79E3820B">
            <w:pPr>
              <w:pStyle w:val="6"/>
              <w:spacing w:before="195" w:line="274" w:lineRule="exact"/>
              <w:ind w:left="474"/>
            </w:pPr>
            <w:r>
              <w:rPr>
                <w:position w:val="2"/>
              </w:rPr>
              <w:t>%</w:t>
            </w:r>
          </w:p>
        </w:tc>
        <w:tc>
          <w:tcPr>
            <w:tcW w:w="1073" w:type="dxa"/>
            <w:vAlign w:val="top"/>
          </w:tcPr>
          <w:p w14:paraId="626B1961">
            <w:pPr>
              <w:pStyle w:val="6"/>
              <w:spacing w:before="195" w:line="274" w:lineRule="exact"/>
              <w:ind w:left="508"/>
            </w:pPr>
            <w:r>
              <w:rPr>
                <w:spacing w:val="2"/>
                <w:position w:val="1"/>
              </w:rPr>
              <w:t>/</w:t>
            </w:r>
          </w:p>
        </w:tc>
        <w:tc>
          <w:tcPr>
            <w:tcW w:w="1116" w:type="dxa"/>
            <w:vAlign w:val="top"/>
          </w:tcPr>
          <w:p w14:paraId="42ED3839">
            <w:pPr>
              <w:pStyle w:val="6"/>
              <w:spacing w:before="195" w:line="274" w:lineRule="exact"/>
              <w:ind w:left="441"/>
            </w:pPr>
            <w:r>
              <w:rPr>
                <w:position w:val="2"/>
              </w:rPr>
              <w:t>5.0</w:t>
            </w:r>
          </w:p>
        </w:tc>
        <w:tc>
          <w:tcPr>
            <w:tcW w:w="843" w:type="dxa"/>
            <w:tcBorders>
              <w:right w:val="single" w:color="000000" w:sz="10" w:space="0"/>
            </w:tcBorders>
            <w:vAlign w:val="top"/>
          </w:tcPr>
          <w:p w14:paraId="26840883">
            <w:pPr>
              <w:spacing w:before="226"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1EE1A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652" w:type="dxa"/>
            <w:vMerge w:val="continue"/>
            <w:tcBorders>
              <w:top w:val="nil"/>
              <w:left w:val="single" w:color="000000" w:sz="10" w:space="0"/>
              <w:bottom w:val="nil"/>
            </w:tcBorders>
            <w:vAlign w:val="top"/>
          </w:tcPr>
          <w:p w14:paraId="0C9E9EAD">
            <w:pPr>
              <w:rPr>
                <w:rFonts w:ascii="Arial"/>
                <w:sz w:val="21"/>
              </w:rPr>
            </w:pPr>
          </w:p>
        </w:tc>
        <w:tc>
          <w:tcPr>
            <w:tcW w:w="613" w:type="dxa"/>
            <w:vAlign w:val="top"/>
          </w:tcPr>
          <w:p w14:paraId="54D83A21">
            <w:pPr>
              <w:pStyle w:val="6"/>
              <w:spacing w:before="196" w:line="274" w:lineRule="exact"/>
              <w:ind w:left="212"/>
            </w:pPr>
            <w:r>
              <w:rPr>
                <w:spacing w:val="-8"/>
                <w:position w:val="2"/>
              </w:rPr>
              <w:t>16</w:t>
            </w:r>
          </w:p>
        </w:tc>
        <w:tc>
          <w:tcPr>
            <w:tcW w:w="3605" w:type="dxa"/>
            <w:vAlign w:val="top"/>
          </w:tcPr>
          <w:p w14:paraId="6B9C33AF">
            <w:pPr>
              <w:pStyle w:val="6"/>
              <w:spacing w:before="69" w:line="258" w:lineRule="auto"/>
              <w:ind w:left="909" w:right="122" w:hanging="780"/>
              <w:rPr>
                <w:rFonts w:ascii="宋体" w:hAnsi="宋体" w:eastAsia="宋体" w:cs="宋体"/>
              </w:rPr>
            </w:pPr>
            <w:r>
              <w:rPr>
                <w:rFonts w:ascii="宋体" w:hAnsi="宋体" w:eastAsia="宋体" w:cs="宋体"/>
                <w:spacing w:val="8"/>
              </w:rPr>
              <w:t>营运船舶单位运输周转量二氧化碳排</w:t>
            </w:r>
            <w:r>
              <w:rPr>
                <w:rFonts w:ascii="宋体" w:hAnsi="宋体" w:eastAsia="宋体" w:cs="宋体"/>
                <w:spacing w:val="5"/>
              </w:rPr>
              <w:t>放较</w:t>
            </w:r>
            <w:r>
              <w:rPr>
                <w:rFonts w:ascii="宋体" w:hAnsi="宋体" w:eastAsia="宋体" w:cs="宋体"/>
                <w:spacing w:val="-31"/>
              </w:rPr>
              <w:t xml:space="preserve"> </w:t>
            </w:r>
            <w:r>
              <w:rPr>
                <w:spacing w:val="5"/>
              </w:rPr>
              <w:t xml:space="preserve">2020 </w:t>
            </w:r>
            <w:r>
              <w:rPr>
                <w:rFonts w:ascii="宋体" w:hAnsi="宋体" w:eastAsia="宋体" w:cs="宋体"/>
                <w:spacing w:val="5"/>
              </w:rPr>
              <w:t>年下降率</w:t>
            </w:r>
          </w:p>
        </w:tc>
        <w:tc>
          <w:tcPr>
            <w:tcW w:w="1111" w:type="dxa"/>
            <w:vAlign w:val="top"/>
          </w:tcPr>
          <w:p w14:paraId="4D64CBA7">
            <w:pPr>
              <w:pStyle w:val="6"/>
              <w:spacing w:before="196" w:line="274" w:lineRule="exact"/>
              <w:ind w:left="474"/>
            </w:pPr>
            <w:r>
              <w:rPr>
                <w:position w:val="2"/>
              </w:rPr>
              <w:t>%</w:t>
            </w:r>
          </w:p>
        </w:tc>
        <w:tc>
          <w:tcPr>
            <w:tcW w:w="1073" w:type="dxa"/>
            <w:vAlign w:val="top"/>
          </w:tcPr>
          <w:p w14:paraId="4D678505">
            <w:pPr>
              <w:pStyle w:val="6"/>
              <w:spacing w:before="196" w:line="274" w:lineRule="exact"/>
              <w:ind w:left="508"/>
            </w:pPr>
            <w:r>
              <w:rPr>
                <w:spacing w:val="2"/>
                <w:position w:val="1"/>
              </w:rPr>
              <w:t>/</w:t>
            </w:r>
          </w:p>
        </w:tc>
        <w:tc>
          <w:tcPr>
            <w:tcW w:w="1116" w:type="dxa"/>
            <w:vAlign w:val="top"/>
          </w:tcPr>
          <w:p w14:paraId="73361D54">
            <w:pPr>
              <w:pStyle w:val="6"/>
              <w:spacing w:before="196" w:line="274" w:lineRule="exact"/>
              <w:ind w:left="440"/>
            </w:pPr>
            <w:r>
              <w:rPr>
                <w:spacing w:val="1"/>
                <w:position w:val="2"/>
              </w:rPr>
              <w:t>3.5</w:t>
            </w:r>
          </w:p>
        </w:tc>
        <w:tc>
          <w:tcPr>
            <w:tcW w:w="843" w:type="dxa"/>
            <w:tcBorders>
              <w:right w:val="single" w:color="000000" w:sz="10" w:space="0"/>
            </w:tcBorders>
            <w:vAlign w:val="top"/>
          </w:tcPr>
          <w:p w14:paraId="79122F86">
            <w:pPr>
              <w:spacing w:before="227"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5244D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652" w:type="dxa"/>
            <w:vMerge w:val="continue"/>
            <w:tcBorders>
              <w:top w:val="nil"/>
              <w:left w:val="single" w:color="000000" w:sz="10" w:space="0"/>
            </w:tcBorders>
            <w:vAlign w:val="top"/>
          </w:tcPr>
          <w:p w14:paraId="2EFAB7AC">
            <w:pPr>
              <w:rPr>
                <w:rFonts w:ascii="Arial"/>
                <w:sz w:val="21"/>
              </w:rPr>
            </w:pPr>
          </w:p>
        </w:tc>
        <w:tc>
          <w:tcPr>
            <w:tcW w:w="613" w:type="dxa"/>
            <w:vAlign w:val="top"/>
          </w:tcPr>
          <w:p w14:paraId="4A5D20E9">
            <w:pPr>
              <w:pStyle w:val="6"/>
              <w:spacing w:before="200" w:line="274" w:lineRule="exact"/>
              <w:ind w:left="212"/>
            </w:pPr>
            <w:r>
              <w:rPr>
                <w:spacing w:val="-8"/>
                <w:position w:val="2"/>
              </w:rPr>
              <w:t>17</w:t>
            </w:r>
          </w:p>
        </w:tc>
        <w:tc>
          <w:tcPr>
            <w:tcW w:w="3605" w:type="dxa"/>
            <w:vAlign w:val="top"/>
          </w:tcPr>
          <w:p w14:paraId="2D92BF96">
            <w:pPr>
              <w:spacing w:before="69" w:line="258" w:lineRule="auto"/>
              <w:ind w:left="337" w:right="21" w:hanging="315"/>
              <w:rPr>
                <w:rFonts w:ascii="宋体" w:hAnsi="宋体" w:eastAsia="宋体" w:cs="宋体"/>
                <w:sz w:val="20"/>
                <w:szCs w:val="20"/>
              </w:rPr>
            </w:pPr>
            <w:r>
              <w:rPr>
                <w:rFonts w:ascii="宋体" w:hAnsi="宋体" w:eastAsia="宋体" w:cs="宋体"/>
                <w:spacing w:val="8"/>
                <w:sz w:val="20"/>
                <w:szCs w:val="20"/>
              </w:rPr>
              <w:t>城市公交、出租汽车（含网约车）、城市物流配送领域新能源汽车占比</w:t>
            </w:r>
          </w:p>
        </w:tc>
        <w:tc>
          <w:tcPr>
            <w:tcW w:w="1111" w:type="dxa"/>
            <w:vAlign w:val="top"/>
          </w:tcPr>
          <w:p w14:paraId="56A83694">
            <w:pPr>
              <w:pStyle w:val="6"/>
              <w:spacing w:before="200" w:line="274" w:lineRule="exact"/>
              <w:ind w:left="474"/>
            </w:pPr>
            <w:r>
              <w:rPr>
                <w:position w:val="2"/>
              </w:rPr>
              <w:t>%</w:t>
            </w:r>
          </w:p>
        </w:tc>
        <w:tc>
          <w:tcPr>
            <w:tcW w:w="1073" w:type="dxa"/>
            <w:vAlign w:val="top"/>
          </w:tcPr>
          <w:p w14:paraId="63E90AB9">
            <w:pPr>
              <w:pStyle w:val="6"/>
              <w:spacing w:before="200" w:line="274" w:lineRule="exact"/>
              <w:ind w:left="508"/>
            </w:pPr>
            <w:r>
              <w:rPr>
                <w:spacing w:val="2"/>
                <w:position w:val="1"/>
              </w:rPr>
              <w:t>/</w:t>
            </w:r>
          </w:p>
        </w:tc>
        <w:tc>
          <w:tcPr>
            <w:tcW w:w="1116" w:type="dxa"/>
            <w:vAlign w:val="top"/>
          </w:tcPr>
          <w:p w14:paraId="6C331283">
            <w:pPr>
              <w:pStyle w:val="6"/>
              <w:spacing w:before="200" w:line="274" w:lineRule="exact"/>
              <w:ind w:left="45"/>
            </w:pPr>
            <w:r>
              <w:rPr>
                <w:spacing w:val="-1"/>
                <w:position w:val="2"/>
              </w:rPr>
              <w:t>72</w:t>
            </w:r>
            <w:r>
              <w:rPr>
                <w:spacing w:val="-23"/>
                <w:position w:val="2"/>
              </w:rPr>
              <w:t xml:space="preserve"> </w:t>
            </w:r>
            <w:r>
              <w:rPr>
                <w:rFonts w:ascii="宋体" w:hAnsi="宋体" w:eastAsia="宋体" w:cs="宋体"/>
                <w:spacing w:val="-1"/>
                <w:position w:val="2"/>
              </w:rPr>
              <w:t>、</w:t>
            </w:r>
            <w:r>
              <w:rPr>
                <w:spacing w:val="-1"/>
                <w:position w:val="2"/>
              </w:rPr>
              <w:t>35</w:t>
            </w:r>
            <w:r>
              <w:rPr>
                <w:spacing w:val="-28"/>
                <w:position w:val="2"/>
              </w:rPr>
              <w:t xml:space="preserve"> </w:t>
            </w:r>
            <w:r>
              <w:rPr>
                <w:rFonts w:ascii="宋体" w:hAnsi="宋体" w:eastAsia="宋体" w:cs="宋体"/>
                <w:spacing w:val="-1"/>
                <w:position w:val="2"/>
              </w:rPr>
              <w:t>、</w:t>
            </w:r>
            <w:r>
              <w:rPr>
                <w:spacing w:val="-1"/>
                <w:position w:val="2"/>
              </w:rPr>
              <w:t>20</w:t>
            </w:r>
          </w:p>
        </w:tc>
        <w:tc>
          <w:tcPr>
            <w:tcW w:w="843" w:type="dxa"/>
            <w:tcBorders>
              <w:right w:val="single" w:color="000000" w:sz="10" w:space="0"/>
            </w:tcBorders>
            <w:vAlign w:val="top"/>
          </w:tcPr>
          <w:p w14:paraId="7BEDF20F">
            <w:pPr>
              <w:spacing w:before="231"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55DAA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652" w:type="dxa"/>
            <w:vMerge w:val="restart"/>
            <w:tcBorders>
              <w:left w:val="single" w:color="000000" w:sz="10" w:space="0"/>
              <w:bottom w:val="nil"/>
            </w:tcBorders>
            <w:vAlign w:val="top"/>
          </w:tcPr>
          <w:p w14:paraId="59E5F123">
            <w:pPr>
              <w:spacing w:line="358" w:lineRule="auto"/>
              <w:rPr>
                <w:rFonts w:ascii="Arial"/>
                <w:sz w:val="21"/>
              </w:rPr>
            </w:pPr>
          </w:p>
          <w:p w14:paraId="35E2C442">
            <w:pPr>
              <w:spacing w:line="359" w:lineRule="auto"/>
              <w:rPr>
                <w:rFonts w:ascii="Arial"/>
                <w:sz w:val="21"/>
              </w:rPr>
            </w:pPr>
          </w:p>
          <w:p w14:paraId="7EE7202F">
            <w:pPr>
              <w:spacing w:before="65" w:line="296" w:lineRule="auto"/>
              <w:ind w:left="109" w:right="116" w:firstLine="3"/>
              <w:rPr>
                <w:rFonts w:ascii="宋体" w:hAnsi="宋体" w:eastAsia="宋体" w:cs="宋体"/>
                <w:sz w:val="20"/>
                <w:szCs w:val="20"/>
              </w:rPr>
            </w:pPr>
            <w:r>
              <w:rPr>
                <w:rFonts w:ascii="宋体" w:hAnsi="宋体" w:eastAsia="宋体" w:cs="宋体"/>
                <w:spacing w:val="2"/>
                <w:sz w:val="20"/>
                <w:szCs w:val="20"/>
              </w:rPr>
              <w:t>安全</w:t>
            </w:r>
            <w:r>
              <w:rPr>
                <w:rFonts w:ascii="宋体" w:hAnsi="宋体" w:eastAsia="宋体" w:cs="宋体"/>
                <w:spacing w:val="4"/>
                <w:sz w:val="20"/>
                <w:szCs w:val="20"/>
              </w:rPr>
              <w:t>便捷</w:t>
            </w:r>
          </w:p>
        </w:tc>
        <w:tc>
          <w:tcPr>
            <w:tcW w:w="613" w:type="dxa"/>
            <w:vAlign w:val="top"/>
          </w:tcPr>
          <w:p w14:paraId="79D46E93">
            <w:pPr>
              <w:pStyle w:val="6"/>
              <w:spacing w:before="201" w:line="275" w:lineRule="exact"/>
              <w:ind w:left="212"/>
            </w:pPr>
            <w:r>
              <w:rPr>
                <w:spacing w:val="-8"/>
                <w:position w:val="2"/>
              </w:rPr>
              <w:t>18</w:t>
            </w:r>
          </w:p>
        </w:tc>
        <w:tc>
          <w:tcPr>
            <w:tcW w:w="3605" w:type="dxa"/>
            <w:vAlign w:val="top"/>
          </w:tcPr>
          <w:p w14:paraId="27EB8ADB">
            <w:pPr>
              <w:spacing w:before="74" w:line="256" w:lineRule="auto"/>
              <w:ind w:left="751" w:right="23" w:hanging="726"/>
              <w:rPr>
                <w:rFonts w:ascii="宋体" w:hAnsi="宋体" w:eastAsia="宋体" w:cs="宋体"/>
                <w:sz w:val="20"/>
                <w:szCs w:val="20"/>
              </w:rPr>
            </w:pPr>
            <w:r>
              <w:rPr>
                <w:rFonts w:ascii="宋体" w:hAnsi="宋体" w:eastAsia="宋体" w:cs="宋体"/>
                <w:spacing w:val="8"/>
                <w:sz w:val="20"/>
                <w:szCs w:val="20"/>
              </w:rPr>
              <w:t>二级及以上道路客运站、省际和市际客运班线电子客票覆盖率</w:t>
            </w:r>
          </w:p>
        </w:tc>
        <w:tc>
          <w:tcPr>
            <w:tcW w:w="1111" w:type="dxa"/>
            <w:vAlign w:val="top"/>
          </w:tcPr>
          <w:p w14:paraId="2DC204AD">
            <w:pPr>
              <w:pStyle w:val="6"/>
              <w:spacing w:before="201" w:line="275" w:lineRule="exact"/>
              <w:ind w:left="474"/>
            </w:pPr>
            <w:r>
              <w:rPr>
                <w:position w:val="2"/>
              </w:rPr>
              <w:t>%</w:t>
            </w:r>
          </w:p>
        </w:tc>
        <w:tc>
          <w:tcPr>
            <w:tcW w:w="1073" w:type="dxa"/>
            <w:vAlign w:val="top"/>
          </w:tcPr>
          <w:p w14:paraId="43A35F47">
            <w:pPr>
              <w:pStyle w:val="6"/>
              <w:spacing w:before="201" w:line="275" w:lineRule="exact"/>
              <w:ind w:left="508"/>
            </w:pPr>
            <w:r>
              <w:rPr>
                <w:spacing w:val="2"/>
                <w:position w:val="1"/>
              </w:rPr>
              <w:t>/</w:t>
            </w:r>
          </w:p>
        </w:tc>
        <w:tc>
          <w:tcPr>
            <w:tcW w:w="1116" w:type="dxa"/>
            <w:vAlign w:val="top"/>
          </w:tcPr>
          <w:p w14:paraId="4FE91732">
            <w:pPr>
              <w:pStyle w:val="6"/>
              <w:spacing w:before="201" w:line="275" w:lineRule="exact"/>
              <w:ind w:left="255"/>
            </w:pPr>
            <w:r>
              <w:rPr>
                <w:spacing w:val="-1"/>
                <w:position w:val="2"/>
              </w:rPr>
              <w:t>99</w:t>
            </w:r>
            <w:r>
              <w:rPr>
                <w:spacing w:val="-25"/>
                <w:position w:val="2"/>
              </w:rPr>
              <w:t xml:space="preserve"> </w:t>
            </w:r>
            <w:r>
              <w:rPr>
                <w:rFonts w:ascii="宋体" w:hAnsi="宋体" w:eastAsia="宋体" w:cs="宋体"/>
                <w:spacing w:val="-1"/>
                <w:position w:val="2"/>
              </w:rPr>
              <w:t>、</w:t>
            </w:r>
            <w:r>
              <w:rPr>
                <w:spacing w:val="-1"/>
                <w:position w:val="2"/>
              </w:rPr>
              <w:t>80</w:t>
            </w:r>
          </w:p>
        </w:tc>
        <w:tc>
          <w:tcPr>
            <w:tcW w:w="843" w:type="dxa"/>
            <w:tcBorders>
              <w:right w:val="single" w:color="000000" w:sz="10" w:space="0"/>
            </w:tcBorders>
            <w:vAlign w:val="top"/>
          </w:tcPr>
          <w:p w14:paraId="2221DF5F">
            <w:pPr>
              <w:spacing w:before="232"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5EDFF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652" w:type="dxa"/>
            <w:vMerge w:val="continue"/>
            <w:tcBorders>
              <w:top w:val="nil"/>
              <w:left w:val="single" w:color="000000" w:sz="10" w:space="0"/>
              <w:bottom w:val="nil"/>
            </w:tcBorders>
            <w:vAlign w:val="top"/>
          </w:tcPr>
          <w:p w14:paraId="328DD41B">
            <w:pPr>
              <w:rPr>
                <w:rFonts w:ascii="Arial"/>
                <w:sz w:val="21"/>
              </w:rPr>
            </w:pPr>
          </w:p>
        </w:tc>
        <w:tc>
          <w:tcPr>
            <w:tcW w:w="613" w:type="dxa"/>
            <w:vAlign w:val="top"/>
          </w:tcPr>
          <w:p w14:paraId="5C0D851E">
            <w:pPr>
              <w:pStyle w:val="6"/>
              <w:spacing w:before="73" w:line="274" w:lineRule="exact"/>
              <w:ind w:left="212"/>
            </w:pPr>
            <w:r>
              <w:rPr>
                <w:spacing w:val="-8"/>
                <w:position w:val="2"/>
              </w:rPr>
              <w:t>19</w:t>
            </w:r>
          </w:p>
        </w:tc>
        <w:tc>
          <w:tcPr>
            <w:tcW w:w="3605" w:type="dxa"/>
            <w:vAlign w:val="top"/>
          </w:tcPr>
          <w:p w14:paraId="5EC6CCF7">
            <w:pPr>
              <w:spacing w:before="104" w:line="228" w:lineRule="auto"/>
              <w:ind w:left="227"/>
              <w:rPr>
                <w:rFonts w:ascii="宋体" w:hAnsi="宋体" w:eastAsia="宋体" w:cs="宋体"/>
                <w:sz w:val="20"/>
                <w:szCs w:val="20"/>
              </w:rPr>
            </w:pPr>
            <w:r>
              <w:rPr>
                <w:rFonts w:ascii="宋体" w:hAnsi="宋体" w:eastAsia="宋体" w:cs="宋体"/>
                <w:spacing w:val="9"/>
                <w:sz w:val="20"/>
                <w:szCs w:val="20"/>
              </w:rPr>
              <w:t>重点港口码头岸电配套设施覆盖率</w:t>
            </w:r>
          </w:p>
        </w:tc>
        <w:tc>
          <w:tcPr>
            <w:tcW w:w="1111" w:type="dxa"/>
            <w:vAlign w:val="top"/>
          </w:tcPr>
          <w:p w14:paraId="43C402C7">
            <w:pPr>
              <w:pStyle w:val="6"/>
              <w:spacing w:before="73" w:line="274" w:lineRule="exact"/>
              <w:ind w:left="474"/>
            </w:pPr>
            <w:r>
              <w:rPr>
                <w:position w:val="2"/>
              </w:rPr>
              <w:t>%</w:t>
            </w:r>
          </w:p>
        </w:tc>
        <w:tc>
          <w:tcPr>
            <w:tcW w:w="1073" w:type="dxa"/>
            <w:vAlign w:val="top"/>
          </w:tcPr>
          <w:p w14:paraId="5F848400">
            <w:pPr>
              <w:pStyle w:val="6"/>
              <w:spacing w:before="73" w:line="274" w:lineRule="exact"/>
              <w:ind w:left="508"/>
            </w:pPr>
            <w:r>
              <w:rPr>
                <w:spacing w:val="2"/>
                <w:position w:val="1"/>
              </w:rPr>
              <w:t>/</w:t>
            </w:r>
          </w:p>
        </w:tc>
        <w:tc>
          <w:tcPr>
            <w:tcW w:w="1116" w:type="dxa"/>
            <w:vAlign w:val="top"/>
          </w:tcPr>
          <w:p w14:paraId="6F57660E">
            <w:pPr>
              <w:pStyle w:val="6"/>
              <w:spacing w:before="73" w:line="274" w:lineRule="exact"/>
              <w:ind w:left="429"/>
            </w:pPr>
            <w:r>
              <w:rPr>
                <w:spacing w:val="-3"/>
                <w:position w:val="2"/>
              </w:rPr>
              <w:t>100</w:t>
            </w:r>
          </w:p>
        </w:tc>
        <w:tc>
          <w:tcPr>
            <w:tcW w:w="843" w:type="dxa"/>
            <w:tcBorders>
              <w:right w:val="single" w:color="000000" w:sz="10" w:space="0"/>
            </w:tcBorders>
            <w:vAlign w:val="top"/>
          </w:tcPr>
          <w:p w14:paraId="142349D6">
            <w:pPr>
              <w:spacing w:before="104" w:line="228" w:lineRule="auto"/>
              <w:ind w:left="118"/>
              <w:rPr>
                <w:rFonts w:ascii="宋体" w:hAnsi="宋体" w:eastAsia="宋体" w:cs="宋体"/>
                <w:sz w:val="20"/>
                <w:szCs w:val="20"/>
              </w:rPr>
            </w:pPr>
            <w:r>
              <w:rPr>
                <w:rFonts w:ascii="宋体" w:hAnsi="宋体" w:eastAsia="宋体" w:cs="宋体"/>
                <w:spacing w:val="5"/>
                <w:sz w:val="20"/>
                <w:szCs w:val="20"/>
              </w:rPr>
              <w:t>约束性</w:t>
            </w:r>
          </w:p>
        </w:tc>
      </w:tr>
      <w:tr w14:paraId="33D40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652" w:type="dxa"/>
            <w:vMerge w:val="continue"/>
            <w:tcBorders>
              <w:top w:val="nil"/>
              <w:left w:val="single" w:color="000000" w:sz="10" w:space="0"/>
              <w:bottom w:val="nil"/>
            </w:tcBorders>
            <w:vAlign w:val="top"/>
          </w:tcPr>
          <w:p w14:paraId="0F03CE23">
            <w:pPr>
              <w:rPr>
                <w:rFonts w:ascii="Arial"/>
                <w:sz w:val="21"/>
              </w:rPr>
            </w:pPr>
          </w:p>
        </w:tc>
        <w:tc>
          <w:tcPr>
            <w:tcW w:w="613" w:type="dxa"/>
            <w:vAlign w:val="top"/>
          </w:tcPr>
          <w:p w14:paraId="18C8643F">
            <w:pPr>
              <w:pStyle w:val="6"/>
              <w:spacing w:before="204" w:line="274" w:lineRule="exact"/>
              <w:ind w:left="192"/>
            </w:pPr>
            <w:r>
              <w:rPr>
                <w:spacing w:val="2"/>
                <w:position w:val="2"/>
              </w:rPr>
              <w:t>20</w:t>
            </w:r>
          </w:p>
        </w:tc>
        <w:tc>
          <w:tcPr>
            <w:tcW w:w="3605" w:type="dxa"/>
            <w:vAlign w:val="top"/>
          </w:tcPr>
          <w:p w14:paraId="1D96B341">
            <w:pPr>
              <w:spacing w:before="76" w:line="228" w:lineRule="auto"/>
              <w:ind w:left="122"/>
              <w:rPr>
                <w:rFonts w:ascii="宋体" w:hAnsi="宋体" w:eastAsia="宋体" w:cs="宋体"/>
                <w:sz w:val="20"/>
                <w:szCs w:val="20"/>
              </w:rPr>
            </w:pPr>
            <w:r>
              <w:rPr>
                <w:rFonts w:ascii="宋体" w:hAnsi="宋体" w:eastAsia="宋体" w:cs="宋体"/>
                <w:spacing w:val="9"/>
                <w:sz w:val="20"/>
                <w:szCs w:val="20"/>
              </w:rPr>
              <w:t>道路运输较大及以上等级行车事故万</w:t>
            </w:r>
          </w:p>
          <w:p w14:paraId="55CEC7E7">
            <w:pPr>
              <w:spacing w:before="68" w:line="219" w:lineRule="auto"/>
              <w:ind w:left="964"/>
              <w:rPr>
                <w:rFonts w:ascii="宋体" w:hAnsi="宋体" w:eastAsia="宋体" w:cs="宋体"/>
                <w:sz w:val="20"/>
                <w:szCs w:val="20"/>
              </w:rPr>
            </w:pPr>
            <w:r>
              <w:rPr>
                <w:rFonts w:ascii="宋体" w:hAnsi="宋体" w:eastAsia="宋体" w:cs="宋体"/>
                <w:spacing w:val="8"/>
                <w:sz w:val="20"/>
                <w:szCs w:val="20"/>
              </w:rPr>
              <w:t>车死亡人数下降率</w:t>
            </w:r>
          </w:p>
        </w:tc>
        <w:tc>
          <w:tcPr>
            <w:tcW w:w="1111" w:type="dxa"/>
            <w:vAlign w:val="top"/>
          </w:tcPr>
          <w:p w14:paraId="355D6F65">
            <w:pPr>
              <w:pStyle w:val="6"/>
              <w:spacing w:before="204" w:line="274" w:lineRule="exact"/>
              <w:ind w:left="474"/>
            </w:pPr>
            <w:r>
              <w:rPr>
                <w:position w:val="2"/>
              </w:rPr>
              <w:t>%</w:t>
            </w:r>
          </w:p>
        </w:tc>
        <w:tc>
          <w:tcPr>
            <w:tcW w:w="1073" w:type="dxa"/>
            <w:vAlign w:val="top"/>
          </w:tcPr>
          <w:p w14:paraId="0B9C0DE8">
            <w:pPr>
              <w:pStyle w:val="6"/>
              <w:spacing w:before="204" w:line="274" w:lineRule="exact"/>
              <w:ind w:left="508"/>
            </w:pPr>
            <w:r>
              <w:rPr>
                <w:spacing w:val="2"/>
                <w:position w:val="1"/>
              </w:rPr>
              <w:t>/</w:t>
            </w:r>
          </w:p>
        </w:tc>
        <w:tc>
          <w:tcPr>
            <w:tcW w:w="1116" w:type="dxa"/>
            <w:vAlign w:val="top"/>
          </w:tcPr>
          <w:p w14:paraId="4F26A88A">
            <w:pPr>
              <w:pStyle w:val="6"/>
              <w:spacing w:before="204" w:line="274" w:lineRule="exact"/>
              <w:ind w:left="482"/>
            </w:pPr>
            <w:r>
              <w:rPr>
                <w:spacing w:val="-8"/>
                <w:position w:val="1"/>
              </w:rPr>
              <w:t>12</w:t>
            </w:r>
          </w:p>
        </w:tc>
        <w:tc>
          <w:tcPr>
            <w:tcW w:w="843" w:type="dxa"/>
            <w:tcBorders>
              <w:right w:val="single" w:color="000000" w:sz="10" w:space="0"/>
            </w:tcBorders>
            <w:vAlign w:val="top"/>
          </w:tcPr>
          <w:p w14:paraId="6663B50C">
            <w:pPr>
              <w:spacing w:before="234" w:line="229" w:lineRule="auto"/>
              <w:ind w:left="114"/>
              <w:rPr>
                <w:rFonts w:ascii="宋体" w:hAnsi="宋体" w:eastAsia="宋体" w:cs="宋体"/>
                <w:sz w:val="20"/>
                <w:szCs w:val="20"/>
              </w:rPr>
            </w:pPr>
            <w:r>
              <w:rPr>
                <w:rFonts w:ascii="宋体" w:hAnsi="宋体" w:eastAsia="宋体" w:cs="宋体"/>
                <w:spacing w:val="6"/>
                <w:sz w:val="20"/>
                <w:szCs w:val="20"/>
              </w:rPr>
              <w:t>预期性</w:t>
            </w:r>
          </w:p>
        </w:tc>
      </w:tr>
      <w:tr w14:paraId="64753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2" w:type="dxa"/>
            <w:vMerge w:val="continue"/>
            <w:tcBorders>
              <w:top w:val="nil"/>
              <w:left w:val="single" w:color="000000" w:sz="10" w:space="0"/>
              <w:bottom w:val="single" w:color="000000" w:sz="10" w:space="0"/>
            </w:tcBorders>
            <w:vAlign w:val="top"/>
          </w:tcPr>
          <w:p w14:paraId="53A52FBA">
            <w:pPr>
              <w:rPr>
                <w:rFonts w:ascii="Arial"/>
                <w:sz w:val="21"/>
              </w:rPr>
            </w:pPr>
          </w:p>
        </w:tc>
        <w:tc>
          <w:tcPr>
            <w:tcW w:w="613" w:type="dxa"/>
            <w:tcBorders>
              <w:bottom w:val="single" w:color="000000" w:sz="10" w:space="0"/>
            </w:tcBorders>
            <w:vAlign w:val="top"/>
          </w:tcPr>
          <w:p w14:paraId="0CCB7A9C">
            <w:pPr>
              <w:pStyle w:val="6"/>
              <w:spacing w:before="74" w:line="275" w:lineRule="exact"/>
              <w:ind w:left="192"/>
            </w:pPr>
            <w:r>
              <w:rPr>
                <w:spacing w:val="2"/>
                <w:position w:val="1"/>
              </w:rPr>
              <w:t>21</w:t>
            </w:r>
          </w:p>
        </w:tc>
        <w:tc>
          <w:tcPr>
            <w:tcW w:w="3605" w:type="dxa"/>
            <w:tcBorders>
              <w:bottom w:val="single" w:color="000000" w:sz="10" w:space="0"/>
            </w:tcBorders>
            <w:vAlign w:val="top"/>
          </w:tcPr>
          <w:p w14:paraId="1FA38B45">
            <w:pPr>
              <w:spacing w:before="106" w:line="228" w:lineRule="auto"/>
              <w:ind w:left="230"/>
              <w:rPr>
                <w:rFonts w:ascii="宋体" w:hAnsi="宋体" w:eastAsia="宋体" w:cs="宋体"/>
                <w:sz w:val="20"/>
                <w:szCs w:val="20"/>
              </w:rPr>
            </w:pPr>
            <w:r>
              <w:rPr>
                <w:rFonts w:ascii="宋体" w:hAnsi="宋体" w:eastAsia="宋体" w:cs="宋体"/>
                <w:spacing w:val="9"/>
                <w:sz w:val="20"/>
                <w:szCs w:val="20"/>
              </w:rPr>
              <w:t>交通运输政务服务事项一网通办率</w:t>
            </w:r>
          </w:p>
        </w:tc>
        <w:tc>
          <w:tcPr>
            <w:tcW w:w="1111" w:type="dxa"/>
            <w:tcBorders>
              <w:bottom w:val="single" w:color="000000" w:sz="10" w:space="0"/>
            </w:tcBorders>
            <w:vAlign w:val="top"/>
          </w:tcPr>
          <w:p w14:paraId="2536B4DE">
            <w:pPr>
              <w:pStyle w:val="6"/>
              <w:spacing w:before="74" w:line="275" w:lineRule="exact"/>
              <w:ind w:left="474"/>
            </w:pPr>
            <w:r>
              <w:rPr>
                <w:position w:val="2"/>
              </w:rPr>
              <w:t>%</w:t>
            </w:r>
          </w:p>
        </w:tc>
        <w:tc>
          <w:tcPr>
            <w:tcW w:w="1073" w:type="dxa"/>
            <w:tcBorders>
              <w:bottom w:val="single" w:color="000000" w:sz="10" w:space="0"/>
            </w:tcBorders>
            <w:vAlign w:val="top"/>
          </w:tcPr>
          <w:p w14:paraId="07E3D1F4">
            <w:pPr>
              <w:pStyle w:val="6"/>
              <w:spacing w:before="74" w:line="275" w:lineRule="exact"/>
              <w:ind w:left="508"/>
            </w:pPr>
            <w:r>
              <w:rPr>
                <w:spacing w:val="2"/>
                <w:position w:val="1"/>
              </w:rPr>
              <w:t>/</w:t>
            </w:r>
          </w:p>
        </w:tc>
        <w:tc>
          <w:tcPr>
            <w:tcW w:w="1116" w:type="dxa"/>
            <w:tcBorders>
              <w:bottom w:val="single" w:color="000000" w:sz="10" w:space="0"/>
            </w:tcBorders>
            <w:vAlign w:val="top"/>
          </w:tcPr>
          <w:p w14:paraId="77DE2670">
            <w:pPr>
              <w:pStyle w:val="6"/>
              <w:spacing w:before="74" w:line="275" w:lineRule="exact"/>
              <w:ind w:left="228"/>
              <w:rPr>
                <w:rFonts w:ascii="宋体" w:hAnsi="宋体" w:eastAsia="宋体" w:cs="宋体"/>
              </w:rPr>
            </w:pPr>
            <w:r>
              <w:rPr>
                <w:spacing w:val="-4"/>
                <w:position w:val="1"/>
              </w:rPr>
              <w:t>90</w:t>
            </w:r>
            <w:r>
              <w:rPr>
                <w:spacing w:val="36"/>
                <w:position w:val="1"/>
              </w:rPr>
              <w:t xml:space="preserve"> </w:t>
            </w:r>
            <w:r>
              <w:rPr>
                <w:rFonts w:ascii="宋体" w:hAnsi="宋体" w:eastAsia="宋体" w:cs="宋体"/>
                <w:spacing w:val="-4"/>
                <w:position w:val="1"/>
              </w:rPr>
              <w:t>以上</w:t>
            </w:r>
          </w:p>
        </w:tc>
        <w:tc>
          <w:tcPr>
            <w:tcW w:w="843" w:type="dxa"/>
            <w:tcBorders>
              <w:bottom w:val="single" w:color="000000" w:sz="10" w:space="0"/>
              <w:right w:val="single" w:color="000000" w:sz="10" w:space="0"/>
            </w:tcBorders>
            <w:vAlign w:val="top"/>
          </w:tcPr>
          <w:p w14:paraId="43C2CFC3">
            <w:pPr>
              <w:spacing w:before="105" w:line="229" w:lineRule="auto"/>
              <w:ind w:left="114"/>
              <w:rPr>
                <w:rFonts w:ascii="宋体" w:hAnsi="宋体" w:eastAsia="宋体" w:cs="宋体"/>
                <w:sz w:val="20"/>
                <w:szCs w:val="20"/>
              </w:rPr>
            </w:pPr>
            <w:r>
              <w:rPr>
                <w:rFonts w:ascii="宋体" w:hAnsi="宋体" w:eastAsia="宋体" w:cs="宋体"/>
                <w:spacing w:val="6"/>
                <w:sz w:val="20"/>
                <w:szCs w:val="20"/>
              </w:rPr>
              <w:t>预期性</w:t>
            </w:r>
          </w:p>
        </w:tc>
      </w:tr>
    </w:tbl>
    <w:p w14:paraId="04A7E296">
      <w:pPr>
        <w:pStyle w:val="2"/>
      </w:pPr>
    </w:p>
    <w:p w14:paraId="79EC1470">
      <w:pPr>
        <w:sectPr>
          <w:headerReference r:id="rId61" w:type="default"/>
          <w:footerReference r:id="rId62" w:type="default"/>
          <w:pgSz w:w="11906" w:h="16839"/>
          <w:pgMar w:top="1222" w:right="1510" w:bottom="1156" w:left="1134" w:header="885" w:footer="920" w:gutter="0"/>
          <w:cols w:space="720" w:num="1"/>
        </w:sectPr>
      </w:pPr>
    </w:p>
    <w:p w14:paraId="0474365B">
      <w:pPr>
        <w:pStyle w:val="2"/>
        <w:spacing w:line="252" w:lineRule="auto"/>
      </w:pPr>
    </w:p>
    <w:p w14:paraId="70F5A425">
      <w:pPr>
        <w:spacing w:before="101" w:line="226" w:lineRule="auto"/>
        <w:ind w:left="671"/>
        <w:outlineLvl w:val="0"/>
        <w:rPr>
          <w:rFonts w:ascii="黑体" w:hAnsi="黑体" w:eastAsia="黑体" w:cs="黑体"/>
          <w:sz w:val="31"/>
          <w:szCs w:val="31"/>
        </w:rPr>
      </w:pPr>
      <w:bookmarkStart w:id="28" w:name="bookmark24"/>
      <w:bookmarkEnd w:id="28"/>
      <w:bookmarkStart w:id="29" w:name="bookmark23"/>
      <w:bookmarkEnd w:id="29"/>
      <w:r>
        <w:rPr>
          <w:rFonts w:ascii="黑体" w:hAnsi="黑体" w:eastAsia="黑体" w:cs="黑体"/>
          <w:b/>
          <w:bCs/>
          <w:spacing w:val="2"/>
          <w:sz w:val="31"/>
          <w:szCs w:val="31"/>
        </w:rPr>
        <w:t>四、重点任务</w:t>
      </w:r>
    </w:p>
    <w:p w14:paraId="3D199D12">
      <w:pPr>
        <w:pStyle w:val="2"/>
        <w:spacing w:line="266" w:lineRule="auto"/>
      </w:pPr>
    </w:p>
    <w:p w14:paraId="3524D438">
      <w:pPr>
        <w:spacing w:before="98" w:line="221" w:lineRule="auto"/>
        <w:ind w:left="635"/>
        <w:outlineLvl w:val="1"/>
        <w:rPr>
          <w:rFonts w:ascii="黑体" w:hAnsi="黑体" w:eastAsia="黑体" w:cs="黑体"/>
          <w:sz w:val="30"/>
          <w:szCs w:val="30"/>
        </w:rPr>
      </w:pPr>
      <w:bookmarkStart w:id="30" w:name="bookmark66"/>
      <w:bookmarkEnd w:id="30"/>
      <w:r>
        <w:rPr>
          <w:rFonts w:ascii="黑体" w:hAnsi="黑体" w:eastAsia="黑体" w:cs="黑体"/>
          <w:spacing w:val="-3"/>
          <w:sz w:val="30"/>
          <w:szCs w:val="30"/>
        </w:rPr>
        <w:t>（一）推进综合交通网络建设</w:t>
      </w:r>
    </w:p>
    <w:p w14:paraId="2DA3EE10">
      <w:pPr>
        <w:spacing w:before="286" w:line="340" w:lineRule="auto"/>
        <w:ind w:left="17" w:right="140" w:firstLine="492"/>
        <w:jc w:val="both"/>
        <w:rPr>
          <w:rFonts w:ascii="仿宋" w:hAnsi="仿宋" w:eastAsia="仿宋" w:cs="仿宋"/>
          <w:sz w:val="28"/>
          <w:szCs w:val="28"/>
        </w:rPr>
      </w:pPr>
      <w:r>
        <w:rPr>
          <w:rFonts w:ascii="仿宋" w:hAnsi="仿宋" w:eastAsia="仿宋" w:cs="仿宋"/>
          <w:sz w:val="28"/>
          <w:szCs w:val="28"/>
        </w:rPr>
        <w:t>进一步加大基础设施建设力度，优化完善综合交通网络</w:t>
      </w:r>
      <w:r>
        <w:rPr>
          <w:rFonts w:ascii="仿宋" w:hAnsi="仿宋" w:eastAsia="仿宋" w:cs="仿宋"/>
          <w:spacing w:val="-1"/>
          <w:sz w:val="28"/>
          <w:szCs w:val="28"/>
        </w:rPr>
        <w:t>体系，推动铁路</w:t>
      </w:r>
      <w:r>
        <w:rPr>
          <w:rFonts w:ascii="仿宋" w:hAnsi="仿宋" w:eastAsia="仿宋" w:cs="仿宋"/>
          <w:spacing w:val="-2"/>
          <w:sz w:val="28"/>
          <w:szCs w:val="28"/>
        </w:rPr>
        <w:t>网、公路网、航空网、水运网深度融合，构建高品质快速交通</w:t>
      </w:r>
      <w:r>
        <w:rPr>
          <w:rFonts w:ascii="仿宋" w:hAnsi="仿宋" w:eastAsia="仿宋" w:cs="仿宋"/>
          <w:spacing w:val="-3"/>
          <w:sz w:val="28"/>
          <w:szCs w:val="28"/>
        </w:rPr>
        <w:t>网、高效率普</w:t>
      </w:r>
      <w:r>
        <w:rPr>
          <w:rFonts w:ascii="仿宋" w:hAnsi="仿宋" w:eastAsia="仿宋" w:cs="仿宋"/>
          <w:spacing w:val="-2"/>
          <w:sz w:val="28"/>
          <w:szCs w:val="28"/>
        </w:rPr>
        <w:t>通干线网、广覆盖基础服务网，重点实施综合交通七大重点工</w:t>
      </w:r>
      <w:r>
        <w:rPr>
          <w:rFonts w:ascii="仿宋" w:hAnsi="仿宋" w:eastAsia="仿宋" w:cs="仿宋"/>
          <w:spacing w:val="-3"/>
          <w:sz w:val="28"/>
          <w:szCs w:val="28"/>
        </w:rPr>
        <w:t>程，全面提升高质量发展水平。</w:t>
      </w: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56027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719" w:type="dxa"/>
            <w:vAlign w:val="top"/>
          </w:tcPr>
          <w:p w14:paraId="1384DFAC">
            <w:pPr>
              <w:pStyle w:val="6"/>
              <w:spacing w:before="137" w:line="229" w:lineRule="auto"/>
              <w:ind w:left="2317"/>
              <w:rPr>
                <w:rFonts w:ascii="宋体" w:hAnsi="宋体" w:eastAsia="宋体" w:cs="宋体"/>
              </w:rPr>
            </w:pPr>
            <w:r>
              <w:rPr>
                <w:rFonts w:ascii="宋体" w:hAnsi="宋体" w:eastAsia="宋体" w:cs="宋体"/>
                <w:b/>
                <w:bCs/>
                <w:spacing w:val="11"/>
              </w:rPr>
              <w:t>专栏</w:t>
            </w:r>
            <w:r>
              <w:rPr>
                <w:rFonts w:ascii="宋体" w:hAnsi="宋体" w:eastAsia="宋体" w:cs="宋体"/>
                <w:spacing w:val="-13"/>
              </w:rPr>
              <w:t xml:space="preserve"> </w:t>
            </w:r>
            <w:r>
              <w:rPr>
                <w:b/>
                <w:bCs/>
                <w:spacing w:val="11"/>
              </w:rPr>
              <w:t xml:space="preserve">1    </w:t>
            </w:r>
            <w:r>
              <w:rPr>
                <w:rFonts w:ascii="宋体" w:hAnsi="宋体" w:eastAsia="宋体" w:cs="宋体"/>
                <w:b/>
                <w:bCs/>
                <w:spacing w:val="11"/>
              </w:rPr>
              <w:t>“十四五</w:t>
            </w:r>
            <w:r>
              <w:rPr>
                <w:rFonts w:ascii="宋体" w:hAnsi="宋体" w:eastAsia="宋体" w:cs="宋体"/>
                <w:spacing w:val="-63"/>
              </w:rPr>
              <w:t xml:space="preserve"> </w:t>
            </w:r>
            <w:r>
              <w:rPr>
                <w:rFonts w:ascii="宋体" w:hAnsi="宋体" w:eastAsia="宋体" w:cs="宋体"/>
                <w:b/>
                <w:bCs/>
                <w:spacing w:val="11"/>
              </w:rPr>
              <w:t>”期间综合交通七大重点工程</w:t>
            </w:r>
          </w:p>
        </w:tc>
      </w:tr>
      <w:tr w14:paraId="56342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3" w:hRule="atLeast"/>
        </w:trPr>
        <w:tc>
          <w:tcPr>
            <w:tcW w:w="8719" w:type="dxa"/>
            <w:vAlign w:val="top"/>
          </w:tcPr>
          <w:p w14:paraId="079CD989">
            <w:pPr>
              <w:pStyle w:val="6"/>
              <w:spacing w:before="110" w:line="274" w:lineRule="exact"/>
              <w:ind w:left="568"/>
              <w:rPr>
                <w:rFonts w:ascii="宋体" w:hAnsi="宋体" w:eastAsia="宋体" w:cs="宋体"/>
              </w:rPr>
            </w:pPr>
            <w:r>
              <w:rPr>
                <w:spacing w:val="13"/>
                <w:position w:val="1"/>
              </w:rPr>
              <w:t xml:space="preserve">1.  </w:t>
            </w:r>
            <w:r>
              <w:rPr>
                <w:rFonts w:ascii="宋体" w:hAnsi="宋体" w:eastAsia="宋体" w:cs="宋体"/>
                <w:spacing w:val="13"/>
                <w:position w:val="1"/>
              </w:rPr>
              <w:t>高速公路“互联互通</w:t>
            </w:r>
            <w:r>
              <w:rPr>
                <w:rFonts w:ascii="宋体" w:hAnsi="宋体" w:eastAsia="宋体" w:cs="宋体"/>
                <w:spacing w:val="-52"/>
                <w:position w:val="1"/>
              </w:rPr>
              <w:t xml:space="preserve"> </w:t>
            </w:r>
            <w:r>
              <w:rPr>
                <w:rFonts w:ascii="宋体" w:hAnsi="宋体" w:eastAsia="宋体" w:cs="宋体"/>
                <w:spacing w:val="13"/>
                <w:position w:val="1"/>
              </w:rPr>
              <w:t>”工程，提升高速公路网络化水平。</w:t>
            </w:r>
          </w:p>
          <w:p w14:paraId="4D86C8DF">
            <w:pPr>
              <w:pStyle w:val="6"/>
              <w:spacing w:before="126" w:line="274" w:lineRule="exact"/>
              <w:ind w:left="548"/>
              <w:rPr>
                <w:rFonts w:ascii="宋体" w:hAnsi="宋体" w:eastAsia="宋体" w:cs="宋体"/>
              </w:rPr>
            </w:pPr>
            <w:r>
              <w:rPr>
                <w:spacing w:val="14"/>
                <w:position w:val="1"/>
              </w:rPr>
              <w:t xml:space="preserve">2.  </w:t>
            </w:r>
            <w:r>
              <w:rPr>
                <w:rFonts w:ascii="宋体" w:hAnsi="宋体" w:eastAsia="宋体" w:cs="宋体"/>
                <w:spacing w:val="14"/>
                <w:position w:val="1"/>
              </w:rPr>
              <w:t>普通国省道“升级改造</w:t>
            </w:r>
            <w:r>
              <w:rPr>
                <w:rFonts w:ascii="宋体" w:hAnsi="宋体" w:eastAsia="宋体" w:cs="宋体"/>
                <w:spacing w:val="-61"/>
                <w:position w:val="1"/>
              </w:rPr>
              <w:t xml:space="preserve"> </w:t>
            </w:r>
            <w:r>
              <w:rPr>
                <w:rFonts w:ascii="宋体" w:hAnsi="宋体" w:eastAsia="宋体" w:cs="宋体"/>
                <w:spacing w:val="14"/>
                <w:position w:val="1"/>
              </w:rPr>
              <w:t>”工程，提高普通公路服务能力。</w:t>
            </w:r>
          </w:p>
          <w:p w14:paraId="4A8C2CD1">
            <w:pPr>
              <w:pStyle w:val="6"/>
              <w:spacing w:before="126" w:line="274" w:lineRule="exact"/>
              <w:ind w:left="552"/>
              <w:rPr>
                <w:rFonts w:ascii="宋体" w:hAnsi="宋体" w:eastAsia="宋体" w:cs="宋体"/>
              </w:rPr>
            </w:pPr>
            <w:r>
              <w:rPr>
                <w:spacing w:val="15"/>
                <w:position w:val="1"/>
              </w:rPr>
              <w:t xml:space="preserve">3.  </w:t>
            </w:r>
            <w:r>
              <w:rPr>
                <w:rFonts w:ascii="宋体" w:hAnsi="宋体" w:eastAsia="宋体" w:cs="宋体"/>
                <w:spacing w:val="15"/>
                <w:position w:val="1"/>
              </w:rPr>
              <w:t>城市快速干道“衔接贯通</w:t>
            </w:r>
            <w:r>
              <w:rPr>
                <w:rFonts w:ascii="宋体" w:hAnsi="宋体" w:eastAsia="宋体" w:cs="宋体"/>
                <w:spacing w:val="-60"/>
                <w:position w:val="1"/>
              </w:rPr>
              <w:t xml:space="preserve"> </w:t>
            </w:r>
            <w:r>
              <w:rPr>
                <w:rFonts w:ascii="宋体" w:hAnsi="宋体" w:eastAsia="宋体" w:cs="宋体"/>
                <w:spacing w:val="15"/>
                <w:position w:val="1"/>
              </w:rPr>
              <w:t>”工程，强化综合交通网络与城市快速交通</w:t>
            </w:r>
            <w:r>
              <w:rPr>
                <w:rFonts w:ascii="宋体" w:hAnsi="宋体" w:eastAsia="宋体" w:cs="宋体"/>
                <w:spacing w:val="14"/>
                <w:position w:val="1"/>
              </w:rPr>
              <w:t>有效衔接。</w:t>
            </w:r>
          </w:p>
          <w:p w14:paraId="26EAE3A5">
            <w:pPr>
              <w:pStyle w:val="6"/>
              <w:spacing w:before="124" w:line="274" w:lineRule="exact"/>
              <w:ind w:left="547"/>
              <w:rPr>
                <w:rFonts w:ascii="宋体" w:hAnsi="宋体" w:eastAsia="宋体" w:cs="宋体"/>
              </w:rPr>
            </w:pPr>
            <w:r>
              <w:rPr>
                <w:spacing w:val="14"/>
                <w:position w:val="1"/>
              </w:rPr>
              <w:t xml:space="preserve">4.  </w:t>
            </w:r>
            <w:r>
              <w:rPr>
                <w:rFonts w:ascii="宋体" w:hAnsi="宋体" w:eastAsia="宋体" w:cs="宋体"/>
                <w:spacing w:val="14"/>
                <w:position w:val="1"/>
              </w:rPr>
              <w:t>农村公路“巩固提升</w:t>
            </w:r>
            <w:r>
              <w:rPr>
                <w:rFonts w:ascii="宋体" w:hAnsi="宋体" w:eastAsia="宋体" w:cs="宋体"/>
                <w:spacing w:val="-62"/>
                <w:position w:val="1"/>
              </w:rPr>
              <w:t xml:space="preserve"> </w:t>
            </w:r>
            <w:r>
              <w:rPr>
                <w:rFonts w:ascii="宋体" w:hAnsi="宋体" w:eastAsia="宋体" w:cs="宋体"/>
                <w:spacing w:val="14"/>
                <w:position w:val="1"/>
              </w:rPr>
              <w:t>”工程，拓展基本公共服务深</w:t>
            </w:r>
            <w:r>
              <w:rPr>
                <w:rFonts w:ascii="宋体" w:hAnsi="宋体" w:eastAsia="宋体" w:cs="宋体"/>
                <w:spacing w:val="13"/>
                <w:position w:val="1"/>
              </w:rPr>
              <w:t>度。</w:t>
            </w:r>
          </w:p>
          <w:p w14:paraId="3EECC901">
            <w:pPr>
              <w:pStyle w:val="6"/>
              <w:spacing w:before="158" w:line="228" w:lineRule="auto"/>
              <w:ind w:left="554"/>
              <w:rPr>
                <w:rFonts w:ascii="宋体" w:hAnsi="宋体" w:eastAsia="宋体" w:cs="宋体"/>
              </w:rPr>
            </w:pPr>
            <w:r>
              <w:rPr>
                <w:spacing w:val="13"/>
              </w:rPr>
              <w:t xml:space="preserve">5.  </w:t>
            </w:r>
            <w:r>
              <w:rPr>
                <w:rFonts w:ascii="宋体" w:hAnsi="宋体" w:eastAsia="宋体" w:cs="宋体"/>
                <w:spacing w:val="13"/>
              </w:rPr>
              <w:t>铁路“建网提速</w:t>
            </w:r>
            <w:r>
              <w:rPr>
                <w:rFonts w:ascii="宋体" w:hAnsi="宋体" w:eastAsia="宋体" w:cs="宋体"/>
                <w:spacing w:val="-63"/>
              </w:rPr>
              <w:t xml:space="preserve"> </w:t>
            </w:r>
            <w:r>
              <w:rPr>
                <w:rFonts w:ascii="宋体" w:hAnsi="宋体" w:eastAsia="宋体" w:cs="宋体"/>
                <w:spacing w:val="13"/>
              </w:rPr>
              <w:t>”工程，扩大铁路覆盖范</w:t>
            </w:r>
            <w:r>
              <w:rPr>
                <w:rFonts w:ascii="宋体" w:hAnsi="宋体" w:eastAsia="宋体" w:cs="宋体"/>
                <w:spacing w:val="12"/>
              </w:rPr>
              <w:t>围。</w:t>
            </w:r>
          </w:p>
          <w:p w14:paraId="011FE81D">
            <w:pPr>
              <w:pStyle w:val="6"/>
              <w:spacing w:before="122" w:line="274" w:lineRule="exact"/>
              <w:ind w:left="553"/>
              <w:rPr>
                <w:rFonts w:ascii="宋体" w:hAnsi="宋体" w:eastAsia="宋体" w:cs="宋体"/>
              </w:rPr>
            </w:pPr>
            <w:r>
              <w:rPr>
                <w:spacing w:val="11"/>
                <w:position w:val="1"/>
              </w:rPr>
              <w:t>6.</w:t>
            </w:r>
            <w:r>
              <w:rPr>
                <w:spacing w:val="31"/>
                <w:position w:val="1"/>
              </w:rPr>
              <w:t xml:space="preserve">  </w:t>
            </w:r>
            <w:r>
              <w:rPr>
                <w:rFonts w:ascii="宋体" w:hAnsi="宋体" w:eastAsia="宋体" w:cs="宋体"/>
                <w:spacing w:val="11"/>
                <w:position w:val="1"/>
              </w:rPr>
              <w:t>民航“补齐短板</w:t>
            </w:r>
            <w:r>
              <w:rPr>
                <w:rFonts w:ascii="宋体" w:hAnsi="宋体" w:eastAsia="宋体" w:cs="宋体"/>
                <w:spacing w:val="-63"/>
                <w:position w:val="1"/>
              </w:rPr>
              <w:t xml:space="preserve"> </w:t>
            </w:r>
            <w:r>
              <w:rPr>
                <w:rFonts w:ascii="宋体" w:hAnsi="宋体" w:eastAsia="宋体" w:cs="宋体"/>
                <w:spacing w:val="11"/>
                <w:position w:val="1"/>
              </w:rPr>
              <w:t>”工程，实现跨越式发展。</w:t>
            </w:r>
          </w:p>
          <w:p w14:paraId="49ED499F">
            <w:pPr>
              <w:pStyle w:val="6"/>
              <w:spacing w:before="155" w:line="228" w:lineRule="auto"/>
              <w:ind w:left="551"/>
              <w:rPr>
                <w:rFonts w:ascii="宋体" w:hAnsi="宋体" w:eastAsia="宋体" w:cs="宋体"/>
              </w:rPr>
            </w:pPr>
            <w:r>
              <w:rPr>
                <w:spacing w:val="13"/>
              </w:rPr>
              <w:t xml:space="preserve">7.  </w:t>
            </w:r>
            <w:r>
              <w:rPr>
                <w:rFonts w:ascii="宋体" w:hAnsi="宋体" w:eastAsia="宋体" w:cs="宋体"/>
                <w:spacing w:val="13"/>
              </w:rPr>
              <w:t>水运“完善提升</w:t>
            </w:r>
            <w:r>
              <w:rPr>
                <w:rFonts w:ascii="宋体" w:hAnsi="宋体" w:eastAsia="宋体" w:cs="宋体"/>
                <w:spacing w:val="-62"/>
              </w:rPr>
              <w:t xml:space="preserve"> </w:t>
            </w:r>
            <w:r>
              <w:rPr>
                <w:rFonts w:ascii="宋体" w:hAnsi="宋体" w:eastAsia="宋体" w:cs="宋体"/>
                <w:spacing w:val="13"/>
              </w:rPr>
              <w:t>”工程，促进服务提质升级。</w:t>
            </w:r>
          </w:p>
        </w:tc>
      </w:tr>
    </w:tbl>
    <w:p w14:paraId="00CAC97E">
      <w:pPr>
        <w:pStyle w:val="2"/>
        <w:spacing w:line="355" w:lineRule="auto"/>
      </w:pPr>
    </w:p>
    <w:p w14:paraId="179D7D57">
      <w:pPr>
        <w:spacing w:before="91" w:line="222" w:lineRule="auto"/>
        <w:ind w:left="586"/>
        <w:outlineLvl w:val="2"/>
        <w:rPr>
          <w:rFonts w:ascii="黑体" w:hAnsi="黑体" w:eastAsia="黑体" w:cs="黑体"/>
          <w:sz w:val="28"/>
          <w:szCs w:val="28"/>
        </w:rPr>
      </w:pPr>
      <w:bookmarkStart w:id="31" w:name="bookmark25"/>
      <w:bookmarkEnd w:id="31"/>
      <w:r>
        <w:rPr>
          <w:rFonts w:ascii="黑体" w:hAnsi="黑体" w:eastAsia="黑体" w:cs="黑体"/>
          <w:spacing w:val="-2"/>
          <w:sz w:val="28"/>
          <w:szCs w:val="28"/>
        </w:rPr>
        <w:t>1. 建设高品质的快速交通网</w:t>
      </w:r>
    </w:p>
    <w:p w14:paraId="52FC5CF2">
      <w:pPr>
        <w:spacing w:before="290" w:line="343" w:lineRule="auto"/>
        <w:ind w:left="10" w:right="140" w:firstLine="499"/>
        <w:jc w:val="both"/>
        <w:rPr>
          <w:rFonts w:ascii="仿宋" w:hAnsi="仿宋" w:eastAsia="仿宋" w:cs="仿宋"/>
          <w:sz w:val="28"/>
          <w:szCs w:val="28"/>
        </w:rPr>
      </w:pPr>
      <w:r>
        <w:rPr>
          <w:rFonts w:ascii="仿宋" w:hAnsi="仿宋" w:eastAsia="仿宋" w:cs="仿宋"/>
          <w:sz w:val="28"/>
          <w:szCs w:val="28"/>
        </w:rPr>
        <w:t>推动高速铁路及城际铁路建设，完善铁路网络布局。加快推进</w:t>
      </w:r>
      <w:r>
        <w:rPr>
          <w:rFonts w:ascii="仿宋" w:hAnsi="仿宋" w:eastAsia="仿宋" w:cs="仿宋"/>
          <w:spacing w:val="-1"/>
          <w:sz w:val="28"/>
          <w:szCs w:val="28"/>
        </w:rPr>
        <w:t>连接国内</w:t>
      </w:r>
      <w:r>
        <w:rPr>
          <w:rFonts w:ascii="仿宋" w:hAnsi="仿宋" w:eastAsia="仿宋" w:cs="仿宋"/>
          <w:spacing w:val="-2"/>
          <w:sz w:val="28"/>
          <w:szCs w:val="28"/>
        </w:rPr>
        <w:t>主要城市群的高速客运通道建设，继续建设渝昆高速铁路曲靖境内段，积极推动弥勒至曲靖至田坝高速铁路、曲靖至宣威高速铁路等项目的建设工作，完善快速通达成渝地区双城经济圈、北部湾城市群、粤港澳大湾区的高铁铁路网，进一步缩短时空距离，实现曲靖市“北入川渝、丝绸之路经济带，南</w:t>
      </w:r>
      <w:r>
        <w:rPr>
          <w:rFonts w:ascii="仿宋" w:hAnsi="仿宋" w:eastAsia="仿宋" w:cs="仿宋"/>
          <w:spacing w:val="-5"/>
          <w:sz w:val="28"/>
          <w:szCs w:val="28"/>
        </w:rPr>
        <w:t>通中国－</w:t>
      </w:r>
      <w:r>
        <w:rPr>
          <w:rFonts w:ascii="仿宋" w:hAnsi="仿宋" w:eastAsia="仿宋" w:cs="仿宋"/>
          <w:spacing w:val="-40"/>
          <w:sz w:val="28"/>
          <w:szCs w:val="28"/>
        </w:rPr>
        <w:t xml:space="preserve"> </w:t>
      </w:r>
      <w:r>
        <w:rPr>
          <w:rFonts w:ascii="仿宋" w:hAnsi="仿宋" w:eastAsia="仿宋" w:cs="仿宋"/>
          <w:spacing w:val="-5"/>
          <w:sz w:val="28"/>
          <w:szCs w:val="28"/>
        </w:rPr>
        <w:t>中南半岛经济走廊和孟中印缅经济走廊”，成为祖国内地连接南亚东南亚国家的必经交通枢纽节点。开展南昆高铁（</w:t>
      </w:r>
      <w:r>
        <w:rPr>
          <w:rFonts w:ascii="仿宋" w:hAnsi="仿宋" w:eastAsia="仿宋" w:cs="仿宋"/>
          <w:spacing w:val="-40"/>
          <w:sz w:val="28"/>
          <w:szCs w:val="28"/>
        </w:rPr>
        <w:t xml:space="preserve"> </w:t>
      </w:r>
      <w:r>
        <w:rPr>
          <w:rFonts w:ascii="仿宋" w:hAnsi="仿宋" w:eastAsia="仿宋" w:cs="仿宋"/>
          <w:spacing w:val="-5"/>
          <w:sz w:val="28"/>
          <w:szCs w:val="28"/>
        </w:rPr>
        <w:t>昆明至罗平段）的前期规</w:t>
      </w:r>
      <w:r>
        <w:rPr>
          <w:rFonts w:ascii="仿宋" w:hAnsi="仿宋" w:eastAsia="仿宋" w:cs="仿宋"/>
          <w:sz w:val="28"/>
          <w:szCs w:val="28"/>
        </w:rPr>
        <w:t>划研究工作，打造曲靖市城际铁路网络，融</w:t>
      </w:r>
      <w:r>
        <w:rPr>
          <w:rFonts w:ascii="仿宋" w:hAnsi="仿宋" w:eastAsia="仿宋" w:cs="仿宋"/>
          <w:spacing w:val="-1"/>
          <w:sz w:val="28"/>
          <w:szCs w:val="28"/>
        </w:rPr>
        <w:t>入轨道上的滇中城市群。</w:t>
      </w:r>
    </w:p>
    <w:p w14:paraId="265FEE1C">
      <w:pPr>
        <w:spacing w:before="1" w:line="343" w:lineRule="auto"/>
        <w:ind w:left="17" w:firstLine="501"/>
        <w:jc w:val="both"/>
        <w:rPr>
          <w:rFonts w:ascii="仿宋" w:hAnsi="仿宋" w:eastAsia="仿宋" w:cs="仿宋"/>
          <w:sz w:val="28"/>
          <w:szCs w:val="28"/>
        </w:rPr>
      </w:pPr>
      <w:r>
        <w:rPr>
          <w:rFonts w:ascii="仿宋" w:hAnsi="仿宋" w:eastAsia="仿宋" w:cs="仿宋"/>
          <w:spacing w:val="2"/>
          <w:sz w:val="28"/>
          <w:szCs w:val="28"/>
        </w:rPr>
        <w:t>继续完善高速公路网络，加强对外通道建设。</w:t>
      </w:r>
      <w:r>
        <w:rPr>
          <w:rFonts w:ascii="仿宋" w:hAnsi="仿宋" w:eastAsia="仿宋" w:cs="仿宋"/>
          <w:spacing w:val="1"/>
          <w:sz w:val="28"/>
          <w:szCs w:val="28"/>
        </w:rPr>
        <w:t>在高速公路</w:t>
      </w:r>
      <w:r>
        <w:rPr>
          <w:rFonts w:ascii="仿宋" w:hAnsi="仿宋" w:eastAsia="仿宋" w:cs="仿宋"/>
          <w:spacing w:val="-99"/>
          <w:sz w:val="28"/>
          <w:szCs w:val="28"/>
        </w:rPr>
        <w:t xml:space="preserve"> </w:t>
      </w:r>
      <w:r>
        <w:rPr>
          <w:rFonts w:ascii="仿宋" w:hAnsi="仿宋" w:eastAsia="仿宋" w:cs="仿宋"/>
          <w:spacing w:val="1"/>
          <w:sz w:val="28"/>
          <w:szCs w:val="28"/>
        </w:rPr>
        <w:t>“</w:t>
      </w:r>
      <w:r>
        <w:rPr>
          <w:rFonts w:ascii="仿宋" w:hAnsi="仿宋" w:eastAsia="仿宋" w:cs="仿宋"/>
          <w:spacing w:val="-105"/>
          <w:sz w:val="28"/>
          <w:szCs w:val="28"/>
        </w:rPr>
        <w:t xml:space="preserve"> </w:t>
      </w:r>
      <w:r>
        <w:rPr>
          <w:rFonts w:ascii="仿宋" w:hAnsi="仿宋" w:eastAsia="仿宋" w:cs="仿宋"/>
          <w:spacing w:val="1"/>
          <w:sz w:val="28"/>
          <w:szCs w:val="28"/>
        </w:rPr>
        <w:t>能通全通”</w:t>
      </w:r>
      <w:r>
        <w:rPr>
          <w:rFonts w:ascii="仿宋" w:hAnsi="仿宋" w:eastAsia="仿宋" w:cs="仿宋"/>
          <w:spacing w:val="-3"/>
          <w:sz w:val="28"/>
          <w:szCs w:val="28"/>
        </w:rPr>
        <w:t>工程基础上，以</w:t>
      </w:r>
      <w:r>
        <w:rPr>
          <w:rFonts w:ascii="仿宋" w:hAnsi="仿宋" w:eastAsia="仿宋" w:cs="仿宋"/>
          <w:spacing w:val="-107"/>
          <w:sz w:val="28"/>
          <w:szCs w:val="28"/>
        </w:rPr>
        <w:t xml:space="preserve"> </w:t>
      </w:r>
      <w:r>
        <w:rPr>
          <w:rFonts w:ascii="仿宋" w:hAnsi="仿宋" w:eastAsia="仿宋" w:cs="仿宋"/>
          <w:spacing w:val="-3"/>
          <w:sz w:val="28"/>
          <w:szCs w:val="28"/>
        </w:rPr>
        <w:t>“西融滇中、东连黔桂、北接川渝、南向出境</w:t>
      </w:r>
      <w:r>
        <w:rPr>
          <w:rFonts w:ascii="仿宋" w:hAnsi="仿宋" w:eastAsia="仿宋" w:cs="仿宋"/>
          <w:spacing w:val="-4"/>
          <w:sz w:val="28"/>
          <w:szCs w:val="28"/>
        </w:rPr>
        <w:t>”为重点，继</w:t>
      </w:r>
      <w:r>
        <w:rPr>
          <w:rFonts w:ascii="仿宋" w:hAnsi="仿宋" w:eastAsia="仿宋" w:cs="仿宋"/>
          <w:spacing w:val="-2"/>
          <w:sz w:val="28"/>
          <w:szCs w:val="28"/>
        </w:rPr>
        <w:t>续推进杨柳至宣威、曲靖三宝至昆明清水、曲靖至师宗、罗平</w:t>
      </w:r>
      <w:r>
        <w:rPr>
          <w:rFonts w:ascii="仿宋" w:hAnsi="仿宋" w:eastAsia="仿宋" w:cs="仿宋"/>
          <w:spacing w:val="-3"/>
          <w:sz w:val="28"/>
          <w:szCs w:val="28"/>
        </w:rPr>
        <w:t>至八大河等高</w:t>
      </w:r>
    </w:p>
    <w:p w14:paraId="5C272D94">
      <w:pPr>
        <w:spacing w:line="343" w:lineRule="auto"/>
        <w:rPr>
          <w:rFonts w:ascii="仿宋" w:hAnsi="仿宋" w:eastAsia="仿宋" w:cs="仿宋"/>
          <w:sz w:val="28"/>
          <w:szCs w:val="28"/>
        </w:rPr>
        <w:sectPr>
          <w:headerReference r:id="rId63" w:type="default"/>
          <w:footerReference r:id="rId64" w:type="default"/>
          <w:pgSz w:w="11906" w:h="16839"/>
          <w:pgMar w:top="1222" w:right="992" w:bottom="1156" w:left="1587" w:header="885" w:footer="920" w:gutter="0"/>
          <w:cols w:space="720" w:num="1"/>
        </w:sectPr>
      </w:pPr>
    </w:p>
    <w:p w14:paraId="02CE223C">
      <w:pPr>
        <w:pStyle w:val="2"/>
        <w:spacing w:line="276" w:lineRule="auto"/>
      </w:pPr>
    </w:p>
    <w:p w14:paraId="6D5BF99C">
      <w:pPr>
        <w:spacing w:before="91" w:line="343" w:lineRule="auto"/>
        <w:ind w:left="5" w:firstLine="4"/>
        <w:jc w:val="both"/>
        <w:rPr>
          <w:rFonts w:ascii="仿宋" w:hAnsi="仿宋" w:eastAsia="仿宋" w:cs="仿宋"/>
          <w:sz w:val="28"/>
          <w:szCs w:val="28"/>
        </w:rPr>
      </w:pPr>
      <w:r>
        <w:rPr>
          <w:rFonts w:ascii="仿宋" w:hAnsi="仿宋" w:eastAsia="仿宋" w:cs="仿宋"/>
          <w:spacing w:val="-2"/>
          <w:sz w:val="28"/>
          <w:szCs w:val="28"/>
        </w:rPr>
        <w:t>速公路的同时，新建曲靖至贵州盘州（扩容改造）、师宗至丘北、会泽至巧家等高速公路，增强对外出口通道建设，实现相邻城市直达联通、与周边省</w:t>
      </w:r>
      <w:r>
        <w:rPr>
          <w:rFonts w:ascii="仿宋" w:hAnsi="仿宋" w:eastAsia="仿宋" w:cs="仿宋"/>
          <w:spacing w:val="-5"/>
          <w:sz w:val="28"/>
          <w:szCs w:val="28"/>
        </w:rPr>
        <w:t>区快速畅通，形成内联外通的高速公路网。以加快向乡镇延伸、力争</w:t>
      </w:r>
      <w:r>
        <w:rPr>
          <w:rFonts w:ascii="仿宋" w:hAnsi="仿宋" w:eastAsia="仿宋" w:cs="仿宋"/>
          <w:spacing w:val="-31"/>
          <w:sz w:val="28"/>
          <w:szCs w:val="28"/>
        </w:rPr>
        <w:t xml:space="preserve"> </w:t>
      </w:r>
      <w:r>
        <w:rPr>
          <w:rFonts w:ascii="仿宋" w:hAnsi="仿宋" w:eastAsia="仿宋" w:cs="仿宋"/>
          <w:spacing w:val="-5"/>
          <w:sz w:val="28"/>
          <w:szCs w:val="28"/>
        </w:rPr>
        <w:t>80％的</w:t>
      </w:r>
      <w:r>
        <w:rPr>
          <w:rFonts w:ascii="仿宋" w:hAnsi="仿宋" w:eastAsia="仿宋" w:cs="仿宋"/>
          <w:spacing w:val="-2"/>
          <w:sz w:val="28"/>
          <w:szCs w:val="28"/>
        </w:rPr>
        <w:t>乡镇通高速为目标导向，新建陆良至寻甸、宣威至富源、富源至罗平、宣威至会泽等高速公路，提升县与县之间及国高网与国高网之间互联互通水平，</w:t>
      </w:r>
      <w:r>
        <w:rPr>
          <w:rFonts w:ascii="仿宋" w:hAnsi="仿宋" w:eastAsia="仿宋" w:cs="仿宋"/>
          <w:spacing w:val="-4"/>
          <w:sz w:val="28"/>
          <w:szCs w:val="28"/>
        </w:rPr>
        <w:t>基本建成</w:t>
      </w:r>
      <w:r>
        <w:rPr>
          <w:rFonts w:ascii="仿宋" w:hAnsi="仿宋" w:eastAsia="仿宋" w:cs="仿宋"/>
          <w:spacing w:val="-99"/>
          <w:sz w:val="28"/>
          <w:szCs w:val="28"/>
        </w:rPr>
        <w:t xml:space="preserve"> </w:t>
      </w:r>
      <w:r>
        <w:rPr>
          <w:rFonts w:ascii="仿宋" w:hAnsi="仿宋" w:eastAsia="仿宋" w:cs="仿宋"/>
          <w:spacing w:val="-4"/>
          <w:sz w:val="28"/>
          <w:szCs w:val="28"/>
        </w:rPr>
        <w:t>“全面覆盖、衔接高效、能力充分、互联互通”</w:t>
      </w:r>
      <w:r>
        <w:rPr>
          <w:rFonts w:ascii="仿宋" w:hAnsi="仿宋" w:eastAsia="仿宋" w:cs="仿宋"/>
          <w:spacing w:val="-105"/>
          <w:sz w:val="28"/>
          <w:szCs w:val="28"/>
        </w:rPr>
        <w:t xml:space="preserve"> </w:t>
      </w:r>
      <w:r>
        <w:rPr>
          <w:rFonts w:ascii="仿宋" w:hAnsi="仿宋" w:eastAsia="仿宋" w:cs="仿宋"/>
          <w:spacing w:val="-4"/>
          <w:sz w:val="28"/>
          <w:szCs w:val="28"/>
        </w:rPr>
        <w:t>的高速公路网络，</w:t>
      </w:r>
      <w:r>
        <w:rPr>
          <w:rFonts w:ascii="仿宋" w:hAnsi="仿宋" w:eastAsia="仿宋" w:cs="仿宋"/>
          <w:spacing w:val="-2"/>
          <w:sz w:val="28"/>
          <w:szCs w:val="28"/>
        </w:rPr>
        <w:t>有效推动曲靖建设成为云南副中心城市顺利实施。积极推进高速公路绿化美</w:t>
      </w:r>
      <w:r>
        <w:rPr>
          <w:rFonts w:ascii="仿宋" w:hAnsi="仿宋" w:eastAsia="仿宋" w:cs="仿宋"/>
          <w:spacing w:val="-4"/>
          <w:sz w:val="28"/>
          <w:szCs w:val="28"/>
        </w:rPr>
        <w:t>化工作，对于已建高速（</w:t>
      </w:r>
      <w:r>
        <w:rPr>
          <w:rFonts w:ascii="仿宋" w:hAnsi="仿宋" w:eastAsia="仿宋" w:cs="仿宋"/>
          <w:spacing w:val="-69"/>
          <w:sz w:val="28"/>
          <w:szCs w:val="28"/>
        </w:rPr>
        <w:t xml:space="preserve"> </w:t>
      </w:r>
      <w:r>
        <w:rPr>
          <w:rFonts w:ascii="仿宋" w:hAnsi="仿宋" w:eastAsia="仿宋" w:cs="仿宋"/>
          <w:spacing w:val="-4"/>
          <w:sz w:val="28"/>
          <w:szCs w:val="28"/>
        </w:rPr>
        <w:t>一级）公路应全面摸底排查，按照一路一策制定绿</w:t>
      </w:r>
      <w:r>
        <w:rPr>
          <w:rFonts w:ascii="仿宋" w:hAnsi="仿宋" w:eastAsia="仿宋" w:cs="仿宋"/>
          <w:spacing w:val="-2"/>
          <w:sz w:val="28"/>
          <w:szCs w:val="28"/>
        </w:rPr>
        <w:t>化美化方案，对于新建高速公路应全面完成路基边坡、路侧预留带、中央分隔带、互通立交区、隧道洞口及三角区、服务区、隧道变电所、收费站、路侧停车区、观景区景观等的绿化美化，打造生态、环保、绿色、低碳的绿美</w:t>
      </w:r>
      <w:r>
        <w:rPr>
          <w:rFonts w:ascii="仿宋" w:hAnsi="仿宋" w:eastAsia="仿宋" w:cs="仿宋"/>
          <w:spacing w:val="-1"/>
          <w:sz w:val="28"/>
          <w:szCs w:val="28"/>
        </w:rPr>
        <w:t>交通，助力绿美云南行动。</w:t>
      </w:r>
    </w:p>
    <w:p w14:paraId="49693549">
      <w:pPr>
        <w:spacing w:before="3" w:line="340" w:lineRule="auto"/>
        <w:ind w:left="8" w:right="4" w:firstLine="502"/>
        <w:jc w:val="both"/>
        <w:rPr>
          <w:rFonts w:ascii="仿宋" w:hAnsi="仿宋" w:eastAsia="仿宋" w:cs="仿宋"/>
          <w:sz w:val="28"/>
          <w:szCs w:val="28"/>
        </w:rPr>
      </w:pPr>
      <w:r>
        <w:rPr>
          <w:rFonts w:ascii="仿宋" w:hAnsi="仿宋" w:eastAsia="仿宋" w:cs="仿宋"/>
          <w:sz w:val="28"/>
          <w:szCs w:val="28"/>
        </w:rPr>
        <w:t>积极开展民用运输机场建设，实现跨越式发展。充分发</w:t>
      </w:r>
      <w:r>
        <w:rPr>
          <w:rFonts w:ascii="仿宋" w:hAnsi="仿宋" w:eastAsia="仿宋" w:cs="仿宋"/>
          <w:spacing w:val="-1"/>
          <w:sz w:val="28"/>
          <w:szCs w:val="28"/>
        </w:rPr>
        <w:t>挥政府引导、市</w:t>
      </w:r>
      <w:r>
        <w:rPr>
          <w:rFonts w:ascii="仿宋" w:hAnsi="仿宋" w:eastAsia="仿宋" w:cs="仿宋"/>
          <w:spacing w:val="-2"/>
          <w:sz w:val="28"/>
          <w:szCs w:val="28"/>
        </w:rPr>
        <w:t>场主导的作用，启动宣威永安机场建设，补齐交通运输短板，完善滇东北地区机场布局和综合交通体系，促进曲靖市地方经济和旅游业发展。探索宣威永安机场与昆明长水国际机场协同发展，合理开通省内外航线，为滇中城市</w:t>
      </w:r>
      <w:r>
        <w:rPr>
          <w:rFonts w:ascii="仿宋" w:hAnsi="仿宋" w:eastAsia="仿宋" w:cs="仿宋"/>
          <w:spacing w:val="-1"/>
          <w:sz w:val="28"/>
          <w:szCs w:val="28"/>
        </w:rPr>
        <w:t>经济圈一体化发展提供航空运输保障。</w:t>
      </w: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1D154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719" w:type="dxa"/>
            <w:vAlign w:val="top"/>
          </w:tcPr>
          <w:p w14:paraId="122CEA83">
            <w:pPr>
              <w:pStyle w:val="6"/>
              <w:spacing w:before="138" w:line="229" w:lineRule="auto"/>
              <w:ind w:left="1990"/>
              <w:rPr>
                <w:rFonts w:ascii="宋体" w:hAnsi="宋体" w:eastAsia="宋体" w:cs="宋体"/>
              </w:rPr>
            </w:pPr>
            <w:r>
              <w:rPr>
                <w:rFonts w:ascii="宋体" w:hAnsi="宋体" w:eastAsia="宋体" w:cs="宋体"/>
                <w:b/>
                <w:bCs/>
                <w:spacing w:val="12"/>
              </w:rPr>
              <w:t>专栏</w:t>
            </w:r>
            <w:r>
              <w:rPr>
                <w:rFonts w:ascii="宋体" w:hAnsi="宋体" w:eastAsia="宋体" w:cs="宋体"/>
                <w:spacing w:val="-24"/>
              </w:rPr>
              <w:t xml:space="preserve"> </w:t>
            </w:r>
            <w:r>
              <w:rPr>
                <w:b/>
                <w:bCs/>
                <w:spacing w:val="12"/>
              </w:rPr>
              <w:t xml:space="preserve">2    </w:t>
            </w:r>
            <w:r>
              <w:rPr>
                <w:rFonts w:ascii="宋体" w:hAnsi="宋体" w:eastAsia="宋体" w:cs="宋体"/>
                <w:b/>
                <w:bCs/>
                <w:spacing w:val="12"/>
              </w:rPr>
              <w:t>“十四五</w:t>
            </w:r>
            <w:r>
              <w:rPr>
                <w:rFonts w:ascii="宋体" w:hAnsi="宋体" w:eastAsia="宋体" w:cs="宋体"/>
                <w:spacing w:val="-63"/>
              </w:rPr>
              <w:t xml:space="preserve"> </w:t>
            </w:r>
            <w:r>
              <w:rPr>
                <w:rFonts w:ascii="宋体" w:hAnsi="宋体" w:eastAsia="宋体" w:cs="宋体"/>
                <w:b/>
                <w:bCs/>
                <w:spacing w:val="12"/>
              </w:rPr>
              <w:t>”期间综合交通快速网建设重点项目</w:t>
            </w:r>
          </w:p>
        </w:tc>
      </w:tr>
      <w:tr w14:paraId="695D0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7" w:hRule="atLeast"/>
        </w:trPr>
        <w:tc>
          <w:tcPr>
            <w:tcW w:w="8719" w:type="dxa"/>
            <w:vAlign w:val="top"/>
          </w:tcPr>
          <w:p w14:paraId="63E82E91">
            <w:pPr>
              <w:pStyle w:val="6"/>
              <w:spacing w:before="103" w:line="274" w:lineRule="exact"/>
              <w:ind w:left="568"/>
              <w:rPr>
                <w:rFonts w:ascii="宋体" w:hAnsi="宋体" w:eastAsia="宋体" w:cs="宋体"/>
              </w:rPr>
            </w:pPr>
            <w:r>
              <w:rPr>
                <w:spacing w:val="13"/>
                <w:position w:val="1"/>
              </w:rPr>
              <w:t xml:space="preserve">1.  </w:t>
            </w:r>
            <w:r>
              <w:rPr>
                <w:rFonts w:ascii="宋体" w:hAnsi="宋体" w:eastAsia="宋体" w:cs="宋体"/>
                <w:spacing w:val="13"/>
                <w:position w:val="1"/>
              </w:rPr>
              <w:t>铁路“建网提速</w:t>
            </w:r>
            <w:r>
              <w:rPr>
                <w:rFonts w:ascii="宋体" w:hAnsi="宋体" w:eastAsia="宋体" w:cs="宋体"/>
                <w:spacing w:val="-53"/>
                <w:position w:val="1"/>
              </w:rPr>
              <w:t xml:space="preserve"> </w:t>
            </w:r>
            <w:r>
              <w:rPr>
                <w:rFonts w:ascii="宋体" w:hAnsi="宋体" w:eastAsia="宋体" w:cs="宋体"/>
                <w:spacing w:val="13"/>
                <w:position w:val="1"/>
              </w:rPr>
              <w:t>”工程——高速铁路和城际铁路</w:t>
            </w:r>
          </w:p>
          <w:p w14:paraId="7440F588">
            <w:pPr>
              <w:spacing w:before="239" w:line="358" w:lineRule="auto"/>
              <w:ind w:left="115" w:right="115" w:firstLine="438"/>
              <w:rPr>
                <w:rFonts w:ascii="宋体" w:hAnsi="宋体" w:eastAsia="宋体" w:cs="宋体"/>
                <w:sz w:val="20"/>
                <w:szCs w:val="20"/>
              </w:rPr>
            </w:pPr>
            <w:r>
              <w:rPr>
                <w:rFonts w:ascii="宋体" w:hAnsi="宋体" w:eastAsia="宋体" w:cs="宋体"/>
                <w:spacing w:val="17"/>
                <w:sz w:val="20"/>
                <w:szCs w:val="20"/>
              </w:rPr>
              <w:t>持续推进渝昆高速铁路曲靖段工程项目建设；积极推动弥勒至曲靖至田坝高速铁路和</w:t>
            </w:r>
            <w:r>
              <w:rPr>
                <w:rFonts w:ascii="宋体" w:hAnsi="宋体" w:eastAsia="宋体" w:cs="宋体"/>
                <w:spacing w:val="16"/>
                <w:sz w:val="20"/>
                <w:szCs w:val="20"/>
              </w:rPr>
              <w:t>曲靖至宣威高速铁路项目前期工作，条件成熟适时启动建设</w:t>
            </w:r>
            <w:r>
              <w:rPr>
                <w:rFonts w:ascii="宋体" w:hAnsi="宋体" w:eastAsia="宋体" w:cs="宋体"/>
                <w:spacing w:val="-46"/>
                <w:sz w:val="20"/>
                <w:szCs w:val="20"/>
              </w:rPr>
              <w:t xml:space="preserve"> </w:t>
            </w:r>
            <w:r>
              <w:rPr>
                <w:rFonts w:ascii="宋体" w:hAnsi="宋体" w:eastAsia="宋体" w:cs="宋体"/>
                <w:spacing w:val="16"/>
                <w:sz w:val="20"/>
                <w:szCs w:val="20"/>
              </w:rPr>
              <w:t>。开展南昆高铁（昆明至罗平</w:t>
            </w:r>
            <w:r>
              <w:rPr>
                <w:rFonts w:ascii="宋体" w:hAnsi="宋体" w:eastAsia="宋体" w:cs="宋体"/>
                <w:spacing w:val="10"/>
                <w:sz w:val="20"/>
                <w:szCs w:val="20"/>
              </w:rPr>
              <w:t>段）</w:t>
            </w:r>
            <w:r>
              <w:rPr>
                <w:rFonts w:ascii="宋体" w:hAnsi="宋体" w:eastAsia="宋体" w:cs="宋体"/>
                <w:spacing w:val="-40"/>
                <w:sz w:val="20"/>
                <w:szCs w:val="20"/>
              </w:rPr>
              <w:t xml:space="preserve"> </w:t>
            </w:r>
            <w:r>
              <w:rPr>
                <w:rFonts w:ascii="宋体" w:hAnsi="宋体" w:eastAsia="宋体" w:cs="宋体"/>
                <w:spacing w:val="10"/>
                <w:sz w:val="20"/>
                <w:szCs w:val="20"/>
              </w:rPr>
              <w:t>的前期规划研究工作。</w:t>
            </w:r>
          </w:p>
          <w:p w14:paraId="67A71044">
            <w:pPr>
              <w:pStyle w:val="6"/>
              <w:spacing w:line="274" w:lineRule="exact"/>
              <w:ind w:left="547"/>
              <w:rPr>
                <w:rFonts w:ascii="宋体" w:hAnsi="宋体" w:eastAsia="宋体" w:cs="宋体"/>
              </w:rPr>
            </w:pPr>
            <w:r>
              <w:rPr>
                <w:spacing w:val="11"/>
                <w:position w:val="1"/>
              </w:rPr>
              <w:t>2.</w:t>
            </w:r>
            <w:r>
              <w:rPr>
                <w:spacing w:val="19"/>
                <w:position w:val="1"/>
              </w:rPr>
              <w:t xml:space="preserve">  </w:t>
            </w:r>
            <w:r>
              <w:rPr>
                <w:rFonts w:ascii="宋体" w:hAnsi="宋体" w:eastAsia="宋体" w:cs="宋体"/>
                <w:spacing w:val="11"/>
                <w:position w:val="1"/>
              </w:rPr>
              <w:t>高速公路“互联互通</w:t>
            </w:r>
            <w:r>
              <w:rPr>
                <w:rFonts w:ascii="宋体" w:hAnsi="宋体" w:eastAsia="宋体" w:cs="宋体"/>
                <w:spacing w:val="-63"/>
                <w:position w:val="1"/>
              </w:rPr>
              <w:t xml:space="preserve"> </w:t>
            </w:r>
            <w:r>
              <w:rPr>
                <w:rFonts w:ascii="宋体" w:hAnsi="宋体" w:eastAsia="宋体" w:cs="宋体"/>
                <w:spacing w:val="11"/>
                <w:position w:val="1"/>
              </w:rPr>
              <w:t>”工程</w:t>
            </w:r>
          </w:p>
          <w:p w14:paraId="24411AE9">
            <w:pPr>
              <w:pStyle w:val="6"/>
              <w:spacing w:before="205" w:line="350" w:lineRule="auto"/>
              <w:ind w:left="114" w:right="23" w:firstLine="441"/>
              <w:rPr>
                <w:rFonts w:ascii="宋体" w:hAnsi="宋体" w:eastAsia="宋体" w:cs="宋体"/>
              </w:rPr>
            </w:pPr>
            <w:r>
              <w:rPr>
                <w:rFonts w:ascii="宋体" w:hAnsi="宋体" w:eastAsia="宋体" w:cs="宋体"/>
                <w:spacing w:val="14"/>
              </w:rPr>
              <w:t>继续推进杨柳至宣威、</w:t>
            </w:r>
            <w:r>
              <w:rPr>
                <w:rFonts w:ascii="宋体" w:hAnsi="宋体" w:eastAsia="宋体" w:cs="宋体"/>
                <w:spacing w:val="-55"/>
              </w:rPr>
              <w:t xml:space="preserve"> </w:t>
            </w:r>
            <w:r>
              <w:rPr>
                <w:rFonts w:ascii="宋体" w:hAnsi="宋体" w:eastAsia="宋体" w:cs="宋体"/>
                <w:spacing w:val="14"/>
              </w:rPr>
              <w:t>曲靖三宝至昆明清水、</w:t>
            </w:r>
            <w:r>
              <w:rPr>
                <w:rFonts w:ascii="宋体" w:hAnsi="宋体" w:eastAsia="宋体" w:cs="宋体"/>
                <w:spacing w:val="-52"/>
              </w:rPr>
              <w:t xml:space="preserve"> </w:t>
            </w:r>
            <w:r>
              <w:rPr>
                <w:rFonts w:ascii="宋体" w:hAnsi="宋体" w:eastAsia="宋体" w:cs="宋体"/>
                <w:spacing w:val="14"/>
              </w:rPr>
              <w:t>曲靖至师宗、罗平至八</w:t>
            </w:r>
            <w:r>
              <w:rPr>
                <w:rFonts w:ascii="宋体" w:hAnsi="宋体" w:eastAsia="宋体" w:cs="宋体"/>
                <w:spacing w:val="13"/>
              </w:rPr>
              <w:t>大河</w:t>
            </w:r>
            <w:r>
              <w:rPr>
                <w:rFonts w:ascii="宋体" w:hAnsi="宋体" w:eastAsia="宋体" w:cs="宋体"/>
                <w:spacing w:val="-32"/>
              </w:rPr>
              <w:t xml:space="preserve"> </w:t>
            </w:r>
            <w:r>
              <w:rPr>
                <w:spacing w:val="13"/>
              </w:rPr>
              <w:t>4</w:t>
            </w:r>
            <w:r>
              <w:rPr>
                <w:spacing w:val="19"/>
              </w:rPr>
              <w:t xml:space="preserve"> </w:t>
            </w:r>
            <w:r>
              <w:rPr>
                <w:rFonts w:ascii="宋体" w:hAnsi="宋体" w:eastAsia="宋体" w:cs="宋体"/>
                <w:spacing w:val="13"/>
              </w:rPr>
              <w:t>条高速公</w:t>
            </w:r>
            <w:r>
              <w:rPr>
                <w:rFonts w:ascii="宋体" w:hAnsi="宋体" w:eastAsia="宋体" w:cs="宋体"/>
                <w:spacing w:val="16"/>
              </w:rPr>
              <w:t>路剩余工程收尾；加快实施曲靖至贵州盘州（扩容改造）</w:t>
            </w:r>
            <w:r>
              <w:rPr>
                <w:rFonts w:ascii="宋体" w:hAnsi="宋体" w:eastAsia="宋体" w:cs="宋体"/>
                <w:spacing w:val="-39"/>
              </w:rPr>
              <w:t xml:space="preserve"> </w:t>
            </w:r>
            <w:r>
              <w:rPr>
                <w:rFonts w:ascii="宋体" w:hAnsi="宋体" w:eastAsia="宋体" w:cs="宋体"/>
                <w:spacing w:val="16"/>
              </w:rPr>
              <w:t>、陆良至寻甸、师宗至丘北、宣</w:t>
            </w:r>
            <w:r>
              <w:rPr>
                <w:rFonts w:ascii="宋体" w:hAnsi="宋体" w:eastAsia="宋体" w:cs="宋体"/>
                <w:spacing w:val="14"/>
              </w:rPr>
              <w:t>威至富源、富源至罗平、宣威至会泽、会泽至巧家、宣威永安机场高速（沾益炎方至花山）</w:t>
            </w:r>
            <w:r>
              <w:rPr>
                <w:rFonts w:ascii="宋体" w:hAnsi="宋体" w:eastAsia="宋体" w:cs="宋体"/>
                <w:spacing w:val="15"/>
              </w:rPr>
              <w:t xml:space="preserve"> </w:t>
            </w:r>
            <w:r>
              <w:rPr>
                <w:spacing w:val="17"/>
              </w:rPr>
              <w:t>8</w:t>
            </w:r>
            <w:r>
              <w:rPr>
                <w:spacing w:val="32"/>
                <w:w w:val="101"/>
              </w:rPr>
              <w:t xml:space="preserve"> </w:t>
            </w:r>
            <w:r>
              <w:rPr>
                <w:rFonts w:ascii="宋体" w:hAnsi="宋体" w:eastAsia="宋体" w:cs="宋体"/>
                <w:spacing w:val="17"/>
              </w:rPr>
              <w:t>条“互联互通</w:t>
            </w:r>
            <w:r>
              <w:rPr>
                <w:rFonts w:ascii="宋体" w:hAnsi="宋体" w:eastAsia="宋体" w:cs="宋体"/>
                <w:spacing w:val="-63"/>
              </w:rPr>
              <w:t xml:space="preserve"> </w:t>
            </w:r>
            <w:r>
              <w:rPr>
                <w:rFonts w:ascii="宋体" w:hAnsi="宋体" w:eastAsia="宋体" w:cs="宋体"/>
                <w:spacing w:val="17"/>
              </w:rPr>
              <w:t>”高速公路项目。推动前期，开展宣威至盘州、陆良板桥至召夸、会泽至</w:t>
            </w:r>
            <w:r>
              <w:rPr>
                <w:rFonts w:ascii="宋体" w:hAnsi="宋体" w:eastAsia="宋体" w:cs="宋体"/>
                <w:spacing w:val="16"/>
              </w:rPr>
              <w:t>威宁、兴仁至麒麟、昭通至曲靖(会泽)至昆明、富村至长底</w:t>
            </w:r>
            <w:r>
              <w:rPr>
                <w:rFonts w:ascii="宋体" w:hAnsi="宋体" w:eastAsia="宋体" w:cs="宋体"/>
                <w:spacing w:val="-26"/>
              </w:rPr>
              <w:t xml:space="preserve"> </w:t>
            </w:r>
            <w:r>
              <w:rPr>
                <w:spacing w:val="16"/>
              </w:rPr>
              <w:t>6</w:t>
            </w:r>
            <w:r>
              <w:rPr>
                <w:spacing w:val="19"/>
              </w:rPr>
              <w:t xml:space="preserve"> </w:t>
            </w:r>
            <w:r>
              <w:rPr>
                <w:rFonts w:ascii="宋体" w:hAnsi="宋体" w:eastAsia="宋体" w:cs="宋体"/>
                <w:spacing w:val="16"/>
              </w:rPr>
              <w:t>条高速公路前期规划研究工</w:t>
            </w:r>
          </w:p>
        </w:tc>
      </w:tr>
    </w:tbl>
    <w:p w14:paraId="78FE6D49">
      <w:pPr>
        <w:pStyle w:val="2"/>
      </w:pPr>
    </w:p>
    <w:p w14:paraId="5A289205">
      <w:pPr>
        <w:sectPr>
          <w:headerReference r:id="rId65" w:type="default"/>
          <w:footerReference r:id="rId66" w:type="default"/>
          <w:pgSz w:w="11906" w:h="16839"/>
          <w:pgMar w:top="1222" w:right="1580" w:bottom="1156" w:left="1134" w:header="885" w:footer="920" w:gutter="0"/>
          <w:cols w:space="720" w:num="1"/>
        </w:sectPr>
      </w:pPr>
    </w:p>
    <w:p w14:paraId="64339E24">
      <w:pPr>
        <w:spacing w:line="194" w:lineRule="exact"/>
      </w:pPr>
    </w:p>
    <w:tbl>
      <w:tblPr>
        <w:tblStyle w:val="5"/>
        <w:tblW w:w="8719" w:type="dxa"/>
        <w:tblInd w:w="23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19"/>
      </w:tblGrid>
      <w:tr w14:paraId="792C6E8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886" w:hRule="atLeast"/>
        </w:trPr>
        <w:tc>
          <w:tcPr>
            <w:tcW w:w="8719" w:type="dxa"/>
            <w:vAlign w:val="top"/>
          </w:tcPr>
          <w:p w14:paraId="2021BBD5">
            <w:pPr>
              <w:spacing w:before="143" w:line="356" w:lineRule="auto"/>
              <w:ind w:left="114" w:right="147" w:firstLine="1"/>
              <w:rPr>
                <w:rFonts w:ascii="宋体" w:hAnsi="宋体" w:eastAsia="宋体" w:cs="宋体"/>
                <w:sz w:val="20"/>
                <w:szCs w:val="20"/>
              </w:rPr>
            </w:pPr>
            <w:r>
              <w:rPr>
                <w:rFonts w:ascii="宋体" w:hAnsi="宋体" w:eastAsia="宋体" w:cs="宋体"/>
                <w:spacing w:val="17"/>
                <w:sz w:val="20"/>
                <w:szCs w:val="20"/>
              </w:rPr>
              <w:t>作，条件成熟适时启动建设。积极推进高速公路绿化美化</w:t>
            </w:r>
            <w:r>
              <w:rPr>
                <w:rFonts w:ascii="宋体" w:hAnsi="宋体" w:eastAsia="宋体" w:cs="宋体"/>
                <w:spacing w:val="16"/>
                <w:sz w:val="20"/>
                <w:szCs w:val="20"/>
              </w:rPr>
              <w:t>工作，打造生态、环保、绿色、</w:t>
            </w:r>
            <w:r>
              <w:rPr>
                <w:rFonts w:ascii="宋体" w:hAnsi="宋体" w:eastAsia="宋体" w:cs="宋体"/>
                <w:spacing w:val="15"/>
                <w:sz w:val="20"/>
                <w:szCs w:val="20"/>
              </w:rPr>
              <w:t>低碳的绿美交通，助力绿美云南行动。</w:t>
            </w:r>
          </w:p>
          <w:p w14:paraId="73D4CB17">
            <w:pPr>
              <w:pStyle w:val="6"/>
              <w:spacing w:before="1" w:line="359" w:lineRule="auto"/>
              <w:ind w:left="122" w:right="115" w:firstLine="430"/>
              <w:rPr>
                <w:rFonts w:ascii="宋体" w:hAnsi="宋体" w:eastAsia="宋体" w:cs="宋体"/>
              </w:rPr>
            </w:pPr>
            <w:r>
              <w:rPr>
                <w:rFonts w:ascii="宋体" w:hAnsi="宋体" w:eastAsia="宋体" w:cs="宋体"/>
                <w:spacing w:val="13"/>
              </w:rPr>
              <w:t>全市规划形成内联外通的“</w:t>
            </w:r>
            <w:r>
              <w:rPr>
                <w:rFonts w:ascii="宋体" w:hAnsi="宋体" w:eastAsia="宋体" w:cs="宋体"/>
                <w:spacing w:val="-66"/>
              </w:rPr>
              <w:t xml:space="preserve"> </w:t>
            </w:r>
            <w:r>
              <w:rPr>
                <w:spacing w:val="13"/>
              </w:rPr>
              <w:t>1</w:t>
            </w:r>
            <w:r>
              <w:rPr>
                <w:spacing w:val="19"/>
                <w:w w:val="101"/>
              </w:rPr>
              <w:t xml:space="preserve"> </w:t>
            </w:r>
            <w:r>
              <w:rPr>
                <w:rFonts w:ascii="宋体" w:hAnsi="宋体" w:eastAsia="宋体" w:cs="宋体"/>
                <w:spacing w:val="13"/>
              </w:rPr>
              <w:t>环</w:t>
            </w:r>
            <w:r>
              <w:rPr>
                <w:rFonts w:ascii="宋体" w:hAnsi="宋体" w:eastAsia="宋体" w:cs="宋体"/>
                <w:spacing w:val="-27"/>
              </w:rPr>
              <w:t xml:space="preserve"> </w:t>
            </w:r>
            <w:r>
              <w:rPr>
                <w:spacing w:val="13"/>
              </w:rPr>
              <w:t>3</w:t>
            </w:r>
            <w:r>
              <w:rPr>
                <w:spacing w:val="23"/>
              </w:rPr>
              <w:t xml:space="preserve"> </w:t>
            </w:r>
            <w:r>
              <w:rPr>
                <w:rFonts w:ascii="宋体" w:hAnsi="宋体" w:eastAsia="宋体" w:cs="宋体"/>
                <w:spacing w:val="13"/>
              </w:rPr>
              <w:t>纵</w:t>
            </w:r>
            <w:r>
              <w:rPr>
                <w:rFonts w:ascii="宋体" w:hAnsi="宋体" w:eastAsia="宋体" w:cs="宋体"/>
                <w:spacing w:val="-26"/>
              </w:rPr>
              <w:t xml:space="preserve"> </w:t>
            </w:r>
            <w:r>
              <w:rPr>
                <w:spacing w:val="13"/>
              </w:rPr>
              <w:t>5</w:t>
            </w:r>
            <w:r>
              <w:rPr>
                <w:spacing w:val="19"/>
              </w:rPr>
              <w:t xml:space="preserve"> </w:t>
            </w:r>
            <w:r>
              <w:rPr>
                <w:rFonts w:ascii="宋体" w:hAnsi="宋体" w:eastAsia="宋体" w:cs="宋体"/>
                <w:spacing w:val="13"/>
              </w:rPr>
              <w:t>横</w:t>
            </w:r>
            <w:r>
              <w:rPr>
                <w:rFonts w:ascii="宋体" w:hAnsi="宋体" w:eastAsia="宋体" w:cs="宋体"/>
                <w:spacing w:val="-28"/>
              </w:rPr>
              <w:t xml:space="preserve"> </w:t>
            </w:r>
            <w:r>
              <w:rPr>
                <w:spacing w:val="13"/>
              </w:rPr>
              <w:t>7</w:t>
            </w:r>
            <w:r>
              <w:rPr>
                <w:spacing w:val="20"/>
                <w:w w:val="101"/>
              </w:rPr>
              <w:t xml:space="preserve"> </w:t>
            </w:r>
            <w:r>
              <w:rPr>
                <w:rFonts w:ascii="宋体" w:hAnsi="宋体" w:eastAsia="宋体" w:cs="宋体"/>
                <w:spacing w:val="13"/>
              </w:rPr>
              <w:t>联</w:t>
            </w:r>
            <w:r>
              <w:rPr>
                <w:rFonts w:ascii="宋体" w:hAnsi="宋体" w:eastAsia="宋体" w:cs="宋体"/>
                <w:spacing w:val="-63"/>
              </w:rPr>
              <w:t xml:space="preserve"> </w:t>
            </w:r>
            <w:r>
              <w:rPr>
                <w:rFonts w:ascii="宋体" w:hAnsi="宋体" w:eastAsia="宋体" w:cs="宋体"/>
                <w:spacing w:val="13"/>
              </w:rPr>
              <w:t>”高速公路网布局，</w:t>
            </w:r>
            <w:r>
              <w:rPr>
                <w:rFonts w:ascii="宋体" w:hAnsi="宋体" w:eastAsia="宋体" w:cs="宋体"/>
                <w:spacing w:val="12"/>
              </w:rPr>
              <w:t>加快融入全省高速</w:t>
            </w:r>
            <w:r>
              <w:rPr>
                <w:rFonts w:ascii="宋体" w:hAnsi="宋体" w:eastAsia="宋体" w:cs="宋体"/>
                <w:spacing w:val="16"/>
              </w:rPr>
              <w:t>公路网，实现相邻城市直达联通、与周边省区快速畅通。</w:t>
            </w:r>
          </w:p>
          <w:p w14:paraId="401FBAD0">
            <w:pPr>
              <w:pStyle w:val="6"/>
              <w:spacing w:before="12" w:line="275" w:lineRule="exact"/>
              <w:ind w:left="552"/>
              <w:rPr>
                <w:rFonts w:ascii="宋体" w:hAnsi="宋体" w:eastAsia="宋体" w:cs="宋体"/>
              </w:rPr>
            </w:pPr>
            <w:r>
              <w:rPr>
                <w:spacing w:val="12"/>
                <w:position w:val="1"/>
              </w:rPr>
              <w:t>3.</w:t>
            </w:r>
            <w:r>
              <w:rPr>
                <w:spacing w:val="28"/>
                <w:position w:val="1"/>
              </w:rPr>
              <w:t xml:space="preserve">  </w:t>
            </w:r>
            <w:r>
              <w:rPr>
                <w:rFonts w:ascii="宋体" w:hAnsi="宋体" w:eastAsia="宋体" w:cs="宋体"/>
                <w:spacing w:val="12"/>
                <w:position w:val="1"/>
              </w:rPr>
              <w:t>民航“补齐短板</w:t>
            </w:r>
            <w:r>
              <w:rPr>
                <w:rFonts w:ascii="宋体" w:hAnsi="宋体" w:eastAsia="宋体" w:cs="宋体"/>
                <w:spacing w:val="-63"/>
                <w:position w:val="1"/>
              </w:rPr>
              <w:t xml:space="preserve"> </w:t>
            </w:r>
            <w:r>
              <w:rPr>
                <w:rFonts w:ascii="宋体" w:hAnsi="宋体" w:eastAsia="宋体" w:cs="宋体"/>
                <w:spacing w:val="12"/>
                <w:position w:val="1"/>
              </w:rPr>
              <w:t>”工程——民用运输机场</w:t>
            </w:r>
          </w:p>
          <w:p w14:paraId="1B69F1D1">
            <w:pPr>
              <w:spacing w:before="240" w:line="302" w:lineRule="auto"/>
              <w:ind w:left="119" w:right="115" w:firstLine="436"/>
              <w:rPr>
                <w:rFonts w:ascii="宋体" w:hAnsi="宋体" w:eastAsia="宋体" w:cs="宋体"/>
                <w:sz w:val="20"/>
                <w:szCs w:val="20"/>
              </w:rPr>
            </w:pPr>
            <w:r>
              <w:rPr>
                <w:rFonts w:ascii="宋体" w:hAnsi="宋体" w:eastAsia="宋体" w:cs="宋体"/>
                <w:spacing w:val="17"/>
                <w:sz w:val="20"/>
                <w:szCs w:val="20"/>
              </w:rPr>
              <w:t>启动宣威永安机场建设，补齐交通运输短板，完善滇东北地区机场布局和综合交通体</w:t>
            </w:r>
            <w:r>
              <w:rPr>
                <w:rFonts w:ascii="宋体" w:hAnsi="宋体" w:eastAsia="宋体" w:cs="宋体"/>
                <w:spacing w:val="16"/>
                <w:sz w:val="20"/>
                <w:szCs w:val="20"/>
              </w:rPr>
              <w:t>系；探索宣威永安机场与昆明长水国际机场协同发展。</w:t>
            </w:r>
          </w:p>
        </w:tc>
      </w:tr>
    </w:tbl>
    <w:p w14:paraId="744B0E9A">
      <w:pPr>
        <w:pStyle w:val="2"/>
        <w:spacing w:line="313" w:lineRule="auto"/>
      </w:pPr>
    </w:p>
    <w:p w14:paraId="3A033980">
      <w:pPr>
        <w:spacing w:before="92" w:line="220" w:lineRule="auto"/>
        <w:ind w:left="569"/>
        <w:outlineLvl w:val="2"/>
        <w:rPr>
          <w:rFonts w:ascii="黑体" w:hAnsi="黑体" w:eastAsia="黑体" w:cs="黑体"/>
          <w:sz w:val="28"/>
          <w:szCs w:val="28"/>
        </w:rPr>
      </w:pPr>
      <w:bookmarkStart w:id="32" w:name="bookmark26"/>
      <w:bookmarkEnd w:id="32"/>
      <w:r>
        <w:rPr>
          <w:rFonts w:ascii="黑体" w:hAnsi="黑体" w:eastAsia="黑体" w:cs="黑体"/>
          <w:spacing w:val="-1"/>
          <w:sz w:val="28"/>
          <w:szCs w:val="28"/>
        </w:rPr>
        <w:t>2. 建设高效率的普速干线网</w:t>
      </w:r>
    </w:p>
    <w:p w14:paraId="2DF8D9E4">
      <w:pPr>
        <w:spacing w:before="294" w:line="343" w:lineRule="auto"/>
        <w:ind w:left="10" w:right="77" w:firstLine="499"/>
        <w:jc w:val="both"/>
        <w:rPr>
          <w:rFonts w:ascii="仿宋" w:hAnsi="仿宋" w:eastAsia="仿宋" w:cs="仿宋"/>
          <w:sz w:val="28"/>
          <w:szCs w:val="28"/>
        </w:rPr>
      </w:pPr>
      <w:r>
        <w:rPr>
          <w:rFonts w:ascii="仿宋" w:hAnsi="仿宋" w:eastAsia="仿宋" w:cs="仿宋"/>
          <w:spacing w:val="-2"/>
          <w:sz w:val="28"/>
          <w:szCs w:val="28"/>
        </w:rPr>
        <w:t>推进普速铁路建设，拓展铁路网覆盖度。</w:t>
      </w:r>
      <w:r>
        <w:rPr>
          <w:rFonts w:ascii="仿宋" w:hAnsi="仿宋" w:eastAsia="仿宋" w:cs="仿宋"/>
          <w:spacing w:val="-70"/>
          <w:sz w:val="28"/>
          <w:szCs w:val="28"/>
        </w:rPr>
        <w:t xml:space="preserve"> </w:t>
      </w:r>
      <w:r>
        <w:rPr>
          <w:rFonts w:ascii="仿宋" w:hAnsi="仿宋" w:eastAsia="仿宋" w:cs="仿宋"/>
          <w:spacing w:val="-2"/>
          <w:sz w:val="28"/>
          <w:szCs w:val="28"/>
        </w:rPr>
        <w:t>以</w:t>
      </w:r>
      <w:r>
        <w:rPr>
          <w:rFonts w:ascii="仿宋" w:hAnsi="仿宋" w:eastAsia="仿宋" w:cs="仿宋"/>
          <w:spacing w:val="-3"/>
          <w:sz w:val="28"/>
          <w:szCs w:val="28"/>
        </w:rPr>
        <w:t>改变曲靖乃至整个滇东区域</w:t>
      </w:r>
      <w:r>
        <w:rPr>
          <w:rFonts w:ascii="仿宋" w:hAnsi="仿宋" w:eastAsia="仿宋" w:cs="仿宋"/>
          <w:spacing w:val="-2"/>
          <w:sz w:val="28"/>
          <w:szCs w:val="28"/>
        </w:rPr>
        <w:t>铁路网总体呈现有纬线、无经线格局为重点任务，加快推进沪昆至南昆普铁</w:t>
      </w:r>
      <w:r>
        <w:rPr>
          <w:rFonts w:ascii="仿宋" w:hAnsi="仿宋" w:eastAsia="仿宋" w:cs="仿宋"/>
          <w:spacing w:val="2"/>
          <w:sz w:val="28"/>
          <w:szCs w:val="28"/>
        </w:rPr>
        <w:t>连接线（珠江源-白水-越州-师宗）建设，在曲靖境内将贵昆铁路、盘西支</w:t>
      </w:r>
      <w:r>
        <w:rPr>
          <w:rFonts w:ascii="仿宋" w:hAnsi="仿宋" w:eastAsia="仿宋" w:cs="仿宋"/>
          <w:spacing w:val="-2"/>
          <w:sz w:val="28"/>
          <w:szCs w:val="28"/>
        </w:rPr>
        <w:t>线以及南昆铁路串通，不仅实现横向运输提质增效，纵向运输弥补空白，且满足沿线工业园区大宗货物运输需求，降低物流运输成本，同时进一步巩固曲靖铁路集疏运一体化建设。开展曲靖至文山铁路和东川至会泽至巧家铁路前期研究工作，并充分考虑曲靖至文山铁路与文山至靖西铁路有效衔接，不断扩宽曲靖至防城港通道，对曲靖推动铁海联运协同发展，融入西部陆海新通道形成重要支撑。</w:t>
      </w:r>
    </w:p>
    <w:p w14:paraId="7E368B51">
      <w:pPr>
        <w:spacing w:before="14" w:line="342" w:lineRule="auto"/>
        <w:ind w:left="8" w:right="74" w:firstLine="515"/>
        <w:rPr>
          <w:rFonts w:ascii="仿宋" w:hAnsi="仿宋" w:eastAsia="仿宋" w:cs="仿宋"/>
          <w:sz w:val="28"/>
          <w:szCs w:val="28"/>
        </w:rPr>
      </w:pPr>
      <w:r>
        <w:rPr>
          <w:rFonts w:ascii="仿宋" w:hAnsi="仿宋" w:eastAsia="仿宋" w:cs="仿宋"/>
          <w:spacing w:val="-2"/>
          <w:sz w:val="28"/>
          <w:szCs w:val="28"/>
        </w:rPr>
        <w:t>实施普通国省道升级改造，提高普通公路服务能力。按照</w:t>
      </w:r>
      <w:r>
        <w:rPr>
          <w:rFonts w:ascii="仿宋" w:hAnsi="仿宋" w:eastAsia="仿宋" w:cs="仿宋"/>
          <w:spacing w:val="-94"/>
          <w:sz w:val="28"/>
          <w:szCs w:val="28"/>
        </w:rPr>
        <w:t xml:space="preserve"> </w:t>
      </w:r>
      <w:r>
        <w:rPr>
          <w:rFonts w:ascii="仿宋" w:hAnsi="仿宋" w:eastAsia="仿宋" w:cs="仿宋"/>
          <w:spacing w:val="-2"/>
          <w:sz w:val="28"/>
          <w:szCs w:val="28"/>
        </w:rPr>
        <w:t>“扩大覆盖、完善网络”的原则，以提升路网技术等级为重点任务，推进普通国省道既有低等级路段升级改造，基本消除断头路、瓶颈路、等外路和无铺装路面。重</w:t>
      </w:r>
      <w:r>
        <w:rPr>
          <w:rFonts w:ascii="仿宋" w:hAnsi="仿宋" w:eastAsia="仿宋" w:cs="仿宋"/>
          <w:spacing w:val="1"/>
          <w:sz w:val="28"/>
          <w:szCs w:val="28"/>
        </w:rPr>
        <w:t>点实施</w:t>
      </w:r>
      <w:r>
        <w:rPr>
          <w:rFonts w:ascii="仿宋" w:hAnsi="仿宋" w:eastAsia="仿宋" w:cs="仿宋"/>
          <w:spacing w:val="-56"/>
          <w:sz w:val="28"/>
          <w:szCs w:val="28"/>
        </w:rPr>
        <w:t xml:space="preserve"> </w:t>
      </w:r>
      <w:r>
        <w:rPr>
          <w:rFonts w:ascii="仿宋" w:hAnsi="仿宋" w:eastAsia="仿宋" w:cs="仿宋"/>
          <w:spacing w:val="1"/>
          <w:sz w:val="28"/>
          <w:szCs w:val="28"/>
        </w:rPr>
        <w:t>G357</w:t>
      </w:r>
      <w:r>
        <w:rPr>
          <w:rFonts w:ascii="仿宋" w:hAnsi="仿宋" w:eastAsia="仿宋" w:cs="仿宋"/>
          <w:spacing w:val="-43"/>
          <w:sz w:val="28"/>
          <w:szCs w:val="28"/>
        </w:rPr>
        <w:t xml:space="preserve"> </w:t>
      </w:r>
      <w:r>
        <w:rPr>
          <w:rFonts w:ascii="仿宋" w:hAnsi="仿宋" w:eastAsia="仿宋" w:cs="仿宋"/>
          <w:spacing w:val="1"/>
          <w:sz w:val="28"/>
          <w:szCs w:val="28"/>
        </w:rPr>
        <w:t>断头路大水井至五龙段建设，适时启动普通国省道低等级路段</w:t>
      </w:r>
      <w:r>
        <w:rPr>
          <w:rFonts w:ascii="仿宋" w:hAnsi="仿宋" w:eastAsia="仿宋" w:cs="仿宋"/>
          <w:spacing w:val="-2"/>
          <w:sz w:val="28"/>
          <w:szCs w:val="28"/>
        </w:rPr>
        <w:t>的改扩建，优化路网结构，实现与高速公路、城市干道、农村公路的有效衔接，助力新型城镇化和区域协调发展。对长期超负荷运行、路面破损严重的路段实施路面改造，提高普通国省道安全性、抗灾能力和行车舒适性。积极推进普通国省道绿化美化工作，打造一批路容路貌整洁，绿化美化效果较好的美丽舒适、绿色生态、安全畅通的国省干线公路。加大普通国省道危桥改造力度和安保设施建设，提高整体路网服务水平；各县（市、区）结合实际</w:t>
      </w:r>
    </w:p>
    <w:p w14:paraId="1A50F653">
      <w:pPr>
        <w:spacing w:line="342" w:lineRule="auto"/>
        <w:rPr>
          <w:rFonts w:ascii="仿宋" w:hAnsi="仿宋" w:eastAsia="仿宋" w:cs="仿宋"/>
          <w:sz w:val="28"/>
          <w:szCs w:val="28"/>
        </w:rPr>
        <w:sectPr>
          <w:headerReference r:id="rId67" w:type="default"/>
          <w:footerReference r:id="rId68" w:type="default"/>
          <w:pgSz w:w="11906" w:h="16839"/>
          <w:pgMar w:top="1222" w:right="1054" w:bottom="1156" w:left="1587" w:header="885" w:footer="920" w:gutter="0"/>
          <w:cols w:space="720" w:num="1"/>
        </w:sectPr>
      </w:pPr>
    </w:p>
    <w:p w14:paraId="10C5EC03">
      <w:pPr>
        <w:pStyle w:val="2"/>
        <w:spacing w:line="277" w:lineRule="auto"/>
      </w:pPr>
    </w:p>
    <w:p w14:paraId="75A5B2D2">
      <w:pPr>
        <w:spacing w:before="91" w:line="343" w:lineRule="auto"/>
        <w:ind w:left="16" w:right="74" w:hanging="7"/>
        <w:rPr>
          <w:rFonts w:ascii="仿宋" w:hAnsi="仿宋" w:eastAsia="仿宋" w:cs="仿宋"/>
          <w:sz w:val="28"/>
          <w:szCs w:val="28"/>
        </w:rPr>
      </w:pPr>
      <w:r>
        <w:rPr>
          <w:rFonts w:ascii="仿宋" w:hAnsi="仿宋" w:eastAsia="仿宋" w:cs="仿宋"/>
          <w:spacing w:val="-2"/>
          <w:sz w:val="28"/>
          <w:szCs w:val="28"/>
        </w:rPr>
        <w:t>发展需求，适度增加普通国省道治超站点规划建设，全面提升公路治超执法</w:t>
      </w:r>
      <w:r>
        <w:rPr>
          <w:rFonts w:ascii="仿宋" w:hAnsi="仿宋" w:eastAsia="仿宋" w:cs="仿宋"/>
          <w:spacing w:val="-6"/>
          <w:sz w:val="28"/>
          <w:szCs w:val="28"/>
        </w:rPr>
        <w:t>效能。</w:t>
      </w:r>
    </w:p>
    <w:p w14:paraId="16006450">
      <w:pPr>
        <w:spacing w:before="9" w:line="342" w:lineRule="auto"/>
        <w:ind w:left="9" w:right="70" w:firstLine="499"/>
        <w:jc w:val="both"/>
        <w:rPr>
          <w:rFonts w:ascii="仿宋" w:hAnsi="仿宋" w:eastAsia="仿宋" w:cs="仿宋"/>
          <w:sz w:val="28"/>
          <w:szCs w:val="28"/>
        </w:rPr>
      </w:pPr>
      <w:r>
        <w:rPr>
          <w:rFonts w:ascii="仿宋" w:hAnsi="仿宋" w:eastAsia="仿宋" w:cs="仿宋"/>
          <w:spacing w:val="-2"/>
          <w:sz w:val="28"/>
          <w:szCs w:val="28"/>
        </w:rPr>
        <w:t>推进实施城市快速干道</w:t>
      </w:r>
      <w:r>
        <w:rPr>
          <w:rFonts w:ascii="仿宋" w:hAnsi="仿宋" w:eastAsia="仿宋" w:cs="仿宋"/>
          <w:spacing w:val="-82"/>
          <w:sz w:val="28"/>
          <w:szCs w:val="28"/>
        </w:rPr>
        <w:t xml:space="preserve"> </w:t>
      </w:r>
      <w:r>
        <w:rPr>
          <w:rFonts w:ascii="仿宋" w:hAnsi="仿宋" w:eastAsia="仿宋" w:cs="仿宋"/>
          <w:spacing w:val="-2"/>
          <w:sz w:val="28"/>
          <w:szCs w:val="28"/>
        </w:rPr>
        <w:t>“衔接贯通”工程，强化综合交通网络与城市快</w:t>
      </w:r>
      <w:r>
        <w:rPr>
          <w:rFonts w:ascii="仿宋" w:hAnsi="仿宋" w:eastAsia="仿宋" w:cs="仿宋"/>
          <w:spacing w:val="-5"/>
          <w:sz w:val="28"/>
          <w:szCs w:val="28"/>
        </w:rPr>
        <w:t>速交通有效衔接。绕城高速公路实现</w:t>
      </w:r>
      <w:r>
        <w:rPr>
          <w:rFonts w:ascii="仿宋" w:hAnsi="仿宋" w:eastAsia="仿宋" w:cs="仿宋"/>
          <w:spacing w:val="-105"/>
          <w:sz w:val="28"/>
          <w:szCs w:val="28"/>
        </w:rPr>
        <w:t xml:space="preserve"> </w:t>
      </w:r>
      <w:r>
        <w:rPr>
          <w:rFonts w:ascii="仿宋" w:hAnsi="仿宋" w:eastAsia="仿宋" w:cs="仿宋"/>
          <w:spacing w:val="-5"/>
          <w:sz w:val="28"/>
          <w:szCs w:val="28"/>
        </w:rPr>
        <w:t>“</w:t>
      </w:r>
      <w:r>
        <w:rPr>
          <w:rFonts w:ascii="仿宋" w:hAnsi="仿宋" w:eastAsia="仿宋" w:cs="仿宋"/>
          <w:spacing w:val="-101"/>
          <w:sz w:val="28"/>
          <w:szCs w:val="28"/>
        </w:rPr>
        <w:t xml:space="preserve"> </w:t>
      </w:r>
      <w:r>
        <w:rPr>
          <w:rFonts w:ascii="仿宋" w:hAnsi="仿宋" w:eastAsia="仿宋" w:cs="仿宋"/>
          <w:spacing w:val="-5"/>
          <w:sz w:val="28"/>
          <w:szCs w:val="28"/>
        </w:rPr>
        <w:t>闭合”之后，按照</w:t>
      </w:r>
      <w:r>
        <w:rPr>
          <w:rFonts w:ascii="仿宋" w:hAnsi="仿宋" w:eastAsia="仿宋" w:cs="仿宋"/>
          <w:spacing w:val="-109"/>
          <w:sz w:val="28"/>
          <w:szCs w:val="28"/>
        </w:rPr>
        <w:t xml:space="preserve"> </w:t>
      </w:r>
      <w:r>
        <w:rPr>
          <w:rFonts w:ascii="仿宋" w:hAnsi="仿宋" w:eastAsia="仿宋" w:cs="仿宋"/>
          <w:spacing w:val="-5"/>
          <w:sz w:val="28"/>
          <w:szCs w:val="28"/>
        </w:rPr>
        <w:t>“复合通道、多级</w:t>
      </w:r>
      <w:r>
        <w:rPr>
          <w:rFonts w:ascii="仿宋" w:hAnsi="仿宋" w:eastAsia="仿宋" w:cs="仿宋"/>
          <w:spacing w:val="-2"/>
          <w:sz w:val="28"/>
          <w:szCs w:val="28"/>
        </w:rPr>
        <w:t>疏解，节点优化、集约高效，紧密联系、提升品质”的改造理念，启动实施</w:t>
      </w:r>
      <w:r>
        <w:rPr>
          <w:rFonts w:ascii="仿宋" w:hAnsi="仿宋" w:eastAsia="仿宋" w:cs="仿宋"/>
          <w:spacing w:val="-1"/>
          <w:sz w:val="28"/>
          <w:szCs w:val="28"/>
        </w:rPr>
        <w:t>G60</w:t>
      </w:r>
      <w:r>
        <w:rPr>
          <w:rFonts w:ascii="仿宋" w:hAnsi="仿宋" w:eastAsia="仿宋" w:cs="仿宋"/>
          <w:spacing w:val="-31"/>
          <w:sz w:val="28"/>
          <w:szCs w:val="28"/>
        </w:rPr>
        <w:t xml:space="preserve"> </w:t>
      </w:r>
      <w:r>
        <w:rPr>
          <w:rFonts w:ascii="仿宋" w:hAnsi="仿宋" w:eastAsia="仿宋" w:cs="仿宋"/>
          <w:spacing w:val="-1"/>
          <w:sz w:val="28"/>
          <w:szCs w:val="28"/>
        </w:rPr>
        <w:t>沪昆高速沾益大龙潭至马龙昌隆铺段市政快速化改造，以促进麒沾马中</w:t>
      </w:r>
      <w:r>
        <w:rPr>
          <w:rFonts w:ascii="仿宋" w:hAnsi="仿宋" w:eastAsia="仿宋" w:cs="仿宋"/>
          <w:spacing w:val="-2"/>
          <w:sz w:val="28"/>
          <w:szCs w:val="28"/>
        </w:rPr>
        <w:t>心城市一体化发展。推进廖廓山南北通道建设，打通曲靖市中心城区与南片区快速连接的新通道，实现中心城区与南片区“双通道”连接，分流子午路</w:t>
      </w:r>
      <w:r>
        <w:rPr>
          <w:rFonts w:ascii="仿宋" w:hAnsi="仿宋" w:eastAsia="仿宋" w:cs="仿宋"/>
          <w:spacing w:val="-1"/>
          <w:sz w:val="28"/>
          <w:szCs w:val="28"/>
        </w:rPr>
        <w:t>交通，缓解南城门周边及南片区交通压力。</w:t>
      </w:r>
    </w:p>
    <w:p w14:paraId="640A6F29">
      <w:pPr>
        <w:spacing w:before="5" w:line="339" w:lineRule="auto"/>
        <w:ind w:left="7" w:firstLine="501"/>
        <w:jc w:val="both"/>
        <w:rPr>
          <w:rFonts w:ascii="仿宋" w:hAnsi="仿宋" w:eastAsia="仿宋" w:cs="仿宋"/>
          <w:sz w:val="28"/>
          <w:szCs w:val="28"/>
        </w:rPr>
      </w:pPr>
      <w:r>
        <w:rPr>
          <w:rFonts w:ascii="仿宋" w:hAnsi="仿宋" w:eastAsia="仿宋" w:cs="仿宋"/>
          <w:sz w:val="28"/>
          <w:szCs w:val="28"/>
        </w:rPr>
        <w:t>推动会泽港规划建设，拓展水运航道网络。依托白鹤滩水电站</w:t>
      </w:r>
      <w:r>
        <w:rPr>
          <w:rFonts w:ascii="仿宋" w:hAnsi="仿宋" w:eastAsia="仿宋" w:cs="仿宋"/>
          <w:spacing w:val="-1"/>
          <w:sz w:val="28"/>
          <w:szCs w:val="28"/>
        </w:rPr>
        <w:t>库区规划</w:t>
      </w:r>
      <w:r>
        <w:rPr>
          <w:rFonts w:ascii="仿宋" w:hAnsi="仿宋" w:eastAsia="仿宋" w:cs="仿宋"/>
          <w:spacing w:val="2"/>
          <w:sz w:val="28"/>
          <w:szCs w:val="28"/>
        </w:rPr>
        <w:t>建设云南会泽港和市域内金沙江段Ⅲ级航道，通过金沙江-长江通道，推进</w:t>
      </w:r>
      <w:r>
        <w:rPr>
          <w:rFonts w:ascii="仿宋" w:hAnsi="仿宋" w:eastAsia="仿宋" w:cs="仿宋"/>
          <w:spacing w:val="-8"/>
          <w:sz w:val="28"/>
          <w:szCs w:val="28"/>
        </w:rPr>
        <w:t>曲靖航运融入长江、连接长三角地区，全面打造互补高效智能的现代交通网，</w:t>
      </w:r>
      <w:r>
        <w:rPr>
          <w:rFonts w:ascii="仿宋" w:hAnsi="仿宋" w:eastAsia="仿宋" w:cs="仿宋"/>
          <w:spacing w:val="-1"/>
          <w:sz w:val="28"/>
          <w:szCs w:val="28"/>
        </w:rPr>
        <w:t>提升综合交通枢纽功能。</w:t>
      </w: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494CE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719" w:type="dxa"/>
            <w:vAlign w:val="top"/>
          </w:tcPr>
          <w:p w14:paraId="05C847FF">
            <w:pPr>
              <w:pStyle w:val="6"/>
              <w:spacing w:before="136" w:line="228" w:lineRule="auto"/>
              <w:ind w:left="1990"/>
              <w:rPr>
                <w:rFonts w:ascii="宋体" w:hAnsi="宋体" w:eastAsia="宋体" w:cs="宋体"/>
              </w:rPr>
            </w:pPr>
            <w:r>
              <w:rPr>
                <w:rFonts w:ascii="宋体" w:hAnsi="宋体" w:eastAsia="宋体" w:cs="宋体"/>
                <w:b/>
                <w:bCs/>
                <w:spacing w:val="12"/>
              </w:rPr>
              <w:t>专栏</w:t>
            </w:r>
            <w:r>
              <w:rPr>
                <w:rFonts w:ascii="宋体" w:hAnsi="宋体" w:eastAsia="宋体" w:cs="宋体"/>
                <w:spacing w:val="-24"/>
              </w:rPr>
              <w:t xml:space="preserve"> </w:t>
            </w:r>
            <w:r>
              <w:rPr>
                <w:b/>
                <w:bCs/>
                <w:spacing w:val="12"/>
              </w:rPr>
              <w:t xml:space="preserve">3    </w:t>
            </w:r>
            <w:r>
              <w:rPr>
                <w:rFonts w:ascii="宋体" w:hAnsi="宋体" w:eastAsia="宋体" w:cs="宋体"/>
                <w:b/>
                <w:bCs/>
                <w:spacing w:val="12"/>
              </w:rPr>
              <w:t>“十四五</w:t>
            </w:r>
            <w:r>
              <w:rPr>
                <w:rFonts w:ascii="宋体" w:hAnsi="宋体" w:eastAsia="宋体" w:cs="宋体"/>
                <w:spacing w:val="-63"/>
              </w:rPr>
              <w:t xml:space="preserve"> </w:t>
            </w:r>
            <w:r>
              <w:rPr>
                <w:rFonts w:ascii="宋体" w:hAnsi="宋体" w:eastAsia="宋体" w:cs="宋体"/>
                <w:b/>
                <w:bCs/>
                <w:spacing w:val="12"/>
              </w:rPr>
              <w:t>”期间综合交通干线网建设重点项目</w:t>
            </w:r>
          </w:p>
        </w:tc>
      </w:tr>
      <w:tr w14:paraId="2B1C0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4" w:hRule="atLeast"/>
        </w:trPr>
        <w:tc>
          <w:tcPr>
            <w:tcW w:w="8719" w:type="dxa"/>
            <w:vAlign w:val="top"/>
          </w:tcPr>
          <w:p w14:paraId="242E867B">
            <w:pPr>
              <w:pStyle w:val="6"/>
              <w:spacing w:before="102" w:line="274" w:lineRule="exact"/>
              <w:ind w:left="568"/>
              <w:rPr>
                <w:rFonts w:ascii="宋体" w:hAnsi="宋体" w:eastAsia="宋体" w:cs="宋体"/>
              </w:rPr>
            </w:pPr>
            <w:r>
              <w:rPr>
                <w:spacing w:val="12"/>
                <w:position w:val="1"/>
              </w:rPr>
              <w:t xml:space="preserve">1.  </w:t>
            </w:r>
            <w:r>
              <w:rPr>
                <w:rFonts w:ascii="宋体" w:hAnsi="宋体" w:eastAsia="宋体" w:cs="宋体"/>
                <w:spacing w:val="12"/>
                <w:position w:val="1"/>
              </w:rPr>
              <w:t>铁路“建网提速</w:t>
            </w:r>
            <w:r>
              <w:rPr>
                <w:rFonts w:ascii="宋体" w:hAnsi="宋体" w:eastAsia="宋体" w:cs="宋体"/>
                <w:spacing w:val="-60"/>
                <w:position w:val="1"/>
              </w:rPr>
              <w:t xml:space="preserve"> </w:t>
            </w:r>
            <w:r>
              <w:rPr>
                <w:rFonts w:ascii="宋体" w:hAnsi="宋体" w:eastAsia="宋体" w:cs="宋体"/>
                <w:spacing w:val="12"/>
                <w:position w:val="1"/>
              </w:rPr>
              <w:t>”工程——普速铁路</w:t>
            </w:r>
          </w:p>
          <w:p w14:paraId="79BED212">
            <w:pPr>
              <w:pStyle w:val="6"/>
              <w:spacing w:before="239" w:line="358" w:lineRule="auto"/>
              <w:ind w:left="114" w:right="57" w:firstLine="436"/>
              <w:rPr>
                <w:rFonts w:ascii="宋体" w:hAnsi="宋体" w:eastAsia="宋体" w:cs="宋体"/>
              </w:rPr>
            </w:pPr>
            <w:r>
              <w:rPr>
                <w:rFonts w:ascii="宋体" w:hAnsi="宋体" w:eastAsia="宋体" w:cs="宋体"/>
                <w:spacing w:val="17"/>
              </w:rPr>
              <w:t>加快推进沪昆至南昆普铁连接线（珠江源</w:t>
            </w:r>
            <w:r>
              <w:rPr>
                <w:spacing w:val="17"/>
              </w:rPr>
              <w:t>-</w:t>
            </w:r>
            <w:r>
              <w:rPr>
                <w:rFonts w:ascii="宋体" w:hAnsi="宋体" w:eastAsia="宋体" w:cs="宋体"/>
                <w:spacing w:val="17"/>
              </w:rPr>
              <w:t>白水</w:t>
            </w:r>
            <w:r>
              <w:rPr>
                <w:spacing w:val="17"/>
              </w:rPr>
              <w:t>-</w:t>
            </w:r>
            <w:r>
              <w:rPr>
                <w:rFonts w:ascii="宋体" w:hAnsi="宋体" w:eastAsia="宋体" w:cs="宋体"/>
                <w:spacing w:val="17"/>
              </w:rPr>
              <w:t>越州</w:t>
            </w:r>
            <w:r>
              <w:rPr>
                <w:spacing w:val="17"/>
              </w:rPr>
              <w:t>-</w:t>
            </w:r>
            <w:r>
              <w:rPr>
                <w:rFonts w:ascii="宋体" w:hAnsi="宋体" w:eastAsia="宋体" w:cs="宋体"/>
                <w:spacing w:val="17"/>
              </w:rPr>
              <w:t>师</w:t>
            </w:r>
            <w:r>
              <w:rPr>
                <w:rFonts w:ascii="宋体" w:hAnsi="宋体" w:eastAsia="宋体" w:cs="宋体"/>
                <w:spacing w:val="16"/>
              </w:rPr>
              <w:t>宗）建设；开展曲靖至文山铁</w:t>
            </w:r>
            <w:r>
              <w:rPr>
                <w:rFonts w:ascii="宋体" w:hAnsi="宋体" w:eastAsia="宋体" w:cs="宋体"/>
                <w:spacing w:val="14"/>
              </w:rPr>
              <w:t>路和东川至会泽至巧家铁路前期研究工作，条</w:t>
            </w:r>
            <w:r>
              <w:rPr>
                <w:rFonts w:ascii="宋体" w:hAnsi="宋体" w:eastAsia="宋体" w:cs="宋体"/>
                <w:spacing w:val="13"/>
              </w:rPr>
              <w:t>件成熟适时启动建设，融入西部陆海新通道，</w:t>
            </w:r>
            <w:r>
              <w:rPr>
                <w:rFonts w:ascii="宋体" w:hAnsi="宋体" w:eastAsia="宋体" w:cs="宋体"/>
                <w:spacing w:val="14"/>
              </w:rPr>
              <w:t>推进铁海联运协同发展。</w:t>
            </w:r>
          </w:p>
          <w:p w14:paraId="6343A7AE">
            <w:pPr>
              <w:pStyle w:val="6"/>
              <w:spacing w:line="274" w:lineRule="exact"/>
              <w:ind w:left="547"/>
              <w:rPr>
                <w:rFonts w:ascii="宋体" w:hAnsi="宋体" w:eastAsia="宋体" w:cs="宋体"/>
              </w:rPr>
            </w:pPr>
            <w:r>
              <w:rPr>
                <w:spacing w:val="12"/>
                <w:position w:val="1"/>
              </w:rPr>
              <w:t xml:space="preserve">2.  </w:t>
            </w:r>
            <w:r>
              <w:rPr>
                <w:rFonts w:ascii="宋体" w:hAnsi="宋体" w:eastAsia="宋体" w:cs="宋体"/>
                <w:spacing w:val="12"/>
                <w:position w:val="1"/>
              </w:rPr>
              <w:t>普通国省道“升级改造</w:t>
            </w:r>
            <w:r>
              <w:rPr>
                <w:rFonts w:ascii="宋体" w:hAnsi="宋体" w:eastAsia="宋体" w:cs="宋体"/>
                <w:spacing w:val="-56"/>
                <w:position w:val="1"/>
              </w:rPr>
              <w:t xml:space="preserve"> </w:t>
            </w:r>
            <w:r>
              <w:rPr>
                <w:rFonts w:ascii="宋体" w:hAnsi="宋体" w:eastAsia="宋体" w:cs="宋体"/>
                <w:spacing w:val="12"/>
                <w:position w:val="1"/>
              </w:rPr>
              <w:t>”工程</w:t>
            </w:r>
          </w:p>
          <w:p w14:paraId="7CF0EDDF">
            <w:pPr>
              <w:pStyle w:val="6"/>
              <w:spacing w:before="209" w:line="368" w:lineRule="auto"/>
              <w:ind w:left="114" w:right="96" w:firstLine="437"/>
              <w:rPr>
                <w:rFonts w:ascii="宋体" w:hAnsi="宋体" w:eastAsia="宋体" w:cs="宋体"/>
              </w:rPr>
            </w:pPr>
            <w:r>
              <w:rPr>
                <w:rFonts w:ascii="宋体" w:hAnsi="宋体" w:eastAsia="宋体" w:cs="宋体"/>
                <w:spacing w:val="17"/>
              </w:rPr>
              <w:t>加快实施</w:t>
            </w:r>
            <w:r>
              <w:rPr>
                <w:rFonts w:ascii="宋体" w:hAnsi="宋体" w:eastAsia="宋体" w:cs="宋体"/>
                <w:spacing w:val="-25"/>
              </w:rPr>
              <w:t xml:space="preserve"> </w:t>
            </w:r>
            <w:r>
              <w:rPr>
                <w:spacing w:val="17"/>
              </w:rPr>
              <w:t>G357</w:t>
            </w:r>
            <w:r>
              <w:rPr>
                <w:spacing w:val="29"/>
                <w:w w:val="101"/>
              </w:rPr>
              <w:t xml:space="preserve"> </w:t>
            </w:r>
            <w:r>
              <w:rPr>
                <w:rFonts w:ascii="宋体" w:hAnsi="宋体" w:eastAsia="宋体" w:cs="宋体"/>
                <w:spacing w:val="17"/>
              </w:rPr>
              <w:t>断头路大水井至五龙段建设，打通普通国道断头路、瓶颈路；适时启</w:t>
            </w:r>
            <w:r>
              <w:rPr>
                <w:rFonts w:ascii="宋体" w:hAnsi="宋体" w:eastAsia="宋体" w:cs="宋体"/>
                <w:spacing w:val="4"/>
              </w:rPr>
              <w:t>动</w:t>
            </w:r>
            <w:r>
              <w:rPr>
                <w:rFonts w:ascii="宋体" w:hAnsi="宋体" w:eastAsia="宋体" w:cs="宋体"/>
                <w:spacing w:val="-21"/>
              </w:rPr>
              <w:t xml:space="preserve"> </w:t>
            </w:r>
            <w:r>
              <w:rPr>
                <w:spacing w:val="4"/>
              </w:rPr>
              <w:t>G248</w:t>
            </w:r>
            <w:r>
              <w:rPr>
                <w:spacing w:val="-19"/>
              </w:rPr>
              <w:t xml:space="preserve"> </w:t>
            </w:r>
            <w:r>
              <w:rPr>
                <w:rFonts w:ascii="宋体" w:hAnsi="宋体" w:eastAsia="宋体" w:cs="宋体"/>
                <w:spacing w:val="4"/>
              </w:rPr>
              <w:t>、</w:t>
            </w:r>
            <w:r>
              <w:rPr>
                <w:spacing w:val="4"/>
              </w:rPr>
              <w:t>G320</w:t>
            </w:r>
            <w:r>
              <w:rPr>
                <w:spacing w:val="-16"/>
              </w:rPr>
              <w:t xml:space="preserve"> </w:t>
            </w:r>
            <w:r>
              <w:rPr>
                <w:rFonts w:ascii="宋体" w:hAnsi="宋体" w:eastAsia="宋体" w:cs="宋体"/>
                <w:spacing w:val="4"/>
              </w:rPr>
              <w:t>、</w:t>
            </w:r>
            <w:r>
              <w:rPr>
                <w:spacing w:val="4"/>
              </w:rPr>
              <w:t>G324</w:t>
            </w:r>
            <w:r>
              <w:rPr>
                <w:spacing w:val="22"/>
                <w:w w:val="101"/>
              </w:rPr>
              <w:t xml:space="preserve"> </w:t>
            </w:r>
            <w:r>
              <w:rPr>
                <w:rFonts w:ascii="宋体" w:hAnsi="宋体" w:eastAsia="宋体" w:cs="宋体"/>
                <w:spacing w:val="4"/>
              </w:rPr>
              <w:t>和</w:t>
            </w:r>
            <w:r>
              <w:rPr>
                <w:rFonts w:ascii="宋体" w:hAnsi="宋体" w:eastAsia="宋体" w:cs="宋体"/>
                <w:spacing w:val="-22"/>
              </w:rPr>
              <w:t xml:space="preserve"> </w:t>
            </w:r>
            <w:r>
              <w:rPr>
                <w:spacing w:val="4"/>
              </w:rPr>
              <w:t>S204</w:t>
            </w:r>
            <w:r>
              <w:rPr>
                <w:spacing w:val="-19"/>
              </w:rPr>
              <w:t xml:space="preserve"> </w:t>
            </w:r>
            <w:r>
              <w:rPr>
                <w:rFonts w:ascii="宋体" w:hAnsi="宋体" w:eastAsia="宋体" w:cs="宋体"/>
                <w:spacing w:val="4"/>
              </w:rPr>
              <w:t>、</w:t>
            </w:r>
            <w:r>
              <w:rPr>
                <w:spacing w:val="4"/>
              </w:rPr>
              <w:t>S205</w:t>
            </w:r>
            <w:r>
              <w:rPr>
                <w:spacing w:val="-17"/>
              </w:rPr>
              <w:t xml:space="preserve"> </w:t>
            </w:r>
            <w:r>
              <w:rPr>
                <w:rFonts w:ascii="宋体" w:hAnsi="宋体" w:eastAsia="宋体" w:cs="宋体"/>
                <w:spacing w:val="4"/>
              </w:rPr>
              <w:t>、</w:t>
            </w:r>
            <w:r>
              <w:rPr>
                <w:spacing w:val="4"/>
              </w:rPr>
              <w:t>S206</w:t>
            </w:r>
            <w:r>
              <w:rPr>
                <w:spacing w:val="-19"/>
              </w:rPr>
              <w:t xml:space="preserve"> </w:t>
            </w:r>
            <w:r>
              <w:rPr>
                <w:rFonts w:ascii="宋体" w:hAnsi="宋体" w:eastAsia="宋体" w:cs="宋体"/>
                <w:spacing w:val="4"/>
              </w:rPr>
              <w:t>、</w:t>
            </w:r>
            <w:r>
              <w:rPr>
                <w:spacing w:val="4"/>
              </w:rPr>
              <w:t>S207</w:t>
            </w:r>
            <w:r>
              <w:rPr>
                <w:spacing w:val="-19"/>
              </w:rPr>
              <w:t xml:space="preserve"> </w:t>
            </w:r>
            <w:r>
              <w:rPr>
                <w:rFonts w:ascii="宋体" w:hAnsi="宋体" w:eastAsia="宋体" w:cs="宋体"/>
                <w:spacing w:val="4"/>
              </w:rPr>
              <w:t>、</w:t>
            </w:r>
            <w:r>
              <w:rPr>
                <w:spacing w:val="4"/>
              </w:rPr>
              <w:t>S305</w:t>
            </w:r>
            <w:r>
              <w:rPr>
                <w:spacing w:val="-18"/>
              </w:rPr>
              <w:t xml:space="preserve"> </w:t>
            </w:r>
            <w:r>
              <w:rPr>
                <w:rFonts w:ascii="宋体" w:hAnsi="宋体" w:eastAsia="宋体" w:cs="宋体"/>
                <w:spacing w:val="4"/>
              </w:rPr>
              <w:t>、</w:t>
            </w:r>
            <w:r>
              <w:rPr>
                <w:spacing w:val="4"/>
              </w:rPr>
              <w:t>S306</w:t>
            </w:r>
            <w:r>
              <w:rPr>
                <w:spacing w:val="-17"/>
              </w:rPr>
              <w:t xml:space="preserve"> </w:t>
            </w:r>
            <w:r>
              <w:rPr>
                <w:rFonts w:ascii="宋体" w:hAnsi="宋体" w:eastAsia="宋体" w:cs="宋体"/>
                <w:spacing w:val="4"/>
              </w:rPr>
              <w:t>、</w:t>
            </w:r>
            <w:r>
              <w:rPr>
                <w:spacing w:val="4"/>
              </w:rPr>
              <w:t>S308</w:t>
            </w:r>
            <w:r>
              <w:rPr>
                <w:spacing w:val="-19"/>
              </w:rPr>
              <w:t xml:space="preserve"> </w:t>
            </w:r>
            <w:r>
              <w:rPr>
                <w:rFonts w:ascii="宋体" w:hAnsi="宋体" w:eastAsia="宋体" w:cs="宋体"/>
                <w:spacing w:val="4"/>
              </w:rPr>
              <w:t>、</w:t>
            </w:r>
            <w:r>
              <w:rPr>
                <w:spacing w:val="4"/>
              </w:rPr>
              <w:t>S309</w:t>
            </w:r>
            <w:r>
              <w:rPr>
                <w:spacing w:val="-16"/>
              </w:rPr>
              <w:t xml:space="preserve"> </w:t>
            </w:r>
            <w:r>
              <w:rPr>
                <w:rFonts w:ascii="宋体" w:hAnsi="宋体" w:eastAsia="宋体" w:cs="宋体"/>
                <w:spacing w:val="4"/>
              </w:rPr>
              <w:t>、</w:t>
            </w:r>
            <w:r>
              <w:rPr>
                <w:spacing w:val="4"/>
              </w:rPr>
              <w:t>S310</w:t>
            </w:r>
            <w:r>
              <w:rPr>
                <w:spacing w:val="23"/>
              </w:rPr>
              <w:t xml:space="preserve"> </w:t>
            </w:r>
            <w:r>
              <w:rPr>
                <w:rFonts w:ascii="宋体" w:hAnsi="宋体" w:eastAsia="宋体" w:cs="宋体"/>
                <w:spacing w:val="4"/>
              </w:rPr>
              <w:t>等</w:t>
            </w:r>
            <w:r>
              <w:rPr>
                <w:rFonts w:ascii="宋体" w:hAnsi="宋体" w:eastAsia="宋体" w:cs="宋体"/>
                <w:spacing w:val="18"/>
              </w:rPr>
              <w:t>普通国省道低等级路段扩建改造。有序推动</w:t>
            </w:r>
            <w:r>
              <w:rPr>
                <w:rFonts w:ascii="宋体" w:hAnsi="宋体" w:eastAsia="宋体" w:cs="宋体"/>
                <w:spacing w:val="17"/>
              </w:rPr>
              <w:t>普通国省道干线服务区的新增布设以及提升改</w:t>
            </w:r>
            <w:r>
              <w:rPr>
                <w:rFonts w:ascii="宋体" w:hAnsi="宋体" w:eastAsia="宋体" w:cs="宋体"/>
                <w:spacing w:val="18"/>
              </w:rPr>
              <w:t>造，推进危桥改造和安保设施建设，启动宜路</w:t>
            </w:r>
            <w:r>
              <w:rPr>
                <w:rFonts w:ascii="宋体" w:hAnsi="宋体" w:eastAsia="宋体" w:cs="宋体"/>
                <w:spacing w:val="17"/>
              </w:rPr>
              <w:t>路段绿化美化，增加普通国省道治超站点规</w:t>
            </w:r>
            <w:r>
              <w:rPr>
                <w:rFonts w:ascii="宋体" w:hAnsi="宋体" w:eastAsia="宋体" w:cs="宋体"/>
                <w:spacing w:val="9"/>
              </w:rPr>
              <w:t>划建设。</w:t>
            </w:r>
          </w:p>
          <w:p w14:paraId="63F40F80">
            <w:pPr>
              <w:pStyle w:val="6"/>
              <w:spacing w:line="274" w:lineRule="exact"/>
              <w:ind w:left="552"/>
              <w:rPr>
                <w:rFonts w:ascii="宋体" w:hAnsi="宋体" w:eastAsia="宋体" w:cs="宋体"/>
              </w:rPr>
            </w:pPr>
            <w:r>
              <w:rPr>
                <w:spacing w:val="12"/>
                <w:position w:val="1"/>
              </w:rPr>
              <w:t xml:space="preserve">3.  </w:t>
            </w:r>
            <w:r>
              <w:rPr>
                <w:rFonts w:ascii="宋体" w:hAnsi="宋体" w:eastAsia="宋体" w:cs="宋体"/>
                <w:spacing w:val="12"/>
                <w:position w:val="1"/>
              </w:rPr>
              <w:t>城市快速干道“衔接贯通</w:t>
            </w:r>
            <w:r>
              <w:rPr>
                <w:rFonts w:ascii="宋体" w:hAnsi="宋体" w:eastAsia="宋体" w:cs="宋体"/>
                <w:spacing w:val="-54"/>
                <w:position w:val="1"/>
              </w:rPr>
              <w:t xml:space="preserve"> </w:t>
            </w:r>
            <w:r>
              <w:rPr>
                <w:rFonts w:ascii="宋体" w:hAnsi="宋体" w:eastAsia="宋体" w:cs="宋体"/>
                <w:spacing w:val="12"/>
                <w:position w:val="1"/>
              </w:rPr>
              <w:t>”工程</w:t>
            </w:r>
          </w:p>
          <w:p w14:paraId="59BA05E9">
            <w:pPr>
              <w:pStyle w:val="6"/>
              <w:spacing w:before="212" w:line="344" w:lineRule="auto"/>
              <w:ind w:left="117" w:right="54" w:firstLine="438"/>
              <w:rPr>
                <w:rFonts w:ascii="宋体" w:hAnsi="宋体" w:eastAsia="宋体" w:cs="宋体"/>
              </w:rPr>
            </w:pPr>
            <w:r>
              <w:rPr>
                <w:rFonts w:ascii="宋体" w:hAnsi="宋体" w:eastAsia="宋体" w:cs="宋体"/>
                <w:spacing w:val="12"/>
              </w:rPr>
              <w:t>启动实施</w:t>
            </w:r>
            <w:r>
              <w:rPr>
                <w:rFonts w:ascii="宋体" w:hAnsi="宋体" w:eastAsia="宋体" w:cs="宋体"/>
                <w:spacing w:val="-25"/>
              </w:rPr>
              <w:t xml:space="preserve"> </w:t>
            </w:r>
            <w:r>
              <w:rPr>
                <w:spacing w:val="12"/>
              </w:rPr>
              <w:t>G60</w:t>
            </w:r>
            <w:r>
              <w:rPr>
                <w:spacing w:val="23"/>
                <w:w w:val="101"/>
              </w:rPr>
              <w:t xml:space="preserve"> </w:t>
            </w:r>
            <w:r>
              <w:rPr>
                <w:rFonts w:ascii="宋体" w:hAnsi="宋体" w:eastAsia="宋体" w:cs="宋体"/>
                <w:spacing w:val="12"/>
              </w:rPr>
              <w:t>沪昆高速沾益大龙潭至马龙昌隆铺段市政快速化改造，全长约</w:t>
            </w:r>
            <w:r>
              <w:rPr>
                <w:rFonts w:ascii="宋体" w:hAnsi="宋体" w:eastAsia="宋体" w:cs="宋体"/>
                <w:spacing w:val="-33"/>
              </w:rPr>
              <w:t xml:space="preserve"> </w:t>
            </w:r>
            <w:r>
              <w:rPr>
                <w:spacing w:val="12"/>
              </w:rPr>
              <w:t>49</w:t>
            </w:r>
            <w:r>
              <w:rPr>
                <w:spacing w:val="24"/>
              </w:rPr>
              <w:t xml:space="preserve"> </w:t>
            </w:r>
            <w:r>
              <w:rPr>
                <w:rFonts w:ascii="宋体" w:hAnsi="宋体" w:eastAsia="宋体" w:cs="宋体"/>
                <w:spacing w:val="12"/>
              </w:rPr>
              <w:t>公里，</w:t>
            </w:r>
            <w:r>
              <w:rPr>
                <w:rFonts w:ascii="宋体" w:hAnsi="宋体" w:eastAsia="宋体" w:cs="宋体"/>
                <w:spacing w:val="15"/>
              </w:rPr>
              <w:t>国高网</w:t>
            </w:r>
            <w:r>
              <w:rPr>
                <w:rFonts w:ascii="宋体" w:hAnsi="宋体" w:eastAsia="宋体" w:cs="宋体"/>
                <w:spacing w:val="-30"/>
              </w:rPr>
              <w:t xml:space="preserve"> </w:t>
            </w:r>
            <w:r>
              <w:rPr>
                <w:spacing w:val="15"/>
              </w:rPr>
              <w:t>G60</w:t>
            </w:r>
            <w:r>
              <w:rPr>
                <w:spacing w:val="22"/>
                <w:w w:val="101"/>
              </w:rPr>
              <w:t xml:space="preserve"> </w:t>
            </w:r>
            <w:r>
              <w:rPr>
                <w:rFonts w:ascii="宋体" w:hAnsi="宋体" w:eastAsia="宋体" w:cs="宋体"/>
                <w:spacing w:val="15"/>
              </w:rPr>
              <w:t>沪昆高速曲靖境内段路网调整至曲靖东过境、曲靖三宝至昆明清水</w:t>
            </w:r>
            <w:r>
              <w:rPr>
                <w:rFonts w:ascii="宋体" w:hAnsi="宋体" w:eastAsia="宋体" w:cs="宋体"/>
                <w:spacing w:val="14"/>
              </w:rPr>
              <w:t>。推进曲靖</w:t>
            </w:r>
            <w:r>
              <w:rPr>
                <w:rFonts w:ascii="宋体" w:hAnsi="宋体" w:eastAsia="宋体" w:cs="宋体"/>
                <w:spacing w:val="16"/>
              </w:rPr>
              <w:t>市廖廓山南北通道建设，道路等级为城市快速路，项目起于宁州路与胜峰路交叉口，</w:t>
            </w:r>
            <w:r>
              <w:rPr>
                <w:rFonts w:ascii="宋体" w:hAnsi="宋体" w:eastAsia="宋体" w:cs="宋体"/>
                <w:spacing w:val="-45"/>
              </w:rPr>
              <w:t xml:space="preserve"> </w:t>
            </w:r>
            <w:r>
              <w:rPr>
                <w:rFonts w:ascii="宋体" w:hAnsi="宋体" w:eastAsia="宋体" w:cs="宋体"/>
                <w:spacing w:val="16"/>
              </w:rPr>
              <w:t>向南从贵昆铁路桥下穿过，之后通过隧道穿越寥廓山，</w:t>
            </w:r>
            <w:r>
              <w:rPr>
                <w:rFonts w:ascii="宋体" w:hAnsi="宋体" w:eastAsia="宋体" w:cs="宋体"/>
                <w:spacing w:val="-47"/>
              </w:rPr>
              <w:t xml:space="preserve"> </w:t>
            </w:r>
            <w:r>
              <w:rPr>
                <w:rFonts w:ascii="宋体" w:hAnsi="宋体" w:eastAsia="宋体" w:cs="宋体"/>
                <w:spacing w:val="16"/>
              </w:rPr>
              <w:t>以桥梁形式上跨杭瑞高速，继续向南沿</w:t>
            </w:r>
          </w:p>
        </w:tc>
      </w:tr>
    </w:tbl>
    <w:p w14:paraId="758F8A1E">
      <w:pPr>
        <w:pStyle w:val="2"/>
      </w:pPr>
    </w:p>
    <w:p w14:paraId="004DF31E">
      <w:pPr>
        <w:sectPr>
          <w:headerReference r:id="rId69" w:type="default"/>
          <w:footerReference r:id="rId70" w:type="default"/>
          <w:pgSz w:w="11906" w:h="16839"/>
          <w:pgMar w:top="1222" w:right="1510" w:bottom="1156" w:left="1134" w:header="885" w:footer="920" w:gutter="0"/>
          <w:cols w:space="720" w:num="1"/>
        </w:sectPr>
      </w:pPr>
    </w:p>
    <w:p w14:paraId="352269F7">
      <w:pPr>
        <w:spacing w:line="194" w:lineRule="exact"/>
      </w:pPr>
    </w:p>
    <w:tbl>
      <w:tblPr>
        <w:tblStyle w:val="5"/>
        <w:tblW w:w="8719" w:type="dxa"/>
        <w:tblInd w:w="23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19"/>
      </w:tblGrid>
      <w:tr w14:paraId="4250495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686" w:hRule="atLeast"/>
        </w:trPr>
        <w:tc>
          <w:tcPr>
            <w:tcW w:w="8719" w:type="dxa"/>
            <w:vAlign w:val="top"/>
          </w:tcPr>
          <w:p w14:paraId="172FD8A0">
            <w:pPr>
              <w:pStyle w:val="6"/>
              <w:spacing w:before="113" w:line="274" w:lineRule="exact"/>
              <w:ind w:left="115"/>
              <w:rPr>
                <w:rFonts w:ascii="宋体" w:hAnsi="宋体" w:eastAsia="宋体" w:cs="宋体"/>
              </w:rPr>
            </w:pPr>
            <w:r>
              <w:rPr>
                <w:rFonts w:ascii="宋体" w:hAnsi="宋体" w:eastAsia="宋体" w:cs="宋体"/>
                <w:spacing w:val="13"/>
                <w:position w:val="1"/>
              </w:rPr>
              <w:t>着爱情小镇边界线延伸，最后与已建成南绕城高速文明村立交</w:t>
            </w:r>
            <w:r>
              <w:rPr>
                <w:rFonts w:ascii="宋体" w:hAnsi="宋体" w:eastAsia="宋体" w:cs="宋体"/>
                <w:spacing w:val="12"/>
                <w:position w:val="1"/>
              </w:rPr>
              <w:t xml:space="preserve">相接，路线全长 </w:t>
            </w:r>
            <w:r>
              <w:rPr>
                <w:spacing w:val="12"/>
                <w:position w:val="1"/>
              </w:rPr>
              <w:t>12.71</w:t>
            </w:r>
            <w:r>
              <w:rPr>
                <w:spacing w:val="28"/>
                <w:w w:val="101"/>
                <w:position w:val="1"/>
              </w:rPr>
              <w:t xml:space="preserve"> </w:t>
            </w:r>
            <w:r>
              <w:rPr>
                <w:rFonts w:ascii="宋体" w:hAnsi="宋体" w:eastAsia="宋体" w:cs="宋体"/>
                <w:spacing w:val="12"/>
                <w:position w:val="1"/>
              </w:rPr>
              <w:t>公里。</w:t>
            </w:r>
          </w:p>
          <w:p w14:paraId="7E5974E1">
            <w:pPr>
              <w:pStyle w:val="6"/>
              <w:spacing w:before="119" w:line="274" w:lineRule="exact"/>
              <w:ind w:left="547"/>
              <w:rPr>
                <w:rFonts w:ascii="宋体" w:hAnsi="宋体" w:eastAsia="宋体" w:cs="宋体"/>
              </w:rPr>
            </w:pPr>
            <w:r>
              <w:rPr>
                <w:spacing w:val="13"/>
                <w:position w:val="1"/>
              </w:rPr>
              <w:t>4.</w:t>
            </w:r>
            <w:r>
              <w:rPr>
                <w:spacing w:val="18"/>
                <w:w w:val="101"/>
                <w:position w:val="1"/>
              </w:rPr>
              <w:t xml:space="preserve">  </w:t>
            </w:r>
            <w:r>
              <w:rPr>
                <w:rFonts w:ascii="宋体" w:hAnsi="宋体" w:eastAsia="宋体" w:cs="宋体"/>
                <w:spacing w:val="13"/>
                <w:position w:val="1"/>
              </w:rPr>
              <w:t>水运“完善提升”工程</w:t>
            </w:r>
          </w:p>
          <w:p w14:paraId="5D4E5D63">
            <w:pPr>
              <w:spacing w:before="240" w:line="302" w:lineRule="auto"/>
              <w:ind w:left="118" w:right="115" w:firstLine="437"/>
              <w:rPr>
                <w:rFonts w:ascii="宋体" w:hAnsi="宋体" w:eastAsia="宋体" w:cs="宋体"/>
                <w:sz w:val="20"/>
                <w:szCs w:val="20"/>
              </w:rPr>
            </w:pPr>
            <w:r>
              <w:rPr>
                <w:rFonts w:ascii="宋体" w:hAnsi="宋体" w:eastAsia="宋体" w:cs="宋体"/>
                <w:spacing w:val="17"/>
                <w:sz w:val="20"/>
                <w:szCs w:val="20"/>
              </w:rPr>
              <w:t>启动云南会泽港和市域内金沙江段Ⅲ级航道建设，推进曲靖航运融入长江、连接长三</w:t>
            </w:r>
            <w:r>
              <w:rPr>
                <w:rFonts w:ascii="宋体" w:hAnsi="宋体" w:eastAsia="宋体" w:cs="宋体"/>
                <w:spacing w:val="15"/>
                <w:sz w:val="20"/>
                <w:szCs w:val="20"/>
              </w:rPr>
              <w:t>角地区，提升综合交通枢纽功能。</w:t>
            </w:r>
          </w:p>
        </w:tc>
      </w:tr>
    </w:tbl>
    <w:p w14:paraId="763CE28C">
      <w:pPr>
        <w:pStyle w:val="2"/>
        <w:spacing w:line="470" w:lineRule="auto"/>
      </w:pPr>
    </w:p>
    <w:p w14:paraId="5944D5E2">
      <w:pPr>
        <w:spacing w:before="91" w:line="222" w:lineRule="auto"/>
        <w:ind w:left="571"/>
        <w:outlineLvl w:val="1"/>
        <w:rPr>
          <w:rFonts w:ascii="黑体" w:hAnsi="黑体" w:eastAsia="黑体" w:cs="黑体"/>
          <w:sz w:val="28"/>
          <w:szCs w:val="28"/>
        </w:rPr>
      </w:pPr>
      <w:bookmarkStart w:id="33" w:name="bookmark27"/>
      <w:bookmarkEnd w:id="33"/>
      <w:r>
        <w:rPr>
          <w:rFonts w:ascii="黑体" w:hAnsi="黑体" w:eastAsia="黑体" w:cs="黑体"/>
          <w:spacing w:val="-1"/>
          <w:sz w:val="28"/>
          <w:szCs w:val="28"/>
        </w:rPr>
        <w:t>3. 建设广覆盖的基础服务网</w:t>
      </w:r>
    </w:p>
    <w:p w14:paraId="2FDA716C">
      <w:pPr>
        <w:spacing w:before="292" w:line="343" w:lineRule="auto"/>
        <w:ind w:left="10" w:firstLine="499"/>
        <w:rPr>
          <w:rFonts w:ascii="仿宋" w:hAnsi="仿宋" w:eastAsia="仿宋" w:cs="仿宋"/>
          <w:sz w:val="28"/>
          <w:szCs w:val="28"/>
        </w:rPr>
      </w:pPr>
      <w:r>
        <w:rPr>
          <w:rFonts w:ascii="仿宋" w:hAnsi="仿宋" w:eastAsia="仿宋" w:cs="仿宋"/>
          <w:spacing w:val="1"/>
          <w:sz w:val="28"/>
          <w:szCs w:val="28"/>
        </w:rPr>
        <w:t>推进农村公路建设，拓展基本公共服务深度</w:t>
      </w:r>
      <w:r>
        <w:rPr>
          <w:rFonts w:ascii="仿宋" w:hAnsi="仿宋" w:eastAsia="仿宋" w:cs="仿宋"/>
          <w:sz w:val="28"/>
          <w:szCs w:val="28"/>
        </w:rPr>
        <w:t>。深入贯彻落实习近平总书</w:t>
      </w:r>
      <w:r>
        <w:rPr>
          <w:rFonts w:ascii="仿宋" w:hAnsi="仿宋" w:eastAsia="仿宋" w:cs="仿宋"/>
          <w:spacing w:val="1"/>
          <w:sz w:val="28"/>
          <w:szCs w:val="28"/>
        </w:rPr>
        <w:t>记关于“交通建设项目要尽量向进村入户倾斜”</w:t>
      </w:r>
      <w:r>
        <w:rPr>
          <w:rFonts w:ascii="仿宋" w:hAnsi="仿宋" w:eastAsia="仿宋" w:cs="仿宋"/>
          <w:sz w:val="28"/>
          <w:szCs w:val="28"/>
        </w:rPr>
        <w:t>重要指示，推动“四好农村</w:t>
      </w:r>
      <w:r>
        <w:rPr>
          <w:rFonts w:ascii="仿宋" w:hAnsi="仿宋" w:eastAsia="仿宋" w:cs="仿宋"/>
          <w:spacing w:val="-2"/>
          <w:sz w:val="28"/>
          <w:szCs w:val="28"/>
        </w:rPr>
        <w:t>路”</w:t>
      </w:r>
      <w:r>
        <w:rPr>
          <w:rFonts w:ascii="仿宋" w:hAnsi="仿宋" w:eastAsia="仿宋" w:cs="仿宋"/>
          <w:spacing w:val="57"/>
          <w:sz w:val="28"/>
          <w:szCs w:val="28"/>
        </w:rPr>
        <w:t xml:space="preserve"> </w:t>
      </w:r>
      <w:r>
        <w:rPr>
          <w:rFonts w:ascii="仿宋" w:hAnsi="仿宋" w:eastAsia="仿宋" w:cs="仿宋"/>
          <w:spacing w:val="-2"/>
          <w:sz w:val="28"/>
          <w:szCs w:val="28"/>
        </w:rPr>
        <w:t>高质量发展，巩固交通扶贫成果，服务乡村振兴战略实施。坚持推进乡</w:t>
      </w:r>
      <w:r>
        <w:rPr>
          <w:rFonts w:ascii="仿宋" w:hAnsi="仿宋" w:eastAsia="仿宋" w:cs="仿宋"/>
          <w:spacing w:val="-7"/>
          <w:sz w:val="28"/>
          <w:szCs w:val="28"/>
        </w:rPr>
        <w:t>村交通与美丽乡村建设、旅游发展充分融合</w:t>
      </w:r>
      <w:r>
        <w:rPr>
          <w:rFonts w:ascii="仿宋" w:hAnsi="仿宋" w:eastAsia="仿宋" w:cs="仿宋"/>
          <w:spacing w:val="-8"/>
          <w:sz w:val="28"/>
          <w:szCs w:val="28"/>
        </w:rPr>
        <w:t>，</w:t>
      </w:r>
      <w:r>
        <w:rPr>
          <w:rFonts w:ascii="仿宋" w:hAnsi="仿宋" w:eastAsia="仿宋" w:cs="仿宋"/>
          <w:spacing w:val="68"/>
          <w:sz w:val="28"/>
          <w:szCs w:val="28"/>
        </w:rPr>
        <w:t xml:space="preserve"> </w:t>
      </w:r>
      <w:r>
        <w:rPr>
          <w:rFonts w:ascii="仿宋" w:hAnsi="仿宋" w:eastAsia="仿宋" w:cs="仿宋"/>
          <w:spacing w:val="-8"/>
          <w:sz w:val="28"/>
          <w:szCs w:val="28"/>
        </w:rPr>
        <w:t>重点从县乡道联网工程、县乡</w:t>
      </w:r>
      <w:r>
        <w:rPr>
          <w:rFonts w:ascii="仿宋" w:hAnsi="仿宋" w:eastAsia="仿宋" w:cs="仿宋"/>
          <w:spacing w:val="-1"/>
          <w:sz w:val="28"/>
          <w:szCs w:val="28"/>
        </w:rPr>
        <w:t>道提档升级工程、建制村通双车道建设工程、自然村通达通畅</w:t>
      </w:r>
      <w:r>
        <w:rPr>
          <w:rFonts w:ascii="仿宋" w:hAnsi="仿宋" w:eastAsia="仿宋" w:cs="仿宋"/>
          <w:spacing w:val="-2"/>
          <w:sz w:val="28"/>
          <w:szCs w:val="28"/>
        </w:rPr>
        <w:t>工程、旅游资</w:t>
      </w:r>
      <w:r>
        <w:rPr>
          <w:rFonts w:ascii="仿宋" w:hAnsi="仿宋" w:eastAsia="仿宋" w:cs="仿宋"/>
          <w:sz w:val="28"/>
          <w:szCs w:val="28"/>
        </w:rPr>
        <w:t>源路工程及精品农村公路示范工程等方面内容，继续加大农</w:t>
      </w:r>
      <w:r>
        <w:rPr>
          <w:rFonts w:ascii="仿宋" w:hAnsi="仿宋" w:eastAsia="仿宋" w:cs="仿宋"/>
          <w:spacing w:val="-1"/>
          <w:sz w:val="28"/>
          <w:szCs w:val="28"/>
        </w:rPr>
        <w:t>村公路建设力</w:t>
      </w:r>
    </w:p>
    <w:p w14:paraId="4BE309C4">
      <w:pPr>
        <w:spacing w:line="216" w:lineRule="auto"/>
        <w:ind w:left="9"/>
        <w:rPr>
          <w:rFonts w:ascii="仿宋" w:hAnsi="仿宋" w:eastAsia="仿宋" w:cs="仿宋"/>
          <w:sz w:val="28"/>
          <w:szCs w:val="28"/>
        </w:rPr>
      </w:pPr>
      <w:r>
        <w:rPr>
          <w:rFonts w:ascii="仿宋" w:hAnsi="仿宋" w:eastAsia="仿宋" w:cs="仿宋"/>
          <w:spacing w:val="-1"/>
          <w:sz w:val="28"/>
          <w:szCs w:val="28"/>
        </w:rPr>
        <w:t>度，打    通农村“断头路”，切实解决农民群众“出行难、运输难”问</w:t>
      </w:r>
    </w:p>
    <w:p w14:paraId="71C27677">
      <w:pPr>
        <w:spacing w:before="191" w:line="343" w:lineRule="auto"/>
        <w:ind w:left="9" w:right="80" w:firstLine="4"/>
        <w:rPr>
          <w:rFonts w:ascii="仿宋" w:hAnsi="仿宋" w:eastAsia="仿宋" w:cs="仿宋"/>
          <w:sz w:val="28"/>
          <w:szCs w:val="28"/>
        </w:rPr>
      </w:pPr>
      <w:r>
        <w:rPr>
          <w:rFonts w:ascii="仿宋" w:hAnsi="仿宋" w:eastAsia="仿宋" w:cs="仿宋"/>
          <w:spacing w:val="-7"/>
          <w:sz w:val="28"/>
          <w:szCs w:val="28"/>
        </w:rPr>
        <w:t>题，发挥交通运输对乡村振兴发展的引领、支撑和保障作用，</w:t>
      </w:r>
      <w:r>
        <w:rPr>
          <w:rFonts w:ascii="仿宋" w:hAnsi="仿宋" w:eastAsia="仿宋" w:cs="仿宋"/>
          <w:spacing w:val="70"/>
          <w:sz w:val="28"/>
          <w:szCs w:val="28"/>
        </w:rPr>
        <w:t xml:space="preserve"> </w:t>
      </w:r>
      <w:r>
        <w:rPr>
          <w:rFonts w:ascii="仿宋" w:hAnsi="仿宋" w:eastAsia="仿宋" w:cs="仿宋"/>
          <w:spacing w:val="-7"/>
          <w:sz w:val="28"/>
          <w:szCs w:val="28"/>
        </w:rPr>
        <w:t>拓展基本公共</w:t>
      </w:r>
      <w:r>
        <w:rPr>
          <w:rFonts w:ascii="仿宋" w:hAnsi="仿宋" w:eastAsia="仿宋" w:cs="仿宋"/>
          <w:spacing w:val="-2"/>
          <w:sz w:val="28"/>
          <w:szCs w:val="28"/>
        </w:rPr>
        <w:t>服务深度。建</w:t>
      </w:r>
      <w:r>
        <w:rPr>
          <w:rFonts w:ascii="仿宋" w:hAnsi="仿宋" w:eastAsia="仿宋" w:cs="仿宋"/>
          <w:spacing w:val="49"/>
          <w:sz w:val="28"/>
          <w:szCs w:val="28"/>
        </w:rPr>
        <w:t xml:space="preserve">  </w:t>
      </w:r>
      <w:r>
        <w:rPr>
          <w:rFonts w:ascii="仿宋" w:hAnsi="仿宋" w:eastAsia="仿宋" w:cs="仿宋"/>
          <w:spacing w:val="-2"/>
          <w:sz w:val="28"/>
          <w:szCs w:val="28"/>
        </w:rPr>
        <w:t>设一批美丽农村公路，实现乡镇(街道)与县城、邻近普通国</w:t>
      </w:r>
      <w:r>
        <w:rPr>
          <w:rFonts w:ascii="仿宋" w:hAnsi="仿宋" w:eastAsia="仿宋" w:cs="仿宋"/>
          <w:spacing w:val="-7"/>
          <w:sz w:val="28"/>
          <w:szCs w:val="28"/>
        </w:rPr>
        <w:t>省道间便捷连通与快速集散。积极推进农村公路绿化美化工作，</w:t>
      </w:r>
      <w:r>
        <w:rPr>
          <w:rFonts w:ascii="仿宋" w:hAnsi="仿宋" w:eastAsia="仿宋" w:cs="仿宋"/>
          <w:spacing w:val="74"/>
          <w:sz w:val="28"/>
          <w:szCs w:val="28"/>
        </w:rPr>
        <w:t xml:space="preserve"> </w:t>
      </w:r>
      <w:r>
        <w:rPr>
          <w:rFonts w:ascii="仿宋" w:hAnsi="仿宋" w:eastAsia="仿宋" w:cs="仿宋"/>
          <w:spacing w:val="-7"/>
          <w:sz w:val="28"/>
          <w:szCs w:val="28"/>
        </w:rPr>
        <w:t>打造一批路</w:t>
      </w:r>
      <w:r>
        <w:rPr>
          <w:rFonts w:ascii="仿宋" w:hAnsi="仿宋" w:eastAsia="仿宋" w:cs="仿宋"/>
          <w:spacing w:val="-2"/>
          <w:sz w:val="28"/>
          <w:szCs w:val="28"/>
        </w:rPr>
        <w:t>容路貌整洁，绿</w:t>
      </w:r>
      <w:r>
        <w:rPr>
          <w:rFonts w:ascii="仿宋" w:hAnsi="仿宋" w:eastAsia="仿宋" w:cs="仿宋"/>
          <w:spacing w:val="57"/>
          <w:sz w:val="28"/>
          <w:szCs w:val="28"/>
        </w:rPr>
        <w:t xml:space="preserve">  </w:t>
      </w:r>
      <w:r>
        <w:rPr>
          <w:rFonts w:ascii="仿宋" w:hAnsi="仿宋" w:eastAsia="仿宋" w:cs="仿宋"/>
          <w:spacing w:val="-2"/>
          <w:sz w:val="28"/>
          <w:szCs w:val="28"/>
        </w:rPr>
        <w:t>化美化效果较好的美丽舒适、绿色生态、安全畅通的农村公路。继续推动农村公路生命安全防护、危桥改造</w:t>
      </w:r>
      <w:r>
        <w:rPr>
          <w:rFonts w:ascii="仿宋" w:hAnsi="仿宋" w:eastAsia="仿宋" w:cs="仿宋"/>
          <w:spacing w:val="-3"/>
          <w:sz w:val="28"/>
          <w:szCs w:val="28"/>
        </w:rPr>
        <w:t>等工程建设。</w:t>
      </w:r>
    </w:p>
    <w:p w14:paraId="4786B0B5">
      <w:pPr>
        <w:spacing w:before="7" w:line="342" w:lineRule="auto"/>
        <w:ind w:left="11" w:right="194" w:firstLine="498"/>
        <w:rPr>
          <w:rFonts w:ascii="仿宋" w:hAnsi="仿宋" w:eastAsia="仿宋" w:cs="仿宋"/>
          <w:sz w:val="28"/>
          <w:szCs w:val="28"/>
        </w:rPr>
      </w:pPr>
      <w:r>
        <w:rPr>
          <w:rFonts w:ascii="仿宋" w:hAnsi="仿宋" w:eastAsia="仿宋" w:cs="仿宋"/>
          <w:sz w:val="28"/>
          <w:szCs w:val="28"/>
        </w:rPr>
        <w:t>推进铁路专用线建设，促进多式联运发展。结合产业园区、物</w:t>
      </w:r>
      <w:r>
        <w:rPr>
          <w:rFonts w:ascii="仿宋" w:hAnsi="仿宋" w:eastAsia="仿宋" w:cs="仿宋"/>
          <w:spacing w:val="-1"/>
          <w:sz w:val="28"/>
          <w:szCs w:val="28"/>
        </w:rPr>
        <w:t>流园区、</w:t>
      </w:r>
      <w:r>
        <w:rPr>
          <w:rFonts w:ascii="仿宋" w:hAnsi="仿宋" w:eastAsia="仿宋" w:cs="仿宋"/>
          <w:spacing w:val="-2"/>
          <w:sz w:val="28"/>
          <w:szCs w:val="28"/>
        </w:rPr>
        <w:t>大型工矿企业等建设，推进一批铁路专用线项目实施，加强多式联运基</w:t>
      </w:r>
      <w:r>
        <w:rPr>
          <w:rFonts w:ascii="仿宋" w:hAnsi="仿宋" w:eastAsia="仿宋" w:cs="仿宋"/>
          <w:spacing w:val="-3"/>
          <w:sz w:val="28"/>
          <w:szCs w:val="28"/>
        </w:rPr>
        <w:t>础设</w:t>
      </w:r>
      <w:r>
        <w:rPr>
          <w:rFonts w:ascii="仿宋" w:hAnsi="仿宋" w:eastAsia="仿宋" w:cs="仿宋"/>
          <w:spacing w:val="-2"/>
          <w:sz w:val="28"/>
          <w:szCs w:val="28"/>
        </w:rPr>
        <w:t>施建设，实现“公转铁”最后一公里发展，助力曲靖打赢蓝天保卫战，真正意义发挥铁路作为经济社会发展的关键基础设施作用，支撑和引领全市</w:t>
      </w:r>
      <w:r>
        <w:rPr>
          <w:rFonts w:ascii="仿宋" w:hAnsi="仿宋" w:eastAsia="仿宋" w:cs="仿宋"/>
          <w:spacing w:val="-3"/>
          <w:sz w:val="28"/>
          <w:szCs w:val="28"/>
        </w:rPr>
        <w:t>经济</w:t>
      </w:r>
      <w:r>
        <w:rPr>
          <w:rFonts w:ascii="仿宋" w:hAnsi="仿宋" w:eastAsia="仿宋" w:cs="仿宋"/>
          <w:spacing w:val="-2"/>
          <w:sz w:val="28"/>
          <w:szCs w:val="28"/>
        </w:rPr>
        <w:t>社会绿色高质量发展。</w:t>
      </w:r>
    </w:p>
    <w:p w14:paraId="4E4316F2">
      <w:pPr>
        <w:spacing w:line="343" w:lineRule="auto"/>
        <w:ind w:left="8" w:right="194" w:firstLine="501"/>
        <w:jc w:val="both"/>
        <w:rPr>
          <w:rFonts w:ascii="仿宋" w:hAnsi="仿宋" w:eastAsia="仿宋" w:cs="仿宋"/>
          <w:sz w:val="28"/>
          <w:szCs w:val="28"/>
        </w:rPr>
      </w:pPr>
      <w:r>
        <w:rPr>
          <w:rFonts w:ascii="仿宋" w:hAnsi="仿宋" w:eastAsia="仿宋" w:cs="仿宋"/>
          <w:sz w:val="28"/>
          <w:szCs w:val="28"/>
        </w:rPr>
        <w:t>推进通用机场建设，完善全市民用机场体系。以打造多层级航</w:t>
      </w:r>
      <w:r>
        <w:rPr>
          <w:rFonts w:ascii="仿宋" w:hAnsi="仿宋" w:eastAsia="仿宋" w:cs="仿宋"/>
          <w:spacing w:val="-1"/>
          <w:sz w:val="28"/>
          <w:szCs w:val="28"/>
        </w:rPr>
        <w:t>线网络为</w:t>
      </w:r>
      <w:r>
        <w:rPr>
          <w:rFonts w:ascii="仿宋" w:hAnsi="仿宋" w:eastAsia="仿宋" w:cs="仿宋"/>
          <w:spacing w:val="-2"/>
          <w:sz w:val="28"/>
          <w:szCs w:val="28"/>
        </w:rPr>
        <w:t>重点，推进会泽、罗平通用机场建设，为各类通航作业、应急救援、观光旅游等提供基本设施保障，鼓励在适宜的库湖区发展通用航空作业。按照“小</w:t>
      </w:r>
      <w:r>
        <w:rPr>
          <w:rFonts w:ascii="仿宋" w:hAnsi="仿宋" w:eastAsia="仿宋" w:cs="仿宋"/>
          <w:sz w:val="28"/>
          <w:szCs w:val="28"/>
        </w:rPr>
        <w:t>机型、小航线、小航程”的发展方向，在</w:t>
      </w:r>
      <w:r>
        <w:rPr>
          <w:rFonts w:ascii="仿宋" w:hAnsi="仿宋" w:eastAsia="仿宋" w:cs="仿宋"/>
          <w:spacing w:val="-50"/>
          <w:sz w:val="28"/>
          <w:szCs w:val="28"/>
        </w:rPr>
        <w:t xml:space="preserve"> </w:t>
      </w:r>
      <w:r>
        <w:rPr>
          <w:rFonts w:ascii="仿宋" w:hAnsi="仿宋" w:eastAsia="仿宋" w:cs="仿宋"/>
          <w:sz w:val="28"/>
          <w:szCs w:val="28"/>
        </w:rPr>
        <w:t xml:space="preserve">4A </w:t>
      </w:r>
      <w:r>
        <w:rPr>
          <w:rFonts w:ascii="仿宋" w:hAnsi="仿宋" w:eastAsia="仿宋" w:cs="仿宋"/>
          <w:spacing w:val="-1"/>
          <w:sz w:val="28"/>
          <w:szCs w:val="28"/>
        </w:rPr>
        <w:t>级以上景区和重要经济节点规</w:t>
      </w:r>
    </w:p>
    <w:p w14:paraId="270D3A00">
      <w:pPr>
        <w:spacing w:line="343" w:lineRule="auto"/>
        <w:rPr>
          <w:rFonts w:ascii="仿宋" w:hAnsi="仿宋" w:eastAsia="仿宋" w:cs="仿宋"/>
          <w:sz w:val="28"/>
          <w:szCs w:val="28"/>
        </w:rPr>
        <w:sectPr>
          <w:headerReference r:id="rId71" w:type="default"/>
          <w:footerReference r:id="rId72" w:type="default"/>
          <w:pgSz w:w="11906" w:h="16839"/>
          <w:pgMar w:top="1222" w:right="936" w:bottom="1156" w:left="1587" w:header="885" w:footer="920" w:gutter="0"/>
          <w:cols w:space="720" w:num="1"/>
        </w:sectPr>
      </w:pPr>
    </w:p>
    <w:p w14:paraId="1F8A8067">
      <w:pPr>
        <w:pStyle w:val="2"/>
        <w:spacing w:line="279" w:lineRule="auto"/>
      </w:pPr>
    </w:p>
    <w:p w14:paraId="17DB96CE">
      <w:pPr>
        <w:spacing w:before="91" w:line="217" w:lineRule="auto"/>
        <w:ind w:left="18"/>
        <w:rPr>
          <w:rFonts w:ascii="仿宋" w:hAnsi="仿宋" w:eastAsia="仿宋" w:cs="仿宋"/>
          <w:sz w:val="28"/>
          <w:szCs w:val="28"/>
        </w:rPr>
      </w:pPr>
      <w:r>
        <w:rPr>
          <w:rFonts w:ascii="仿宋" w:hAnsi="仿宋" w:eastAsia="仿宋" w:cs="仿宋"/>
          <w:spacing w:val="-1"/>
          <w:sz w:val="28"/>
          <w:szCs w:val="28"/>
        </w:rPr>
        <w:t>划建设临时起降点，开展短途运输、观光旅游，打造市内环飞航线网络。</w:t>
      </w:r>
    </w:p>
    <w:p w14:paraId="4AC847F5">
      <w:pPr>
        <w:spacing w:before="188" w:line="342" w:lineRule="auto"/>
        <w:ind w:left="4" w:firstLine="519"/>
        <w:jc w:val="both"/>
        <w:rPr>
          <w:rFonts w:ascii="仿宋" w:hAnsi="仿宋" w:eastAsia="仿宋" w:cs="仿宋"/>
          <w:sz w:val="28"/>
          <w:szCs w:val="28"/>
        </w:rPr>
      </w:pPr>
      <w:r>
        <w:rPr>
          <w:rFonts w:ascii="仿宋" w:hAnsi="仿宋" w:eastAsia="仿宋" w:cs="仿宋"/>
          <w:spacing w:val="-1"/>
          <w:sz w:val="28"/>
          <w:szCs w:val="28"/>
        </w:rPr>
        <w:t>完善水运基础设施建设，进一步提升管控能力。依托长江水系、珠江水</w:t>
      </w:r>
      <w:r>
        <w:rPr>
          <w:rFonts w:ascii="仿宋" w:hAnsi="仿宋" w:eastAsia="仿宋" w:cs="仿宋"/>
          <w:spacing w:val="-8"/>
          <w:sz w:val="28"/>
          <w:szCs w:val="28"/>
        </w:rPr>
        <w:t>系和水坝、电站分布，开展水运基础设施建设前期研究，规划建设Ⅴ级航道，</w:t>
      </w:r>
      <w:r>
        <w:rPr>
          <w:rFonts w:ascii="仿宋" w:hAnsi="仿宋" w:eastAsia="仿宋" w:cs="仿宋"/>
          <w:spacing w:val="-2"/>
          <w:sz w:val="28"/>
          <w:szCs w:val="28"/>
        </w:rPr>
        <w:t>适时推进会泽县、罗平县、师宗县境内便民交通码头（停靠点）建设和航道整治，构建局部库区河道短途水运网络，满足横向跨渡、顺水航运等生产生</w:t>
      </w:r>
      <w:r>
        <w:rPr>
          <w:rFonts w:ascii="仿宋" w:hAnsi="仿宋" w:eastAsia="仿宋" w:cs="仿宋"/>
          <w:sz w:val="28"/>
          <w:szCs w:val="28"/>
        </w:rPr>
        <w:t>活和水上旅游发展需求。进一步实施全市重点库湖区船舶标准化更新改造，</w:t>
      </w:r>
      <w:r>
        <w:rPr>
          <w:rFonts w:ascii="仿宋" w:hAnsi="仿宋" w:eastAsia="仿宋" w:cs="仿宋"/>
          <w:spacing w:val="-3"/>
          <w:sz w:val="28"/>
          <w:szCs w:val="28"/>
        </w:rPr>
        <w:t>全面提升改善船舶安全性能，确保所有船舶具备“</w:t>
      </w:r>
      <w:r>
        <w:rPr>
          <w:rFonts w:ascii="仿宋" w:hAnsi="仿宋" w:eastAsia="仿宋" w:cs="仿宋"/>
          <w:spacing w:val="-101"/>
          <w:sz w:val="28"/>
          <w:szCs w:val="28"/>
        </w:rPr>
        <w:t xml:space="preserve"> </w:t>
      </w:r>
      <w:r>
        <w:rPr>
          <w:rFonts w:ascii="仿宋" w:hAnsi="仿宋" w:eastAsia="仿宋" w:cs="仿宋"/>
          <w:spacing w:val="-3"/>
          <w:sz w:val="28"/>
          <w:szCs w:val="28"/>
        </w:rPr>
        <w:t>三证一牌一线”；按标准</w:t>
      </w:r>
      <w:r>
        <w:rPr>
          <w:rFonts w:ascii="仿宋" w:hAnsi="仿宋" w:eastAsia="仿宋" w:cs="仿宋"/>
          <w:spacing w:val="-2"/>
          <w:sz w:val="28"/>
          <w:szCs w:val="28"/>
        </w:rPr>
        <w:t>设置安全防护设施、标志、标识、标牌；开展救生衣（器材）配置行动，确</w:t>
      </w:r>
      <w:r>
        <w:rPr>
          <w:rFonts w:ascii="仿宋" w:hAnsi="仿宋" w:eastAsia="仿宋" w:cs="仿宋"/>
          <w:spacing w:val="-5"/>
          <w:sz w:val="28"/>
          <w:szCs w:val="28"/>
        </w:rPr>
        <w:t>保全市客渡船救生衣配置数量达到船舶配员和乘客定额的</w:t>
      </w:r>
      <w:r>
        <w:rPr>
          <w:rFonts w:ascii="仿宋" w:hAnsi="仿宋" w:eastAsia="仿宋" w:cs="仿宋"/>
          <w:spacing w:val="-25"/>
          <w:sz w:val="28"/>
          <w:szCs w:val="28"/>
        </w:rPr>
        <w:t xml:space="preserve"> </w:t>
      </w:r>
      <w:r>
        <w:rPr>
          <w:rFonts w:ascii="仿宋" w:hAnsi="仿宋" w:eastAsia="仿宋" w:cs="仿宋"/>
          <w:spacing w:val="-5"/>
          <w:sz w:val="28"/>
          <w:szCs w:val="28"/>
        </w:rPr>
        <w:t>100%以上；增配营</w:t>
      </w:r>
      <w:r>
        <w:rPr>
          <w:rFonts w:ascii="仿宋" w:hAnsi="仿宋" w:eastAsia="仿宋" w:cs="仿宋"/>
          <w:spacing w:val="-2"/>
          <w:sz w:val="28"/>
          <w:szCs w:val="28"/>
        </w:rPr>
        <w:t>运大型旅游船舶的消防器材，提升大型旅游船舶的安全防护能力。提高水上</w:t>
      </w:r>
      <w:r>
        <w:rPr>
          <w:rFonts w:ascii="仿宋" w:hAnsi="仿宋" w:eastAsia="仿宋" w:cs="仿宋"/>
          <w:spacing w:val="-8"/>
          <w:sz w:val="28"/>
          <w:szCs w:val="28"/>
        </w:rPr>
        <w:t>安全管控、水上运输保障能力和服务品质，加强船舶和港口水污染防治管控，</w:t>
      </w:r>
      <w:r>
        <w:rPr>
          <w:rFonts w:ascii="仿宋" w:hAnsi="仿宋" w:eastAsia="仿宋" w:cs="仿宋"/>
          <w:spacing w:val="-2"/>
          <w:sz w:val="28"/>
          <w:szCs w:val="28"/>
        </w:rPr>
        <w:t>逐步完善行业治理体系和服务体系，使水路交通更加安全、便捷，周边群众</w:t>
      </w:r>
      <w:r>
        <w:rPr>
          <w:rFonts w:ascii="仿宋" w:hAnsi="仿宋" w:eastAsia="仿宋" w:cs="仿宋"/>
          <w:spacing w:val="-1"/>
          <w:sz w:val="28"/>
          <w:szCs w:val="28"/>
        </w:rPr>
        <w:t>获得感、幸福感、安全感增强。</w:t>
      </w: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66822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719" w:type="dxa"/>
            <w:vAlign w:val="top"/>
          </w:tcPr>
          <w:p w14:paraId="12619B5D">
            <w:pPr>
              <w:pStyle w:val="6"/>
              <w:spacing w:before="137" w:line="229" w:lineRule="auto"/>
              <w:ind w:left="1990"/>
              <w:rPr>
                <w:rFonts w:ascii="宋体" w:hAnsi="宋体" w:eastAsia="宋体" w:cs="宋体"/>
              </w:rPr>
            </w:pPr>
            <w:r>
              <w:rPr>
                <w:rFonts w:ascii="宋体" w:hAnsi="宋体" w:eastAsia="宋体" w:cs="宋体"/>
                <w:b/>
                <w:bCs/>
                <w:spacing w:val="12"/>
              </w:rPr>
              <w:t>专栏</w:t>
            </w:r>
            <w:r>
              <w:rPr>
                <w:rFonts w:ascii="宋体" w:hAnsi="宋体" w:eastAsia="宋体" w:cs="宋体"/>
                <w:spacing w:val="-24"/>
              </w:rPr>
              <w:t xml:space="preserve"> </w:t>
            </w:r>
            <w:r>
              <w:rPr>
                <w:b/>
                <w:bCs/>
                <w:spacing w:val="12"/>
              </w:rPr>
              <w:t xml:space="preserve">4    </w:t>
            </w:r>
            <w:r>
              <w:rPr>
                <w:rFonts w:ascii="宋体" w:hAnsi="宋体" w:eastAsia="宋体" w:cs="宋体"/>
                <w:b/>
                <w:bCs/>
                <w:spacing w:val="12"/>
              </w:rPr>
              <w:t>“十四五</w:t>
            </w:r>
            <w:r>
              <w:rPr>
                <w:rFonts w:ascii="宋体" w:hAnsi="宋体" w:eastAsia="宋体" w:cs="宋体"/>
                <w:spacing w:val="-63"/>
              </w:rPr>
              <w:t xml:space="preserve"> </w:t>
            </w:r>
            <w:r>
              <w:rPr>
                <w:rFonts w:ascii="宋体" w:hAnsi="宋体" w:eastAsia="宋体" w:cs="宋体"/>
                <w:b/>
                <w:bCs/>
                <w:spacing w:val="12"/>
              </w:rPr>
              <w:t>”期间综合交通基础网建设重点项目</w:t>
            </w:r>
          </w:p>
        </w:tc>
      </w:tr>
      <w:tr w14:paraId="25FF8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28" w:hRule="atLeast"/>
        </w:trPr>
        <w:tc>
          <w:tcPr>
            <w:tcW w:w="8719" w:type="dxa"/>
            <w:vAlign w:val="top"/>
          </w:tcPr>
          <w:p w14:paraId="57925A00">
            <w:pPr>
              <w:pStyle w:val="6"/>
              <w:spacing w:before="102" w:line="274" w:lineRule="exact"/>
              <w:ind w:left="568"/>
              <w:rPr>
                <w:rFonts w:ascii="宋体" w:hAnsi="宋体" w:eastAsia="宋体" w:cs="宋体"/>
              </w:rPr>
            </w:pPr>
            <w:r>
              <w:rPr>
                <w:spacing w:val="10"/>
                <w:position w:val="1"/>
              </w:rPr>
              <w:t xml:space="preserve">1.  </w:t>
            </w:r>
            <w:r>
              <w:rPr>
                <w:rFonts w:ascii="宋体" w:hAnsi="宋体" w:eastAsia="宋体" w:cs="宋体"/>
                <w:spacing w:val="10"/>
                <w:position w:val="1"/>
              </w:rPr>
              <w:t>农村公路“巩固提升</w:t>
            </w:r>
            <w:r>
              <w:rPr>
                <w:rFonts w:ascii="宋体" w:hAnsi="宋体" w:eastAsia="宋体" w:cs="宋体"/>
                <w:spacing w:val="-51"/>
                <w:position w:val="1"/>
              </w:rPr>
              <w:t xml:space="preserve"> </w:t>
            </w:r>
            <w:r>
              <w:rPr>
                <w:rFonts w:ascii="宋体" w:hAnsi="宋体" w:eastAsia="宋体" w:cs="宋体"/>
                <w:spacing w:val="10"/>
                <w:position w:val="1"/>
              </w:rPr>
              <w:t>”工程</w:t>
            </w:r>
          </w:p>
          <w:p w14:paraId="50C7B62A">
            <w:pPr>
              <w:pStyle w:val="6"/>
              <w:spacing w:before="211" w:line="367" w:lineRule="auto"/>
              <w:ind w:left="114" w:right="109" w:firstLine="437"/>
              <w:jc w:val="both"/>
              <w:rPr>
                <w:rFonts w:ascii="宋体" w:hAnsi="宋体" w:eastAsia="宋体" w:cs="宋体"/>
              </w:rPr>
            </w:pPr>
            <w:r>
              <w:rPr>
                <w:rFonts w:ascii="宋体" w:hAnsi="宋体" w:eastAsia="宋体" w:cs="宋体"/>
                <w:spacing w:val="11"/>
              </w:rPr>
              <w:t>全市重点规划建设农村公路约</w:t>
            </w:r>
            <w:r>
              <w:rPr>
                <w:rFonts w:ascii="宋体" w:hAnsi="宋体" w:eastAsia="宋体" w:cs="宋体"/>
                <w:spacing w:val="-27"/>
              </w:rPr>
              <w:t xml:space="preserve"> </w:t>
            </w:r>
            <w:r>
              <w:rPr>
                <w:spacing w:val="11"/>
              </w:rPr>
              <w:t>9740</w:t>
            </w:r>
            <w:r>
              <w:rPr>
                <w:spacing w:val="26"/>
              </w:rPr>
              <w:t xml:space="preserve"> </w:t>
            </w:r>
            <w:r>
              <w:rPr>
                <w:rFonts w:ascii="宋体" w:hAnsi="宋体" w:eastAsia="宋体" w:cs="宋体"/>
                <w:spacing w:val="11"/>
              </w:rPr>
              <w:t>公里，规划新建中小桥</w:t>
            </w:r>
            <w:r>
              <w:rPr>
                <w:rFonts w:ascii="宋体" w:hAnsi="宋体" w:eastAsia="宋体" w:cs="宋体"/>
                <w:spacing w:val="-31"/>
              </w:rPr>
              <w:t xml:space="preserve"> </w:t>
            </w:r>
            <w:r>
              <w:rPr>
                <w:spacing w:val="11"/>
              </w:rPr>
              <w:t>276</w:t>
            </w:r>
            <w:r>
              <w:rPr>
                <w:spacing w:val="23"/>
              </w:rPr>
              <w:t xml:space="preserve"> </w:t>
            </w:r>
            <w:r>
              <w:rPr>
                <w:rFonts w:ascii="宋体" w:hAnsi="宋体" w:eastAsia="宋体" w:cs="宋体"/>
                <w:spacing w:val="11"/>
              </w:rPr>
              <w:t xml:space="preserve">座、危桥改造工程 </w:t>
            </w:r>
            <w:r>
              <w:rPr>
                <w:spacing w:val="11"/>
              </w:rPr>
              <w:t>1</w:t>
            </w:r>
            <w:r>
              <w:rPr>
                <w:spacing w:val="10"/>
              </w:rPr>
              <w:t>69</w:t>
            </w:r>
            <w:r>
              <w:rPr>
                <w:rFonts w:ascii="宋体" w:hAnsi="宋体" w:eastAsia="宋体" w:cs="宋体"/>
                <w:spacing w:val="14"/>
              </w:rPr>
              <w:t>座、安全防护工程</w:t>
            </w:r>
            <w:r>
              <w:rPr>
                <w:rFonts w:ascii="宋体" w:hAnsi="宋体" w:eastAsia="宋体" w:cs="宋体"/>
                <w:spacing w:val="-20"/>
              </w:rPr>
              <w:t xml:space="preserve"> </w:t>
            </w:r>
            <w:r>
              <w:rPr>
                <w:spacing w:val="14"/>
              </w:rPr>
              <w:t>4951</w:t>
            </w:r>
            <w:r>
              <w:rPr>
                <w:spacing w:val="28"/>
              </w:rPr>
              <w:t xml:space="preserve"> </w:t>
            </w:r>
            <w:r>
              <w:rPr>
                <w:rFonts w:ascii="宋体" w:hAnsi="宋体" w:eastAsia="宋体" w:cs="宋体"/>
                <w:spacing w:val="14"/>
              </w:rPr>
              <w:t>公里。至</w:t>
            </w:r>
            <w:r>
              <w:rPr>
                <w:rFonts w:ascii="宋体" w:hAnsi="宋体" w:eastAsia="宋体" w:cs="宋体"/>
                <w:spacing w:val="-34"/>
              </w:rPr>
              <w:t xml:space="preserve"> </w:t>
            </w:r>
            <w:r>
              <w:rPr>
                <w:spacing w:val="14"/>
              </w:rPr>
              <w:t>2025</w:t>
            </w:r>
            <w:r>
              <w:rPr>
                <w:spacing w:val="23"/>
              </w:rPr>
              <w:t xml:space="preserve"> </w:t>
            </w:r>
            <w:r>
              <w:rPr>
                <w:rFonts w:ascii="宋体" w:hAnsi="宋体" w:eastAsia="宋体" w:cs="宋体"/>
                <w:spacing w:val="14"/>
              </w:rPr>
              <w:t>年，实现全市乡镇（街道）撤并建制村通硬化路达</w:t>
            </w:r>
            <w:r>
              <w:rPr>
                <w:rFonts w:ascii="宋体" w:hAnsi="宋体" w:eastAsia="宋体" w:cs="宋体"/>
                <w:spacing w:val="12"/>
              </w:rPr>
              <w:t xml:space="preserve">到 </w:t>
            </w:r>
            <w:r>
              <w:rPr>
                <w:spacing w:val="12"/>
              </w:rPr>
              <w:t>100%</w:t>
            </w:r>
            <w:r>
              <w:rPr>
                <w:spacing w:val="-11"/>
              </w:rPr>
              <w:t xml:space="preserve"> </w:t>
            </w:r>
            <w:r>
              <w:rPr>
                <w:rFonts w:ascii="宋体" w:hAnsi="宋体" w:eastAsia="宋体" w:cs="宋体"/>
                <w:spacing w:val="12"/>
              </w:rPr>
              <w:t>，全市</w:t>
            </w:r>
            <w:r>
              <w:rPr>
                <w:rFonts w:ascii="宋体" w:hAnsi="宋体" w:eastAsia="宋体" w:cs="宋体"/>
                <w:spacing w:val="-26"/>
              </w:rPr>
              <w:t xml:space="preserve"> </w:t>
            </w:r>
            <w:r>
              <w:rPr>
                <w:spacing w:val="12"/>
              </w:rPr>
              <w:t>50</w:t>
            </w:r>
            <w:r>
              <w:rPr>
                <w:spacing w:val="23"/>
              </w:rPr>
              <w:t xml:space="preserve"> </w:t>
            </w:r>
            <w:r>
              <w:rPr>
                <w:rFonts w:ascii="宋体" w:hAnsi="宋体" w:eastAsia="宋体" w:cs="宋体"/>
                <w:spacing w:val="12"/>
              </w:rPr>
              <w:t>户以上具备条件的自然村通硬化路达</w:t>
            </w:r>
            <w:r>
              <w:rPr>
                <w:rFonts w:ascii="宋体" w:hAnsi="宋体" w:eastAsia="宋体" w:cs="宋体"/>
                <w:spacing w:val="-25"/>
              </w:rPr>
              <w:t xml:space="preserve"> </w:t>
            </w:r>
            <w:r>
              <w:rPr>
                <w:spacing w:val="12"/>
              </w:rPr>
              <w:t>95%</w:t>
            </w:r>
            <w:r>
              <w:rPr>
                <w:spacing w:val="-21"/>
              </w:rPr>
              <w:t xml:space="preserve"> </w:t>
            </w:r>
            <w:r>
              <w:rPr>
                <w:rFonts w:ascii="宋体" w:hAnsi="宋体" w:eastAsia="宋体" w:cs="宋体"/>
                <w:spacing w:val="12"/>
              </w:rPr>
              <w:t>，力争实现</w:t>
            </w:r>
            <w:r>
              <w:rPr>
                <w:rFonts w:ascii="宋体" w:hAnsi="宋体" w:eastAsia="宋体" w:cs="宋体"/>
                <w:spacing w:val="-24"/>
              </w:rPr>
              <w:t xml:space="preserve"> </w:t>
            </w:r>
            <w:r>
              <w:rPr>
                <w:spacing w:val="12"/>
              </w:rPr>
              <w:t>30</w:t>
            </w:r>
            <w:r>
              <w:rPr>
                <w:spacing w:val="22"/>
                <w:w w:val="101"/>
              </w:rPr>
              <w:t xml:space="preserve"> </w:t>
            </w:r>
            <w:r>
              <w:rPr>
                <w:rFonts w:ascii="宋体" w:hAnsi="宋体" w:eastAsia="宋体" w:cs="宋体"/>
                <w:spacing w:val="12"/>
              </w:rPr>
              <w:t>户以上具备条</w:t>
            </w:r>
            <w:r>
              <w:rPr>
                <w:rFonts w:ascii="宋体" w:hAnsi="宋体" w:eastAsia="宋体" w:cs="宋体"/>
                <w:spacing w:val="13"/>
              </w:rPr>
              <w:t>件的自然村通硬化路达</w:t>
            </w:r>
            <w:r>
              <w:rPr>
                <w:rFonts w:ascii="宋体" w:hAnsi="宋体" w:eastAsia="宋体" w:cs="宋体"/>
                <w:spacing w:val="-23"/>
              </w:rPr>
              <w:t xml:space="preserve"> </w:t>
            </w:r>
            <w:r>
              <w:rPr>
                <w:spacing w:val="13"/>
              </w:rPr>
              <w:t>50%</w:t>
            </w:r>
            <w:r>
              <w:rPr>
                <w:rFonts w:ascii="宋体" w:hAnsi="宋体" w:eastAsia="宋体" w:cs="宋体"/>
                <w:spacing w:val="13"/>
              </w:rPr>
              <w:t>以上。</w:t>
            </w:r>
          </w:p>
          <w:p w14:paraId="7C30AADC">
            <w:pPr>
              <w:pStyle w:val="6"/>
              <w:spacing w:before="2" w:line="274" w:lineRule="exact"/>
              <w:ind w:left="547"/>
              <w:rPr>
                <w:rFonts w:ascii="宋体" w:hAnsi="宋体" w:eastAsia="宋体" w:cs="宋体"/>
              </w:rPr>
            </w:pPr>
            <w:r>
              <w:rPr>
                <w:spacing w:val="13"/>
                <w:position w:val="1"/>
              </w:rPr>
              <w:t xml:space="preserve">2.  </w:t>
            </w:r>
            <w:r>
              <w:rPr>
                <w:rFonts w:ascii="宋体" w:hAnsi="宋体" w:eastAsia="宋体" w:cs="宋体"/>
                <w:spacing w:val="13"/>
                <w:position w:val="1"/>
              </w:rPr>
              <w:t>铁路“建网提速</w:t>
            </w:r>
            <w:r>
              <w:rPr>
                <w:rFonts w:ascii="宋体" w:hAnsi="宋体" w:eastAsia="宋体" w:cs="宋体"/>
                <w:spacing w:val="-54"/>
                <w:position w:val="1"/>
              </w:rPr>
              <w:t xml:space="preserve"> </w:t>
            </w:r>
            <w:r>
              <w:rPr>
                <w:rFonts w:ascii="宋体" w:hAnsi="宋体" w:eastAsia="宋体" w:cs="宋体"/>
                <w:spacing w:val="13"/>
                <w:position w:val="1"/>
              </w:rPr>
              <w:t>”工程——铁路专用线</w:t>
            </w:r>
          </w:p>
          <w:p w14:paraId="08BDA570">
            <w:pPr>
              <w:spacing w:before="239" w:line="352" w:lineRule="auto"/>
              <w:ind w:left="114" w:right="115" w:firstLine="437"/>
              <w:rPr>
                <w:rFonts w:ascii="宋体" w:hAnsi="宋体" w:eastAsia="宋体" w:cs="宋体"/>
                <w:sz w:val="20"/>
                <w:szCs w:val="20"/>
              </w:rPr>
            </w:pPr>
            <w:r>
              <w:rPr>
                <w:rFonts w:ascii="宋体" w:hAnsi="宋体" w:eastAsia="宋体" w:cs="宋体"/>
                <w:spacing w:val="17"/>
                <w:sz w:val="20"/>
                <w:szCs w:val="20"/>
              </w:rPr>
              <w:t>推进曲靖钢铁集团呈钢钢铁有限公司马龙专用线、华能滇东煤电基地铁路专用线、富源滇黔交界公铁多式联运现代物流基地铁路专用线等项目建设，促进多式联运发展。</w:t>
            </w:r>
          </w:p>
          <w:p w14:paraId="5DA7E60B">
            <w:pPr>
              <w:pStyle w:val="6"/>
              <w:spacing w:line="275" w:lineRule="exact"/>
              <w:ind w:left="552"/>
              <w:rPr>
                <w:rFonts w:ascii="宋体" w:hAnsi="宋体" w:eastAsia="宋体" w:cs="宋体"/>
              </w:rPr>
            </w:pPr>
            <w:r>
              <w:rPr>
                <w:spacing w:val="11"/>
                <w:position w:val="1"/>
              </w:rPr>
              <w:t>3.</w:t>
            </w:r>
            <w:r>
              <w:rPr>
                <w:spacing w:val="29"/>
                <w:position w:val="1"/>
              </w:rPr>
              <w:t xml:space="preserve">  </w:t>
            </w:r>
            <w:r>
              <w:rPr>
                <w:rFonts w:ascii="宋体" w:hAnsi="宋体" w:eastAsia="宋体" w:cs="宋体"/>
                <w:spacing w:val="11"/>
                <w:position w:val="1"/>
              </w:rPr>
              <w:t>民航“补齐短板</w:t>
            </w:r>
            <w:r>
              <w:rPr>
                <w:rFonts w:ascii="宋体" w:hAnsi="宋体" w:eastAsia="宋体" w:cs="宋体"/>
                <w:spacing w:val="-60"/>
                <w:position w:val="1"/>
              </w:rPr>
              <w:t xml:space="preserve"> </w:t>
            </w:r>
            <w:r>
              <w:rPr>
                <w:rFonts w:ascii="宋体" w:hAnsi="宋体" w:eastAsia="宋体" w:cs="宋体"/>
                <w:spacing w:val="11"/>
                <w:position w:val="1"/>
              </w:rPr>
              <w:t>”工程——通用机场</w:t>
            </w:r>
          </w:p>
          <w:p w14:paraId="12DF98ED">
            <w:pPr>
              <w:pStyle w:val="6"/>
              <w:spacing w:before="209" w:line="360" w:lineRule="auto"/>
              <w:ind w:left="118" w:right="115" w:firstLine="433"/>
              <w:rPr>
                <w:rFonts w:ascii="宋体" w:hAnsi="宋体" w:eastAsia="宋体" w:cs="宋体"/>
              </w:rPr>
            </w:pPr>
            <w:r>
              <w:rPr>
                <w:rFonts w:ascii="宋体" w:hAnsi="宋体" w:eastAsia="宋体" w:cs="宋体"/>
                <w:spacing w:val="16"/>
              </w:rPr>
              <w:t>推进会泽、罗平通用机场前期工作，条件成熟适时启动建设，探索研究在</w:t>
            </w:r>
            <w:r>
              <w:rPr>
                <w:rFonts w:ascii="宋体" w:hAnsi="宋体" w:eastAsia="宋体" w:cs="宋体"/>
                <w:spacing w:val="-24"/>
              </w:rPr>
              <w:t xml:space="preserve"> </w:t>
            </w:r>
            <w:r>
              <w:rPr>
                <w:spacing w:val="16"/>
              </w:rPr>
              <w:t xml:space="preserve">4A  </w:t>
            </w:r>
            <w:r>
              <w:rPr>
                <w:rFonts w:ascii="宋体" w:hAnsi="宋体" w:eastAsia="宋体" w:cs="宋体"/>
                <w:spacing w:val="16"/>
              </w:rPr>
              <w:t>级以上</w:t>
            </w:r>
            <w:r>
              <w:rPr>
                <w:rFonts w:ascii="宋体" w:hAnsi="宋体" w:eastAsia="宋体" w:cs="宋体"/>
                <w:spacing w:val="15"/>
              </w:rPr>
              <w:t>景区和重要经济节点规划建设临时起降点。</w:t>
            </w:r>
          </w:p>
          <w:p w14:paraId="3E8C8640">
            <w:pPr>
              <w:pStyle w:val="6"/>
              <w:spacing w:before="13" w:line="274" w:lineRule="exact"/>
              <w:ind w:left="546"/>
              <w:rPr>
                <w:rFonts w:ascii="宋体" w:hAnsi="宋体" w:eastAsia="宋体" w:cs="宋体"/>
              </w:rPr>
            </w:pPr>
            <w:r>
              <w:rPr>
                <w:spacing w:val="13"/>
                <w:position w:val="1"/>
              </w:rPr>
              <w:t xml:space="preserve">4.  </w:t>
            </w:r>
            <w:r>
              <w:rPr>
                <w:rFonts w:ascii="宋体" w:hAnsi="宋体" w:eastAsia="宋体" w:cs="宋体"/>
                <w:spacing w:val="13"/>
                <w:position w:val="1"/>
              </w:rPr>
              <w:t>水运“完善提升</w:t>
            </w:r>
            <w:r>
              <w:rPr>
                <w:rFonts w:ascii="宋体" w:hAnsi="宋体" w:eastAsia="宋体" w:cs="宋体"/>
                <w:spacing w:val="-43"/>
                <w:position w:val="1"/>
              </w:rPr>
              <w:t xml:space="preserve"> </w:t>
            </w:r>
            <w:r>
              <w:rPr>
                <w:rFonts w:ascii="宋体" w:hAnsi="宋体" w:eastAsia="宋体" w:cs="宋体"/>
                <w:spacing w:val="13"/>
                <w:position w:val="1"/>
              </w:rPr>
              <w:t>”工程——库湖区航运设施</w:t>
            </w:r>
          </w:p>
          <w:p w14:paraId="1823CC50">
            <w:pPr>
              <w:spacing w:before="240" w:line="329" w:lineRule="auto"/>
              <w:ind w:left="114" w:right="115" w:firstLine="437"/>
              <w:rPr>
                <w:rFonts w:ascii="宋体" w:hAnsi="宋体" w:eastAsia="宋体" w:cs="宋体"/>
                <w:sz w:val="20"/>
                <w:szCs w:val="20"/>
              </w:rPr>
            </w:pPr>
            <w:r>
              <w:rPr>
                <w:rFonts w:ascii="宋体" w:hAnsi="宋体" w:eastAsia="宋体" w:cs="宋体"/>
                <w:spacing w:val="17"/>
                <w:sz w:val="20"/>
                <w:szCs w:val="20"/>
              </w:rPr>
              <w:t>开展水运基础设施建设前期研究工作，启动会泽港（会泽便民码头）建设，适时推进</w:t>
            </w:r>
            <w:r>
              <w:rPr>
                <w:rFonts w:ascii="宋体" w:hAnsi="宋体" w:eastAsia="宋体" w:cs="宋体"/>
                <w:spacing w:val="18"/>
                <w:sz w:val="20"/>
                <w:szCs w:val="20"/>
              </w:rPr>
              <w:t>罗平县、师宗县境内便民交通码头（停靠点</w:t>
            </w:r>
            <w:r>
              <w:rPr>
                <w:rFonts w:ascii="宋体" w:hAnsi="宋体" w:eastAsia="宋体" w:cs="宋体"/>
                <w:spacing w:val="17"/>
                <w:sz w:val="20"/>
                <w:szCs w:val="20"/>
              </w:rPr>
              <w:t>）前期工作和航道整治，构建局部库区河道短</w:t>
            </w:r>
            <w:r>
              <w:rPr>
                <w:rFonts w:ascii="宋体" w:hAnsi="宋体" w:eastAsia="宋体" w:cs="宋体"/>
                <w:spacing w:val="12"/>
                <w:sz w:val="20"/>
                <w:szCs w:val="20"/>
              </w:rPr>
              <w:t>途水运网络。</w:t>
            </w:r>
          </w:p>
        </w:tc>
      </w:tr>
    </w:tbl>
    <w:p w14:paraId="13BB4837">
      <w:pPr>
        <w:pStyle w:val="2"/>
      </w:pPr>
    </w:p>
    <w:p w14:paraId="2D4F87B8">
      <w:pPr>
        <w:sectPr>
          <w:headerReference r:id="rId73" w:type="default"/>
          <w:footerReference r:id="rId74" w:type="default"/>
          <w:pgSz w:w="11906" w:h="16839"/>
          <w:pgMar w:top="1222" w:right="1510" w:bottom="1156" w:left="1134" w:header="885" w:footer="920" w:gutter="0"/>
          <w:cols w:space="720" w:num="1"/>
        </w:sectPr>
      </w:pPr>
    </w:p>
    <w:p w14:paraId="13D19617">
      <w:pPr>
        <w:spacing w:before="321" w:line="222" w:lineRule="auto"/>
        <w:ind w:left="564"/>
        <w:outlineLvl w:val="1"/>
        <w:rPr>
          <w:rFonts w:ascii="黑体" w:hAnsi="黑体" w:eastAsia="黑体" w:cs="黑体"/>
          <w:sz w:val="28"/>
          <w:szCs w:val="28"/>
        </w:rPr>
      </w:pPr>
      <w:bookmarkStart w:id="34" w:name="bookmark28"/>
      <w:bookmarkEnd w:id="34"/>
      <w:r>
        <w:rPr>
          <w:rFonts w:ascii="黑体" w:hAnsi="黑体" w:eastAsia="黑体" w:cs="黑体"/>
          <w:spacing w:val="-1"/>
          <w:sz w:val="28"/>
          <w:szCs w:val="28"/>
        </w:rPr>
        <w:t>4. 全面提升服务区建管运水平</w:t>
      </w:r>
    </w:p>
    <w:p w14:paraId="3623234C">
      <w:pPr>
        <w:spacing w:before="291" w:line="343" w:lineRule="auto"/>
        <w:ind w:left="10" w:right="279" w:firstLine="562"/>
        <w:rPr>
          <w:rFonts w:ascii="仿宋" w:hAnsi="仿宋" w:eastAsia="仿宋" w:cs="仿宋"/>
          <w:sz w:val="28"/>
          <w:szCs w:val="28"/>
        </w:rPr>
      </w:pPr>
      <w:r>
        <w:rPr>
          <w:rFonts w:ascii="仿宋" w:hAnsi="仿宋" w:eastAsia="仿宋" w:cs="仿宋"/>
          <w:spacing w:val="-4"/>
          <w:sz w:val="28"/>
          <w:szCs w:val="28"/>
        </w:rPr>
        <w:t>按照</w:t>
      </w:r>
      <w:r>
        <w:rPr>
          <w:rFonts w:ascii="仿宋" w:hAnsi="仿宋" w:eastAsia="仿宋" w:cs="仿宋"/>
          <w:spacing w:val="-109"/>
          <w:sz w:val="28"/>
          <w:szCs w:val="28"/>
        </w:rPr>
        <w:t xml:space="preserve"> </w:t>
      </w:r>
      <w:r>
        <w:rPr>
          <w:rFonts w:ascii="仿宋" w:hAnsi="仿宋" w:eastAsia="仿宋" w:cs="仿宋"/>
          <w:spacing w:val="-4"/>
          <w:sz w:val="28"/>
          <w:szCs w:val="28"/>
        </w:rPr>
        <w:t>“干净、有序、智慧、特色”的总体目标，聚焦</w:t>
      </w:r>
      <w:r>
        <w:rPr>
          <w:rFonts w:ascii="仿宋" w:hAnsi="仿宋" w:eastAsia="仿宋" w:cs="仿宋"/>
          <w:spacing w:val="-107"/>
          <w:sz w:val="28"/>
          <w:szCs w:val="28"/>
        </w:rPr>
        <w:t xml:space="preserve"> </w:t>
      </w:r>
      <w:r>
        <w:rPr>
          <w:rFonts w:ascii="仿宋" w:hAnsi="仿宋" w:eastAsia="仿宋" w:cs="仿宋"/>
          <w:spacing w:val="-5"/>
          <w:sz w:val="28"/>
          <w:szCs w:val="28"/>
        </w:rPr>
        <w:t>“完善功能、优化</w:t>
      </w:r>
      <w:r>
        <w:rPr>
          <w:rFonts w:ascii="仿宋" w:hAnsi="仿宋" w:eastAsia="仿宋" w:cs="仿宋"/>
          <w:spacing w:val="-4"/>
          <w:sz w:val="28"/>
          <w:szCs w:val="28"/>
        </w:rPr>
        <w:t>环境、强化管理、提升品质”</w:t>
      </w:r>
      <w:r>
        <w:rPr>
          <w:rFonts w:ascii="仿宋" w:hAnsi="仿宋" w:eastAsia="仿宋" w:cs="仿宋"/>
          <w:spacing w:val="-80"/>
          <w:sz w:val="28"/>
          <w:szCs w:val="28"/>
        </w:rPr>
        <w:t xml:space="preserve"> </w:t>
      </w:r>
      <w:r>
        <w:rPr>
          <w:rFonts w:ascii="仿宋" w:hAnsi="仿宋" w:eastAsia="仿宋" w:cs="仿宋"/>
          <w:spacing w:val="-4"/>
          <w:sz w:val="28"/>
          <w:szCs w:val="28"/>
        </w:rPr>
        <w:t>四个重点，打造</w:t>
      </w:r>
      <w:r>
        <w:rPr>
          <w:rFonts w:ascii="仿宋" w:hAnsi="仿宋" w:eastAsia="仿宋" w:cs="仿宋"/>
          <w:spacing w:val="-97"/>
          <w:sz w:val="28"/>
          <w:szCs w:val="28"/>
        </w:rPr>
        <w:t xml:space="preserve"> </w:t>
      </w:r>
      <w:r>
        <w:rPr>
          <w:rFonts w:ascii="仿宋" w:hAnsi="仿宋" w:eastAsia="仿宋" w:cs="仿宋"/>
          <w:spacing w:val="-4"/>
          <w:sz w:val="28"/>
          <w:szCs w:val="28"/>
        </w:rPr>
        <w:t>“</w:t>
      </w:r>
      <w:r>
        <w:rPr>
          <w:rFonts w:ascii="仿宋" w:hAnsi="仿宋" w:eastAsia="仿宋" w:cs="仿宋"/>
          <w:spacing w:val="-109"/>
          <w:sz w:val="28"/>
          <w:szCs w:val="28"/>
        </w:rPr>
        <w:t xml:space="preserve"> </w:t>
      </w:r>
      <w:r>
        <w:rPr>
          <w:rFonts w:ascii="仿宋" w:hAnsi="仿宋" w:eastAsia="仿宋" w:cs="仿宋"/>
          <w:spacing w:val="-4"/>
          <w:sz w:val="28"/>
          <w:szCs w:val="28"/>
        </w:rPr>
        <w:t>三好三高三化”</w:t>
      </w:r>
      <w:r>
        <w:rPr>
          <w:rFonts w:ascii="仿宋" w:hAnsi="仿宋" w:eastAsia="仿宋" w:cs="仿宋"/>
          <w:spacing w:val="-67"/>
          <w:sz w:val="28"/>
          <w:szCs w:val="28"/>
        </w:rPr>
        <w:t xml:space="preserve"> </w:t>
      </w:r>
      <w:r>
        <w:rPr>
          <w:rFonts w:ascii="仿宋" w:hAnsi="仿宋" w:eastAsia="仿宋" w:cs="仿宋"/>
          <w:spacing w:val="-4"/>
          <w:sz w:val="28"/>
          <w:szCs w:val="28"/>
        </w:rPr>
        <w:t>(环境好、</w:t>
      </w:r>
      <w:r>
        <w:rPr>
          <w:rFonts w:ascii="仿宋" w:hAnsi="仿宋" w:eastAsia="仿宋" w:cs="仿宋"/>
          <w:spacing w:val="2"/>
          <w:sz w:val="28"/>
          <w:szCs w:val="28"/>
        </w:rPr>
        <w:t>服务好、管理好，标准高、要求高、品质高，景区化、智慧化、标准化)服</w:t>
      </w:r>
      <w:r>
        <w:rPr>
          <w:rFonts w:ascii="仿宋" w:hAnsi="仿宋" w:eastAsia="仿宋" w:cs="仿宋"/>
          <w:spacing w:val="-1"/>
          <w:sz w:val="28"/>
          <w:szCs w:val="28"/>
        </w:rPr>
        <w:t>务区，进一步推动服务区高质量发展。</w:t>
      </w:r>
    </w:p>
    <w:p w14:paraId="064CBD72">
      <w:pPr>
        <w:spacing w:before="13" w:line="342" w:lineRule="auto"/>
        <w:ind w:left="10" w:right="279" w:firstLine="579"/>
        <w:jc w:val="both"/>
        <w:rPr>
          <w:rFonts w:ascii="仿宋" w:hAnsi="仿宋" w:eastAsia="仿宋" w:cs="仿宋"/>
          <w:sz w:val="28"/>
          <w:szCs w:val="28"/>
        </w:rPr>
      </w:pPr>
      <w:r>
        <w:rPr>
          <w:rFonts w:ascii="仿宋" w:hAnsi="仿宋" w:eastAsia="仿宋" w:cs="仿宋"/>
          <w:spacing w:val="-3"/>
          <w:sz w:val="28"/>
          <w:szCs w:val="28"/>
        </w:rPr>
        <w:t>强化服务区基础设施建设。加强已建服务区的日常管养，严格落实“三</w:t>
      </w:r>
      <w:r>
        <w:rPr>
          <w:rFonts w:ascii="仿宋" w:hAnsi="仿宋" w:eastAsia="仿宋" w:cs="仿宋"/>
          <w:spacing w:val="-2"/>
          <w:sz w:val="28"/>
          <w:szCs w:val="28"/>
        </w:rPr>
        <w:t>有三无”；新建服务区应合理增加厕位数量，优化男女厕位比例，设置第三卫生间和母婴室，持续完善残疾人停车位等人性化服务设施，改善公众</w:t>
      </w:r>
      <w:r>
        <w:rPr>
          <w:rFonts w:ascii="仿宋" w:hAnsi="仿宋" w:eastAsia="仿宋" w:cs="仿宋"/>
          <w:spacing w:val="-3"/>
          <w:sz w:val="28"/>
          <w:szCs w:val="28"/>
        </w:rPr>
        <w:t>如厕</w:t>
      </w:r>
      <w:r>
        <w:rPr>
          <w:rFonts w:ascii="仿宋" w:hAnsi="仿宋" w:eastAsia="仿宋" w:cs="仿宋"/>
          <w:spacing w:val="-2"/>
          <w:sz w:val="28"/>
          <w:szCs w:val="28"/>
        </w:rPr>
        <w:t>环境。进一步加快服务区加气和充电设施建设，提升运营服务保障水平，原则上所有服务区具备充电功能。全面落实将服务区绿化纳入美丽公路建设体系，打造“景区化”服务区，强化绿化景观的日常维护和管养。鼓励有条件的服务区结合当地资源打造具有地方特色的旅游主题服务区，适当增加</w:t>
      </w:r>
      <w:r>
        <w:rPr>
          <w:rFonts w:ascii="仿宋" w:hAnsi="仿宋" w:eastAsia="仿宋" w:cs="仿宋"/>
          <w:spacing w:val="-3"/>
          <w:sz w:val="28"/>
          <w:szCs w:val="28"/>
        </w:rPr>
        <w:t>景区</w:t>
      </w:r>
      <w:r>
        <w:rPr>
          <w:rFonts w:ascii="仿宋" w:hAnsi="仿宋" w:eastAsia="仿宋" w:cs="仿宋"/>
          <w:spacing w:val="-2"/>
          <w:sz w:val="28"/>
          <w:szCs w:val="28"/>
        </w:rPr>
        <w:t>门票销售、导游、休闲娱乐、房车营地等服务功能，逐步引入地方特产、特色商品、水果销售等展示区域，具备条件的服务区增加酒店、民宿等经营业</w:t>
      </w:r>
      <w:r>
        <w:rPr>
          <w:rFonts w:ascii="仿宋" w:hAnsi="仿宋" w:eastAsia="仿宋" w:cs="仿宋"/>
          <w:spacing w:val="-4"/>
          <w:sz w:val="28"/>
          <w:szCs w:val="28"/>
        </w:rPr>
        <w:t>态，将服务区打造为融入全域旅游新的展示窗</w:t>
      </w:r>
      <w:r>
        <w:rPr>
          <w:rFonts w:ascii="仿宋" w:hAnsi="仿宋" w:eastAsia="仿宋" w:cs="仿宋"/>
          <w:spacing w:val="-73"/>
          <w:sz w:val="28"/>
          <w:szCs w:val="28"/>
        </w:rPr>
        <w:t xml:space="preserve"> </w:t>
      </w:r>
      <w:r>
        <w:rPr>
          <w:rFonts w:ascii="仿宋" w:hAnsi="仿宋" w:eastAsia="仿宋" w:cs="仿宋"/>
          <w:spacing w:val="-4"/>
          <w:sz w:val="28"/>
          <w:szCs w:val="28"/>
        </w:rPr>
        <w:t>口，展现曲靖特色，促进“服</w:t>
      </w:r>
      <w:r>
        <w:rPr>
          <w:rFonts w:ascii="仿宋" w:hAnsi="仿宋" w:eastAsia="仿宋" w:cs="仿宋"/>
          <w:spacing w:val="-1"/>
          <w:sz w:val="28"/>
          <w:szCs w:val="28"/>
        </w:rPr>
        <w:t>务区+旅游”融合发展。</w:t>
      </w:r>
    </w:p>
    <w:p w14:paraId="6C2CDCAE">
      <w:pPr>
        <w:tabs>
          <w:tab w:val="left" w:pos="9464"/>
        </w:tabs>
        <w:spacing w:line="343" w:lineRule="auto"/>
        <w:ind w:left="15" w:firstLine="555"/>
        <w:jc w:val="both"/>
        <w:rPr>
          <w:rFonts w:ascii="仿宋" w:hAnsi="仿宋" w:eastAsia="仿宋" w:cs="仿宋"/>
          <w:sz w:val="28"/>
          <w:szCs w:val="28"/>
        </w:rPr>
      </w:pPr>
      <w:r>
        <w:rPr>
          <w:rFonts w:ascii="仿宋" w:hAnsi="仿宋" w:eastAsia="仿宋" w:cs="仿宋"/>
          <w:spacing w:val="1"/>
          <w:sz w:val="28"/>
          <w:szCs w:val="28"/>
        </w:rPr>
        <w:t>推进服务区智慧化建设。加强</w:t>
      </w:r>
      <w:r>
        <w:rPr>
          <w:rFonts w:ascii="仿宋" w:hAnsi="仿宋" w:eastAsia="仿宋" w:cs="仿宋"/>
          <w:spacing w:val="-100"/>
          <w:sz w:val="28"/>
          <w:szCs w:val="28"/>
        </w:rPr>
        <w:t xml:space="preserve"> </w:t>
      </w:r>
      <w:r>
        <w:rPr>
          <w:rFonts w:ascii="仿宋" w:hAnsi="仿宋" w:eastAsia="仿宋" w:cs="仿宋"/>
          <w:spacing w:val="1"/>
          <w:sz w:val="28"/>
          <w:szCs w:val="28"/>
        </w:rPr>
        <w:t>“互联网+”“云计算”“大数据”“5G”</w:t>
      </w:r>
      <w:r>
        <w:rPr>
          <w:rFonts w:ascii="仿宋" w:hAnsi="仿宋" w:eastAsia="仿宋" w:cs="仿宋"/>
          <w:sz w:val="28"/>
          <w:szCs w:val="28"/>
        </w:rPr>
        <w:t xml:space="preserve"> </w:t>
      </w:r>
      <w:r>
        <w:rPr>
          <w:rFonts w:ascii="仿宋" w:hAnsi="仿宋" w:eastAsia="仿宋" w:cs="仿宋"/>
          <w:spacing w:val="-4"/>
          <w:sz w:val="28"/>
          <w:szCs w:val="28"/>
        </w:rPr>
        <w:t>“</w:t>
      </w:r>
      <w:r>
        <w:rPr>
          <w:rFonts w:ascii="仿宋" w:hAnsi="仿宋" w:eastAsia="仿宋" w:cs="仿宋"/>
          <w:spacing w:val="-79"/>
          <w:sz w:val="28"/>
          <w:szCs w:val="28"/>
        </w:rPr>
        <w:t xml:space="preserve"> </w:t>
      </w:r>
      <w:r>
        <w:rPr>
          <w:rFonts w:ascii="仿宋" w:hAnsi="仿宋" w:eastAsia="仿宋" w:cs="仿宋"/>
          <w:spacing w:val="-4"/>
          <w:sz w:val="28"/>
          <w:szCs w:val="28"/>
        </w:rPr>
        <w:t>区块链”等技术在服务区的推广应用，加快推进服务区视频联网，推进服</w:t>
      </w:r>
      <w:r>
        <w:rPr>
          <w:rFonts w:ascii="仿宋" w:hAnsi="仿宋" w:eastAsia="仿宋" w:cs="仿宋"/>
          <w:sz w:val="28"/>
          <w:szCs w:val="28"/>
        </w:rPr>
        <w:t xml:space="preserve"> </w:t>
      </w:r>
      <w:r>
        <w:rPr>
          <w:rFonts w:ascii="仿宋" w:hAnsi="仿宋" w:eastAsia="仿宋" w:cs="仿宋"/>
          <w:spacing w:val="-2"/>
          <w:sz w:val="28"/>
          <w:szCs w:val="28"/>
        </w:rPr>
        <w:t>务区管理系统建设，实现信息统计、运营管理、监督检查的</w:t>
      </w:r>
      <w:r>
        <w:rPr>
          <w:rFonts w:ascii="仿宋" w:hAnsi="仿宋" w:eastAsia="仿宋" w:cs="仿宋"/>
          <w:spacing w:val="-3"/>
          <w:sz w:val="28"/>
          <w:szCs w:val="28"/>
        </w:rPr>
        <w:t>在线化、常态化</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和智能化。积极开发提供服务内容多元、功能使用便捷、支付方</w:t>
      </w:r>
      <w:r>
        <w:rPr>
          <w:rFonts w:ascii="仿宋" w:hAnsi="仿宋" w:eastAsia="仿宋" w:cs="仿宋"/>
          <w:spacing w:val="-3"/>
          <w:sz w:val="28"/>
          <w:szCs w:val="28"/>
        </w:rPr>
        <w:t>式多样的智</w:t>
      </w:r>
      <w:r>
        <w:rPr>
          <w:rFonts w:ascii="仿宋" w:hAnsi="仿宋" w:eastAsia="仿宋" w:cs="仿宋"/>
          <w:sz w:val="28"/>
          <w:szCs w:val="28"/>
        </w:rPr>
        <w:t xml:space="preserve"> </w:t>
      </w:r>
      <w:r>
        <w:rPr>
          <w:rFonts w:ascii="仿宋" w:hAnsi="仿宋" w:eastAsia="仿宋" w:cs="仿宋"/>
          <w:spacing w:val="-3"/>
          <w:sz w:val="28"/>
          <w:szCs w:val="28"/>
        </w:rPr>
        <w:t>慧化应用场景，全面对接</w:t>
      </w:r>
      <w:r>
        <w:rPr>
          <w:rFonts w:ascii="仿宋" w:hAnsi="仿宋" w:eastAsia="仿宋" w:cs="仿宋"/>
          <w:spacing w:val="-86"/>
          <w:sz w:val="28"/>
          <w:szCs w:val="28"/>
        </w:rPr>
        <w:t xml:space="preserve"> </w:t>
      </w:r>
      <w:r>
        <w:rPr>
          <w:rFonts w:ascii="仿宋" w:hAnsi="仿宋" w:eastAsia="仿宋" w:cs="仿宋"/>
          <w:spacing w:val="-3"/>
          <w:sz w:val="28"/>
          <w:szCs w:val="28"/>
        </w:rPr>
        <w:t>“一部手机游云南”平台。</w:t>
      </w:r>
    </w:p>
    <w:p w14:paraId="37DEDE1D">
      <w:pPr>
        <w:spacing w:before="6" w:line="342" w:lineRule="auto"/>
        <w:ind w:left="10" w:right="279" w:firstLine="561"/>
        <w:jc w:val="both"/>
        <w:rPr>
          <w:rFonts w:ascii="仿宋" w:hAnsi="仿宋" w:eastAsia="仿宋" w:cs="仿宋"/>
          <w:sz w:val="28"/>
          <w:szCs w:val="28"/>
        </w:rPr>
      </w:pPr>
      <w:r>
        <w:rPr>
          <w:rFonts w:ascii="仿宋" w:hAnsi="仿宋" w:eastAsia="仿宋" w:cs="仿宋"/>
          <w:spacing w:val="-2"/>
          <w:sz w:val="28"/>
          <w:szCs w:val="28"/>
        </w:rPr>
        <w:t>加大服务区监管。建立健全服务区运营管理规范体系，重点</w:t>
      </w:r>
      <w:r>
        <w:rPr>
          <w:rFonts w:ascii="仿宋" w:hAnsi="仿宋" w:eastAsia="仿宋" w:cs="仿宋"/>
          <w:spacing w:val="-3"/>
          <w:sz w:val="28"/>
          <w:szCs w:val="28"/>
        </w:rPr>
        <w:t>加强日常监</w:t>
      </w:r>
      <w:r>
        <w:rPr>
          <w:rFonts w:ascii="仿宋" w:hAnsi="仿宋" w:eastAsia="仿宋" w:cs="仿宋"/>
          <w:spacing w:val="-4"/>
          <w:sz w:val="28"/>
          <w:szCs w:val="28"/>
        </w:rPr>
        <w:t>督、物业标准化管理、</w:t>
      </w:r>
      <w:r>
        <w:rPr>
          <w:rFonts w:ascii="仿宋" w:hAnsi="仿宋" w:eastAsia="仿宋" w:cs="仿宋"/>
          <w:spacing w:val="-107"/>
          <w:sz w:val="28"/>
          <w:szCs w:val="28"/>
        </w:rPr>
        <w:t xml:space="preserve"> </w:t>
      </w:r>
      <w:r>
        <w:rPr>
          <w:rFonts w:ascii="仿宋" w:hAnsi="仿宋" w:eastAsia="仿宋" w:cs="仿宋"/>
          <w:spacing w:val="-4"/>
          <w:sz w:val="28"/>
          <w:szCs w:val="28"/>
        </w:rPr>
        <w:t>“</w:t>
      </w:r>
      <w:r>
        <w:rPr>
          <w:rFonts w:ascii="仿宋" w:hAnsi="仿宋" w:eastAsia="仿宋" w:cs="仿宋"/>
          <w:spacing w:val="-109"/>
          <w:sz w:val="28"/>
          <w:szCs w:val="28"/>
        </w:rPr>
        <w:t xml:space="preserve"> </w:t>
      </w:r>
      <w:r>
        <w:rPr>
          <w:rFonts w:ascii="仿宋" w:hAnsi="仿宋" w:eastAsia="仿宋" w:cs="仿宋"/>
          <w:spacing w:val="-4"/>
          <w:sz w:val="28"/>
          <w:szCs w:val="28"/>
        </w:rPr>
        <w:t>三有三无”及餐饮品质监督。加大对服务区的检查</w:t>
      </w:r>
      <w:r>
        <w:rPr>
          <w:rFonts w:ascii="仿宋" w:hAnsi="仿宋" w:eastAsia="仿宋" w:cs="仿宋"/>
          <w:spacing w:val="2"/>
          <w:sz w:val="28"/>
          <w:szCs w:val="28"/>
        </w:rPr>
        <w:t>监督力度,充分使用电子巡更、视频联网检查加大日常检查监督力度，推动</w:t>
      </w:r>
      <w:r>
        <w:rPr>
          <w:rFonts w:ascii="仿宋" w:hAnsi="仿宋" w:eastAsia="仿宋" w:cs="仿宋"/>
          <w:spacing w:val="-2"/>
          <w:sz w:val="28"/>
          <w:szCs w:val="28"/>
        </w:rPr>
        <w:t>服务区经营管理品质持续提升。完善服务区应急处置预案，不断提升服务区应急保障能力。</w:t>
      </w:r>
    </w:p>
    <w:p w14:paraId="46E68B4F">
      <w:pPr>
        <w:spacing w:line="342" w:lineRule="auto"/>
        <w:rPr>
          <w:rFonts w:ascii="仿宋" w:hAnsi="仿宋" w:eastAsia="仿宋" w:cs="仿宋"/>
          <w:sz w:val="28"/>
          <w:szCs w:val="28"/>
        </w:rPr>
        <w:sectPr>
          <w:headerReference r:id="rId75" w:type="default"/>
          <w:footerReference r:id="rId76" w:type="default"/>
          <w:pgSz w:w="11906" w:h="16839"/>
          <w:pgMar w:top="1222" w:right="853" w:bottom="1156" w:left="1587" w:header="885" w:footer="920" w:gutter="0"/>
          <w:cols w:space="720" w:num="1"/>
        </w:sectPr>
      </w:pPr>
    </w:p>
    <w:p w14:paraId="1EDE97EA">
      <w:pPr>
        <w:spacing w:line="194" w:lineRule="exact"/>
      </w:pP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1E2C2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6" w:hRule="atLeast"/>
        </w:trPr>
        <w:tc>
          <w:tcPr>
            <w:tcW w:w="8719" w:type="dxa"/>
            <w:vAlign w:val="top"/>
          </w:tcPr>
          <w:p w14:paraId="486F7864">
            <w:pPr>
              <w:pStyle w:val="6"/>
              <w:spacing w:before="139" w:line="228" w:lineRule="auto"/>
              <w:ind w:left="2208"/>
              <w:rPr>
                <w:rFonts w:ascii="宋体" w:hAnsi="宋体" w:eastAsia="宋体" w:cs="宋体"/>
              </w:rPr>
            </w:pPr>
            <w:r>
              <w:rPr>
                <w:rFonts w:ascii="宋体" w:hAnsi="宋体" w:eastAsia="宋体" w:cs="宋体"/>
                <w:b/>
                <w:bCs/>
                <w:spacing w:val="11"/>
              </w:rPr>
              <w:t>专栏</w:t>
            </w:r>
            <w:r>
              <w:rPr>
                <w:rFonts w:ascii="宋体" w:hAnsi="宋体" w:eastAsia="宋体" w:cs="宋体"/>
                <w:spacing w:val="-13"/>
              </w:rPr>
              <w:t xml:space="preserve"> </w:t>
            </w:r>
            <w:r>
              <w:rPr>
                <w:b/>
                <w:bCs/>
                <w:spacing w:val="11"/>
              </w:rPr>
              <w:t xml:space="preserve">5    </w:t>
            </w:r>
            <w:r>
              <w:rPr>
                <w:rFonts w:ascii="宋体" w:hAnsi="宋体" w:eastAsia="宋体" w:cs="宋体"/>
                <w:b/>
                <w:bCs/>
                <w:spacing w:val="11"/>
              </w:rPr>
              <w:t>“十四五</w:t>
            </w:r>
            <w:r>
              <w:rPr>
                <w:rFonts w:ascii="宋体" w:hAnsi="宋体" w:eastAsia="宋体" w:cs="宋体"/>
                <w:spacing w:val="-60"/>
              </w:rPr>
              <w:t xml:space="preserve"> </w:t>
            </w:r>
            <w:r>
              <w:rPr>
                <w:rFonts w:ascii="宋体" w:hAnsi="宋体" w:eastAsia="宋体" w:cs="宋体"/>
                <w:b/>
                <w:bCs/>
                <w:spacing w:val="11"/>
              </w:rPr>
              <w:t>”期间公路服务区建设重点项目</w:t>
            </w:r>
          </w:p>
        </w:tc>
      </w:tr>
      <w:tr w14:paraId="32C47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2" w:hRule="atLeast"/>
        </w:trPr>
        <w:tc>
          <w:tcPr>
            <w:tcW w:w="8719" w:type="dxa"/>
            <w:vAlign w:val="top"/>
          </w:tcPr>
          <w:p w14:paraId="61706858">
            <w:pPr>
              <w:pStyle w:val="6"/>
              <w:spacing w:before="102" w:line="274" w:lineRule="exact"/>
              <w:ind w:left="568"/>
              <w:rPr>
                <w:rFonts w:ascii="宋体" w:hAnsi="宋体" w:eastAsia="宋体" w:cs="宋体"/>
              </w:rPr>
            </w:pPr>
            <w:r>
              <w:rPr>
                <w:spacing w:val="13"/>
                <w:position w:val="1"/>
              </w:rPr>
              <w:t xml:space="preserve">1.  </w:t>
            </w:r>
            <w:r>
              <w:rPr>
                <w:rFonts w:ascii="宋体" w:hAnsi="宋体" w:eastAsia="宋体" w:cs="宋体"/>
                <w:spacing w:val="13"/>
                <w:position w:val="1"/>
              </w:rPr>
              <w:t>高速公路服务区建设提升工程</w:t>
            </w:r>
          </w:p>
          <w:p w14:paraId="63179A4F">
            <w:pPr>
              <w:pStyle w:val="6"/>
              <w:spacing w:before="237" w:line="366" w:lineRule="auto"/>
              <w:ind w:left="114" w:right="21" w:firstLine="438"/>
              <w:jc w:val="both"/>
              <w:rPr>
                <w:rFonts w:ascii="宋体" w:hAnsi="宋体" w:eastAsia="宋体" w:cs="宋体"/>
              </w:rPr>
            </w:pPr>
            <w:r>
              <w:rPr>
                <w:rFonts w:ascii="宋体" w:hAnsi="宋体" w:eastAsia="宋体" w:cs="宋体"/>
                <w:spacing w:val="14"/>
              </w:rPr>
              <w:t>按照《云南省交通运输厅关于全面提升高速公路服务区建设经营管理水平指导意见》，</w:t>
            </w:r>
            <w:r>
              <w:rPr>
                <w:rFonts w:ascii="宋体" w:hAnsi="宋体" w:eastAsia="宋体" w:cs="宋体"/>
                <w:spacing w:val="10"/>
              </w:rPr>
              <w:t>完善境内</w:t>
            </w:r>
            <w:r>
              <w:rPr>
                <w:rFonts w:ascii="宋体" w:hAnsi="宋体" w:eastAsia="宋体" w:cs="宋体"/>
                <w:spacing w:val="-17"/>
              </w:rPr>
              <w:t xml:space="preserve"> </w:t>
            </w:r>
            <w:r>
              <w:rPr>
                <w:spacing w:val="10"/>
              </w:rPr>
              <w:t>G56</w:t>
            </w:r>
            <w:r>
              <w:rPr>
                <w:spacing w:val="-21"/>
              </w:rPr>
              <w:t xml:space="preserve"> </w:t>
            </w:r>
            <w:r>
              <w:rPr>
                <w:rFonts w:ascii="宋体" w:hAnsi="宋体" w:eastAsia="宋体" w:cs="宋体"/>
                <w:spacing w:val="10"/>
              </w:rPr>
              <w:t>、</w:t>
            </w:r>
            <w:r>
              <w:rPr>
                <w:spacing w:val="10"/>
              </w:rPr>
              <w:t>G60</w:t>
            </w:r>
            <w:r>
              <w:rPr>
                <w:spacing w:val="-19"/>
              </w:rPr>
              <w:t xml:space="preserve"> </w:t>
            </w:r>
            <w:r>
              <w:rPr>
                <w:rFonts w:ascii="宋体" w:hAnsi="宋体" w:eastAsia="宋体" w:cs="宋体"/>
                <w:spacing w:val="10"/>
              </w:rPr>
              <w:t>、</w:t>
            </w:r>
            <w:r>
              <w:rPr>
                <w:spacing w:val="10"/>
              </w:rPr>
              <w:t>G78</w:t>
            </w:r>
            <w:r>
              <w:rPr>
                <w:spacing w:val="-19"/>
              </w:rPr>
              <w:t xml:space="preserve"> </w:t>
            </w:r>
            <w:r>
              <w:rPr>
                <w:rFonts w:ascii="宋体" w:hAnsi="宋体" w:eastAsia="宋体" w:cs="宋体"/>
                <w:spacing w:val="10"/>
              </w:rPr>
              <w:t>、</w:t>
            </w:r>
            <w:r>
              <w:rPr>
                <w:spacing w:val="10"/>
              </w:rPr>
              <w:t>G85</w:t>
            </w:r>
            <w:r>
              <w:rPr>
                <w:spacing w:val="-19"/>
              </w:rPr>
              <w:t xml:space="preserve"> </w:t>
            </w:r>
            <w:r>
              <w:rPr>
                <w:rFonts w:ascii="宋体" w:hAnsi="宋体" w:eastAsia="宋体" w:cs="宋体"/>
                <w:spacing w:val="10"/>
              </w:rPr>
              <w:t>、曲靖</w:t>
            </w:r>
            <w:r>
              <w:rPr>
                <w:spacing w:val="10"/>
              </w:rPr>
              <w:t>-</w:t>
            </w:r>
            <w:r>
              <w:rPr>
                <w:rFonts w:ascii="宋体" w:hAnsi="宋体" w:eastAsia="宋体" w:cs="宋体"/>
                <w:spacing w:val="10"/>
              </w:rPr>
              <w:t>陆良、沾益</w:t>
            </w:r>
            <w:r>
              <w:rPr>
                <w:spacing w:val="10"/>
              </w:rPr>
              <w:t>-</w:t>
            </w:r>
            <w:r>
              <w:rPr>
                <w:rFonts w:ascii="宋体" w:hAnsi="宋体" w:eastAsia="宋体" w:cs="宋体"/>
                <w:spacing w:val="10"/>
              </w:rPr>
              <w:t>会泽等既有高速公路服务区（停车区）</w:t>
            </w:r>
            <w:r>
              <w:rPr>
                <w:rFonts w:ascii="宋体" w:hAnsi="宋体" w:eastAsia="宋体" w:cs="宋体"/>
                <w:spacing w:val="15"/>
              </w:rPr>
              <w:t>的配套设施，结合当地资源和发展实际，积极拓展服务功能；重点推进罗平</w:t>
            </w:r>
            <w:r>
              <w:rPr>
                <w:spacing w:val="15"/>
              </w:rPr>
              <w:t>-</w:t>
            </w:r>
            <w:r>
              <w:rPr>
                <w:rFonts w:ascii="宋体" w:hAnsi="宋体" w:eastAsia="宋体" w:cs="宋体"/>
                <w:spacing w:val="15"/>
              </w:rPr>
              <w:t>八大河、麒麟</w:t>
            </w:r>
            <w:r>
              <w:rPr>
                <w:rFonts w:ascii="宋体" w:hAnsi="宋体" w:eastAsia="宋体" w:cs="宋体"/>
                <w:spacing w:val="9"/>
              </w:rPr>
              <w:t xml:space="preserve"> </w:t>
            </w:r>
            <w:r>
              <w:rPr>
                <w:spacing w:val="15"/>
              </w:rPr>
              <w:t>-</w:t>
            </w:r>
            <w:r>
              <w:rPr>
                <w:rFonts w:ascii="宋体" w:hAnsi="宋体" w:eastAsia="宋体" w:cs="宋体"/>
                <w:spacing w:val="15"/>
              </w:rPr>
              <w:t>师宗、三宝</w:t>
            </w:r>
            <w:r>
              <w:rPr>
                <w:spacing w:val="15"/>
              </w:rPr>
              <w:t>-</w:t>
            </w:r>
            <w:r>
              <w:rPr>
                <w:rFonts w:ascii="宋体" w:hAnsi="宋体" w:eastAsia="宋体" w:cs="宋体"/>
                <w:spacing w:val="15"/>
              </w:rPr>
              <w:t>清水</w:t>
            </w:r>
            <w:r>
              <w:rPr>
                <w:spacing w:val="15"/>
              </w:rPr>
              <w:t>&lt;</w:t>
            </w:r>
            <w:r>
              <w:rPr>
                <w:rFonts w:ascii="宋体" w:hAnsi="宋体" w:eastAsia="宋体" w:cs="宋体"/>
                <w:spacing w:val="15"/>
              </w:rPr>
              <w:t>境内段</w:t>
            </w:r>
            <w:r>
              <w:rPr>
                <w:spacing w:val="15"/>
              </w:rPr>
              <w:t>&gt;</w:t>
            </w:r>
            <w:r>
              <w:rPr>
                <w:rFonts w:ascii="宋体" w:hAnsi="宋体" w:eastAsia="宋体" w:cs="宋体"/>
                <w:spacing w:val="15"/>
              </w:rPr>
              <w:t>等已建高速公路的</w:t>
            </w:r>
            <w:r>
              <w:rPr>
                <w:rFonts w:ascii="宋体" w:hAnsi="宋体" w:eastAsia="宋体" w:cs="宋体"/>
                <w:spacing w:val="-28"/>
              </w:rPr>
              <w:t xml:space="preserve"> </w:t>
            </w:r>
            <w:r>
              <w:rPr>
                <w:spacing w:val="15"/>
              </w:rPr>
              <w:t xml:space="preserve">7 </w:t>
            </w:r>
            <w:r>
              <w:rPr>
                <w:rFonts w:ascii="宋体" w:hAnsi="宋体" w:eastAsia="宋体" w:cs="宋体"/>
                <w:spacing w:val="15"/>
              </w:rPr>
              <w:t>个服务区（停车</w:t>
            </w:r>
            <w:r>
              <w:rPr>
                <w:rFonts w:ascii="宋体" w:hAnsi="宋体" w:eastAsia="宋体" w:cs="宋体"/>
                <w:spacing w:val="14"/>
              </w:rPr>
              <w:t>区）</w:t>
            </w:r>
            <w:r>
              <w:rPr>
                <w:rFonts w:ascii="宋体" w:hAnsi="宋体" w:eastAsia="宋体" w:cs="宋体"/>
                <w:spacing w:val="-59"/>
              </w:rPr>
              <w:t xml:space="preserve"> </w:t>
            </w:r>
            <w:r>
              <w:rPr>
                <w:rFonts w:ascii="宋体" w:hAnsi="宋体" w:eastAsia="宋体" w:cs="宋体"/>
                <w:spacing w:val="14"/>
              </w:rPr>
              <w:t>建设工作；</w:t>
            </w:r>
            <w:r>
              <w:rPr>
                <w:rFonts w:ascii="宋体" w:hAnsi="宋体" w:eastAsia="宋体" w:cs="宋体"/>
                <w:spacing w:val="-57"/>
              </w:rPr>
              <w:t xml:space="preserve"> </w:t>
            </w:r>
            <w:r>
              <w:rPr>
                <w:rFonts w:ascii="宋体" w:hAnsi="宋体" w:eastAsia="宋体" w:cs="宋体"/>
                <w:spacing w:val="14"/>
              </w:rPr>
              <w:t>结合“十</w:t>
            </w:r>
            <w:r>
              <w:rPr>
                <w:rFonts w:ascii="宋体" w:hAnsi="宋体" w:eastAsia="宋体" w:cs="宋体"/>
                <w:spacing w:val="17"/>
              </w:rPr>
              <w:t>四五</w:t>
            </w:r>
            <w:r>
              <w:rPr>
                <w:rFonts w:ascii="宋体" w:hAnsi="宋体" w:eastAsia="宋体" w:cs="宋体"/>
                <w:spacing w:val="-62"/>
              </w:rPr>
              <w:t xml:space="preserve"> </w:t>
            </w:r>
            <w:r>
              <w:rPr>
                <w:rFonts w:ascii="宋体" w:hAnsi="宋体" w:eastAsia="宋体" w:cs="宋体"/>
                <w:spacing w:val="17"/>
              </w:rPr>
              <w:t>”期高速公路重点建设项目，积极推动相</w:t>
            </w:r>
            <w:r>
              <w:rPr>
                <w:rFonts w:ascii="宋体" w:hAnsi="宋体" w:eastAsia="宋体" w:cs="宋体"/>
                <w:spacing w:val="16"/>
              </w:rPr>
              <w:t>应服务区（停车区）建设，严格落实规划设</w:t>
            </w:r>
            <w:r>
              <w:rPr>
                <w:rFonts w:ascii="宋体" w:hAnsi="宋体" w:eastAsia="宋体" w:cs="宋体"/>
                <w:spacing w:val="18"/>
              </w:rPr>
              <w:t>计方案明确的配套设施建设。进一步加快服</w:t>
            </w:r>
            <w:r>
              <w:rPr>
                <w:rFonts w:ascii="宋体" w:hAnsi="宋体" w:eastAsia="宋体" w:cs="宋体"/>
                <w:spacing w:val="17"/>
              </w:rPr>
              <w:t>务区加气和充电设施建设，原则上所有服务区</w:t>
            </w:r>
            <w:r>
              <w:rPr>
                <w:rFonts w:ascii="宋体" w:hAnsi="宋体" w:eastAsia="宋体" w:cs="宋体"/>
                <w:spacing w:val="18"/>
              </w:rPr>
              <w:t>具备充电功能。鼓励有条件的服务区结合当地资源打造具有地方特色的旅游主题</w:t>
            </w:r>
            <w:r>
              <w:rPr>
                <w:rFonts w:ascii="宋体" w:hAnsi="宋体" w:eastAsia="宋体" w:cs="宋体"/>
                <w:spacing w:val="17"/>
              </w:rPr>
              <w:t>服务区，</w:t>
            </w:r>
            <w:r>
              <w:rPr>
                <w:rFonts w:ascii="宋体" w:hAnsi="宋体" w:eastAsia="宋体" w:cs="宋体"/>
                <w:spacing w:val="14"/>
              </w:rPr>
              <w:t>展现曲靖特色，促进“服务区</w:t>
            </w:r>
            <w:r>
              <w:rPr>
                <w:spacing w:val="14"/>
              </w:rPr>
              <w:t>+</w:t>
            </w:r>
            <w:r>
              <w:rPr>
                <w:rFonts w:ascii="宋体" w:hAnsi="宋体" w:eastAsia="宋体" w:cs="宋体"/>
                <w:spacing w:val="14"/>
              </w:rPr>
              <w:t>旅游</w:t>
            </w:r>
            <w:r>
              <w:rPr>
                <w:rFonts w:ascii="宋体" w:hAnsi="宋体" w:eastAsia="宋体" w:cs="宋体"/>
                <w:spacing w:val="-57"/>
              </w:rPr>
              <w:t xml:space="preserve"> </w:t>
            </w:r>
            <w:r>
              <w:rPr>
                <w:rFonts w:ascii="宋体" w:hAnsi="宋体" w:eastAsia="宋体" w:cs="宋体"/>
                <w:spacing w:val="14"/>
              </w:rPr>
              <w:t>”融合发展。</w:t>
            </w:r>
          </w:p>
          <w:p w14:paraId="2BF2D545">
            <w:pPr>
              <w:pStyle w:val="6"/>
              <w:spacing w:line="274" w:lineRule="exact"/>
              <w:ind w:left="547"/>
              <w:rPr>
                <w:rFonts w:ascii="宋体" w:hAnsi="宋体" w:eastAsia="宋体" w:cs="宋体"/>
              </w:rPr>
            </w:pPr>
            <w:r>
              <w:rPr>
                <w:spacing w:val="15"/>
                <w:position w:val="1"/>
              </w:rPr>
              <w:t xml:space="preserve">2.  </w:t>
            </w:r>
            <w:r>
              <w:rPr>
                <w:rFonts w:ascii="宋体" w:hAnsi="宋体" w:eastAsia="宋体" w:cs="宋体"/>
                <w:spacing w:val="15"/>
                <w:position w:val="1"/>
              </w:rPr>
              <w:t>普通国省道服务设施规划建设工程</w:t>
            </w:r>
          </w:p>
          <w:p w14:paraId="2192CAB8">
            <w:pPr>
              <w:pStyle w:val="6"/>
              <w:spacing w:before="158" w:line="342" w:lineRule="auto"/>
              <w:ind w:left="114" w:right="37" w:firstLine="437"/>
              <w:rPr>
                <w:rFonts w:ascii="宋体" w:hAnsi="宋体" w:eastAsia="宋体" w:cs="宋体"/>
              </w:rPr>
            </w:pPr>
            <w:r>
              <w:rPr>
                <w:rFonts w:ascii="宋体" w:hAnsi="宋体" w:eastAsia="宋体" w:cs="宋体"/>
                <w:spacing w:val="17"/>
              </w:rPr>
              <w:t>根据普通国省道路网布局方案，开展曲靖市普通国省道服务设施布局规划，推动普通</w:t>
            </w:r>
            <w:r>
              <w:rPr>
                <w:rFonts w:ascii="宋体" w:hAnsi="宋体" w:eastAsia="宋体" w:cs="宋体"/>
                <w:spacing w:val="12"/>
              </w:rPr>
              <w:t>国省道服务设施新增布设和提升改造工程。“十四五</w:t>
            </w:r>
            <w:r>
              <w:rPr>
                <w:rFonts w:ascii="宋体" w:hAnsi="宋体" w:eastAsia="宋体" w:cs="宋体"/>
                <w:spacing w:val="-50"/>
              </w:rPr>
              <w:t xml:space="preserve"> </w:t>
            </w:r>
            <w:r>
              <w:rPr>
                <w:rFonts w:ascii="宋体" w:hAnsi="宋体" w:eastAsia="宋体" w:cs="宋体"/>
                <w:spacing w:val="12"/>
              </w:rPr>
              <w:t>”期间，结合普通国道</w:t>
            </w:r>
            <w:r>
              <w:rPr>
                <w:rFonts w:ascii="宋体" w:hAnsi="宋体" w:eastAsia="宋体" w:cs="宋体"/>
                <w:spacing w:val="-28"/>
              </w:rPr>
              <w:t xml:space="preserve"> </w:t>
            </w:r>
            <w:r>
              <w:rPr>
                <w:spacing w:val="12"/>
              </w:rPr>
              <w:t>G213</w:t>
            </w:r>
            <w:r>
              <w:rPr>
                <w:spacing w:val="-16"/>
              </w:rPr>
              <w:t xml:space="preserve"> </w:t>
            </w:r>
            <w:r>
              <w:rPr>
                <w:rFonts w:ascii="宋体" w:hAnsi="宋体" w:eastAsia="宋体" w:cs="宋体"/>
                <w:spacing w:val="12"/>
              </w:rPr>
              <w:t>、</w:t>
            </w:r>
            <w:r>
              <w:rPr>
                <w:spacing w:val="12"/>
              </w:rPr>
              <w:t>G324</w:t>
            </w:r>
            <w:r>
              <w:rPr>
                <w:rFonts w:ascii="宋体" w:hAnsi="宋体" w:eastAsia="宋体" w:cs="宋体"/>
                <w:spacing w:val="12"/>
              </w:rPr>
              <w:t>、</w:t>
            </w:r>
            <w:r>
              <w:rPr>
                <w:rFonts w:ascii="宋体" w:hAnsi="宋体" w:eastAsia="宋体" w:cs="宋体"/>
              </w:rPr>
              <w:t xml:space="preserve"> </w:t>
            </w:r>
            <w:r>
              <w:rPr>
                <w:spacing w:val="13"/>
              </w:rPr>
              <w:t>G326</w:t>
            </w:r>
            <w:r>
              <w:rPr>
                <w:spacing w:val="-19"/>
              </w:rPr>
              <w:t xml:space="preserve"> </w:t>
            </w:r>
            <w:r>
              <w:rPr>
                <w:rFonts w:ascii="宋体" w:hAnsi="宋体" w:eastAsia="宋体" w:cs="宋体"/>
                <w:spacing w:val="13"/>
              </w:rPr>
              <w:t>、</w:t>
            </w:r>
            <w:r>
              <w:rPr>
                <w:spacing w:val="13"/>
              </w:rPr>
              <w:t>G357</w:t>
            </w:r>
            <w:r>
              <w:rPr>
                <w:spacing w:val="21"/>
                <w:w w:val="101"/>
              </w:rPr>
              <w:t xml:space="preserve"> </w:t>
            </w:r>
            <w:r>
              <w:rPr>
                <w:rFonts w:ascii="宋体" w:hAnsi="宋体" w:eastAsia="宋体" w:cs="宋体"/>
                <w:spacing w:val="13"/>
              </w:rPr>
              <w:t>及相关省道线路，积极开展</w:t>
            </w:r>
            <w:r>
              <w:rPr>
                <w:rFonts w:ascii="宋体" w:hAnsi="宋体" w:eastAsia="宋体" w:cs="宋体"/>
                <w:spacing w:val="-14"/>
              </w:rPr>
              <w:t xml:space="preserve"> </w:t>
            </w:r>
            <w:r>
              <w:rPr>
                <w:spacing w:val="13"/>
              </w:rPr>
              <w:t>1</w:t>
            </w:r>
            <w:r>
              <w:rPr>
                <w:spacing w:val="12"/>
              </w:rPr>
              <w:t>0</w:t>
            </w:r>
            <w:r>
              <w:rPr>
                <w:spacing w:val="20"/>
              </w:rPr>
              <w:t xml:space="preserve"> </w:t>
            </w:r>
            <w:r>
              <w:rPr>
                <w:rFonts w:ascii="宋体" w:hAnsi="宋体" w:eastAsia="宋体" w:cs="宋体"/>
                <w:spacing w:val="12"/>
              </w:rPr>
              <w:t>个普通国省道一二级公路中心服务区建设，重</w:t>
            </w:r>
            <w:r>
              <w:rPr>
                <w:rFonts w:ascii="宋体" w:hAnsi="宋体" w:eastAsia="宋体" w:cs="宋体"/>
                <w:spacing w:val="18"/>
              </w:rPr>
              <w:t>点推进服务区的车辆服务设施、人员服务设施</w:t>
            </w:r>
            <w:r>
              <w:rPr>
                <w:rFonts w:ascii="宋体" w:hAnsi="宋体" w:eastAsia="宋体" w:cs="宋体"/>
                <w:spacing w:val="17"/>
              </w:rPr>
              <w:t>、管理及附属设施等功能设施建设，提升普通国省道服务水平和供给质量，满足社会公众日益提高的出行服</w:t>
            </w:r>
            <w:r>
              <w:rPr>
                <w:rFonts w:ascii="宋体" w:hAnsi="宋体" w:eastAsia="宋体" w:cs="宋体"/>
                <w:spacing w:val="16"/>
              </w:rPr>
              <w:t>务需求。</w:t>
            </w:r>
          </w:p>
        </w:tc>
      </w:tr>
    </w:tbl>
    <w:p w14:paraId="4E666700">
      <w:pPr>
        <w:pStyle w:val="2"/>
        <w:spacing w:line="330" w:lineRule="auto"/>
      </w:pPr>
    </w:p>
    <w:p w14:paraId="74CEE3CC">
      <w:pPr>
        <w:spacing w:before="97" w:line="222" w:lineRule="auto"/>
        <w:ind w:left="635"/>
        <w:outlineLvl w:val="0"/>
        <w:rPr>
          <w:rFonts w:ascii="黑体" w:hAnsi="黑体" w:eastAsia="黑体" w:cs="黑体"/>
          <w:sz w:val="30"/>
          <w:szCs w:val="30"/>
        </w:rPr>
      </w:pPr>
      <w:bookmarkStart w:id="35" w:name="bookmark29"/>
      <w:bookmarkEnd w:id="35"/>
      <w:r>
        <w:rPr>
          <w:rFonts w:ascii="黑体" w:hAnsi="黑体" w:eastAsia="黑体" w:cs="黑体"/>
          <w:spacing w:val="-3"/>
          <w:sz w:val="30"/>
          <w:szCs w:val="30"/>
        </w:rPr>
        <w:t>（二）构建综合交通枢纽体系</w:t>
      </w:r>
    </w:p>
    <w:p w14:paraId="7019C9E1">
      <w:pPr>
        <w:spacing w:before="237" w:line="222" w:lineRule="auto"/>
        <w:ind w:left="585"/>
        <w:outlineLvl w:val="1"/>
        <w:rPr>
          <w:rFonts w:ascii="黑体" w:hAnsi="黑体" w:eastAsia="黑体" w:cs="黑体"/>
          <w:sz w:val="28"/>
          <w:szCs w:val="28"/>
        </w:rPr>
      </w:pPr>
      <w:bookmarkStart w:id="36" w:name="bookmark30"/>
      <w:bookmarkEnd w:id="36"/>
      <w:r>
        <w:rPr>
          <w:rFonts w:ascii="黑体" w:hAnsi="黑体" w:eastAsia="黑体" w:cs="黑体"/>
          <w:spacing w:val="-2"/>
          <w:sz w:val="28"/>
          <w:szCs w:val="28"/>
        </w:rPr>
        <w:t>1. 推进综合客运枢纽场站建设</w:t>
      </w:r>
    </w:p>
    <w:p w14:paraId="23400780">
      <w:pPr>
        <w:spacing w:before="288" w:line="343" w:lineRule="auto"/>
        <w:ind w:left="7" w:firstLine="501"/>
        <w:jc w:val="both"/>
        <w:rPr>
          <w:rFonts w:ascii="仿宋" w:hAnsi="仿宋" w:eastAsia="仿宋" w:cs="仿宋"/>
          <w:sz w:val="28"/>
          <w:szCs w:val="28"/>
        </w:rPr>
      </w:pPr>
      <w:r>
        <w:rPr>
          <w:rFonts w:ascii="仿宋" w:hAnsi="仿宋" w:eastAsia="仿宋" w:cs="仿宋"/>
          <w:sz w:val="28"/>
          <w:szCs w:val="28"/>
        </w:rPr>
        <w:t>加强顶层设计，从建设运营全周期、运输服务全过程，系统规</w:t>
      </w:r>
      <w:r>
        <w:rPr>
          <w:rFonts w:ascii="仿宋" w:hAnsi="仿宋" w:eastAsia="仿宋" w:cs="仿宋"/>
          <w:spacing w:val="-1"/>
          <w:sz w:val="28"/>
          <w:szCs w:val="28"/>
        </w:rPr>
        <w:t>划综合客</w:t>
      </w:r>
      <w:r>
        <w:rPr>
          <w:rFonts w:ascii="仿宋" w:hAnsi="仿宋" w:eastAsia="仿宋" w:cs="仿宋"/>
          <w:spacing w:val="-2"/>
          <w:sz w:val="28"/>
          <w:szCs w:val="28"/>
        </w:rPr>
        <w:t>运枢纽的建设和发展，统筹协调各种运输方式以及相关部门，优化内外交通快速转换，推动多种运输方式统一规划、同步建设和一体化协同管理。推动接驳换乘体系不完善的既有客运枢纽场站改造，提升空间立体性、平面协调性和整体适用性，实现客运“零距离”换乘；结合宣威永安机场及高铁站的建设，重点推进宣威机场综合客运枢纽、会泽汽车综合客运枢纽站、富源县</w:t>
      </w:r>
      <w:r>
        <w:rPr>
          <w:rFonts w:ascii="仿宋" w:hAnsi="仿宋" w:eastAsia="仿宋" w:cs="仿宋"/>
          <w:spacing w:val="-3"/>
          <w:sz w:val="28"/>
          <w:szCs w:val="28"/>
        </w:rPr>
        <w:t>沪昆高铁富源北站站前广场配套基础设施建设等</w:t>
      </w:r>
      <w:r>
        <w:rPr>
          <w:rFonts w:ascii="仿宋" w:hAnsi="仿宋" w:eastAsia="仿宋" w:cs="仿宋"/>
          <w:spacing w:val="-35"/>
          <w:sz w:val="28"/>
          <w:szCs w:val="28"/>
        </w:rPr>
        <w:t xml:space="preserve"> </w:t>
      </w:r>
      <w:r>
        <w:rPr>
          <w:rFonts w:ascii="仿宋" w:hAnsi="仿宋" w:eastAsia="仿宋" w:cs="仿宋"/>
          <w:spacing w:val="-3"/>
          <w:sz w:val="28"/>
          <w:szCs w:val="28"/>
        </w:rPr>
        <w:t>3</w:t>
      </w:r>
      <w:r>
        <w:rPr>
          <w:rFonts w:ascii="仿宋" w:hAnsi="仿宋" w:eastAsia="仿宋" w:cs="仿宋"/>
          <w:spacing w:val="-59"/>
          <w:sz w:val="28"/>
          <w:szCs w:val="28"/>
        </w:rPr>
        <w:t xml:space="preserve"> </w:t>
      </w:r>
      <w:r>
        <w:rPr>
          <w:rFonts w:ascii="仿宋" w:hAnsi="仿宋" w:eastAsia="仿宋" w:cs="仿宋"/>
          <w:spacing w:val="-3"/>
          <w:sz w:val="28"/>
          <w:szCs w:val="28"/>
        </w:rPr>
        <w:t>个</w:t>
      </w:r>
      <w:r>
        <w:rPr>
          <w:rFonts w:ascii="仿宋" w:hAnsi="仿宋" w:eastAsia="仿宋" w:cs="仿宋"/>
          <w:spacing w:val="-4"/>
          <w:sz w:val="28"/>
          <w:szCs w:val="28"/>
        </w:rPr>
        <w:t>枢纽站的规划建设，打</w:t>
      </w:r>
      <w:r>
        <w:rPr>
          <w:rFonts w:ascii="仿宋" w:hAnsi="仿宋" w:eastAsia="仿宋" w:cs="仿宋"/>
          <w:spacing w:val="-8"/>
          <w:sz w:val="28"/>
          <w:szCs w:val="28"/>
        </w:rPr>
        <w:t>造综合立体客运枢纽示范工程，推动中转换乘信息互联共享，构建智慧枢纽，</w:t>
      </w:r>
      <w:r>
        <w:rPr>
          <w:rFonts w:ascii="仿宋" w:hAnsi="仿宋" w:eastAsia="仿宋" w:cs="仿宋"/>
          <w:spacing w:val="-2"/>
          <w:sz w:val="28"/>
          <w:szCs w:val="28"/>
        </w:rPr>
        <w:t>提高旅客中转集散效率，加强综合客运枢纽与城市空间、产业发展的联动融</w:t>
      </w:r>
      <w:r>
        <w:rPr>
          <w:rFonts w:ascii="仿宋" w:hAnsi="仿宋" w:eastAsia="仿宋" w:cs="仿宋"/>
          <w:spacing w:val="-5"/>
          <w:sz w:val="28"/>
          <w:szCs w:val="28"/>
        </w:rPr>
        <w:t>合。结合各县（</w:t>
      </w:r>
      <w:r>
        <w:rPr>
          <w:rFonts w:ascii="仿宋" w:hAnsi="仿宋" w:eastAsia="仿宋" w:cs="仿宋"/>
          <w:spacing w:val="-38"/>
          <w:sz w:val="28"/>
          <w:szCs w:val="28"/>
        </w:rPr>
        <w:t xml:space="preserve"> </w:t>
      </w:r>
      <w:r>
        <w:rPr>
          <w:rFonts w:ascii="仿宋" w:hAnsi="仿宋" w:eastAsia="仿宋" w:cs="仿宋"/>
          <w:spacing w:val="-5"/>
          <w:sz w:val="28"/>
          <w:szCs w:val="28"/>
        </w:rPr>
        <w:t>区）发展的实际需求，适时启动曲靖汽车客运东站、曲靖马</w:t>
      </w:r>
      <w:r>
        <w:rPr>
          <w:rFonts w:ascii="仿宋" w:hAnsi="仿宋" w:eastAsia="仿宋" w:cs="仿宋"/>
          <w:spacing w:val="1"/>
          <w:sz w:val="28"/>
          <w:szCs w:val="28"/>
        </w:rPr>
        <w:t>龙汽车客运东站、陆良县客运枢纽站等</w:t>
      </w:r>
      <w:r>
        <w:rPr>
          <w:rFonts w:ascii="仿宋" w:hAnsi="仿宋" w:eastAsia="仿宋" w:cs="仿宋"/>
          <w:spacing w:val="-39"/>
          <w:sz w:val="28"/>
          <w:szCs w:val="28"/>
        </w:rPr>
        <w:t xml:space="preserve"> </w:t>
      </w:r>
      <w:r>
        <w:rPr>
          <w:rFonts w:ascii="仿宋" w:hAnsi="仿宋" w:eastAsia="仿宋" w:cs="仿宋"/>
          <w:spacing w:val="1"/>
          <w:sz w:val="28"/>
          <w:szCs w:val="28"/>
        </w:rPr>
        <w:t>12</w:t>
      </w:r>
      <w:r>
        <w:rPr>
          <w:rFonts w:ascii="仿宋" w:hAnsi="仿宋" w:eastAsia="仿宋" w:cs="仿宋"/>
          <w:spacing w:val="-54"/>
          <w:sz w:val="28"/>
          <w:szCs w:val="28"/>
        </w:rPr>
        <w:t xml:space="preserve"> </w:t>
      </w:r>
      <w:r>
        <w:rPr>
          <w:rFonts w:ascii="仿宋" w:hAnsi="仿宋" w:eastAsia="仿宋" w:cs="仿宋"/>
          <w:spacing w:val="1"/>
          <w:sz w:val="28"/>
          <w:szCs w:val="28"/>
        </w:rPr>
        <w:t>个客运站的规划建设。加</w:t>
      </w:r>
      <w:r>
        <w:rPr>
          <w:rFonts w:ascii="仿宋" w:hAnsi="仿宋" w:eastAsia="仿宋" w:cs="仿宋"/>
          <w:sz w:val="28"/>
          <w:szCs w:val="28"/>
        </w:rPr>
        <w:t>强枢纽</w:t>
      </w:r>
    </w:p>
    <w:p w14:paraId="3E436DD1">
      <w:pPr>
        <w:spacing w:line="343" w:lineRule="auto"/>
        <w:rPr>
          <w:rFonts w:ascii="仿宋" w:hAnsi="仿宋" w:eastAsia="仿宋" w:cs="仿宋"/>
          <w:sz w:val="28"/>
          <w:szCs w:val="28"/>
        </w:rPr>
        <w:sectPr>
          <w:headerReference r:id="rId77" w:type="default"/>
          <w:footerReference r:id="rId78" w:type="default"/>
          <w:pgSz w:w="11906" w:h="16839"/>
          <w:pgMar w:top="1222" w:right="1510" w:bottom="1156" w:left="1134" w:header="885" w:footer="920" w:gutter="0"/>
          <w:cols w:space="720" w:num="1"/>
        </w:sectPr>
      </w:pPr>
    </w:p>
    <w:p w14:paraId="0D12C29A">
      <w:pPr>
        <w:pStyle w:val="2"/>
        <w:spacing w:line="278" w:lineRule="auto"/>
      </w:pPr>
    </w:p>
    <w:p w14:paraId="02F1AD95">
      <w:pPr>
        <w:spacing w:before="91" w:line="343" w:lineRule="auto"/>
        <w:ind w:left="18" w:right="279" w:hanging="9"/>
        <w:jc w:val="both"/>
        <w:rPr>
          <w:rFonts w:ascii="仿宋" w:hAnsi="仿宋" w:eastAsia="仿宋" w:cs="仿宋"/>
          <w:sz w:val="28"/>
          <w:szCs w:val="28"/>
        </w:rPr>
      </w:pPr>
      <w:r>
        <w:rPr>
          <w:rFonts w:ascii="仿宋" w:hAnsi="仿宋" w:eastAsia="仿宋" w:cs="仿宋"/>
          <w:spacing w:val="7"/>
          <w:sz w:val="28"/>
          <w:szCs w:val="28"/>
        </w:rPr>
        <w:t>场站的无障碍设施建设，加快完善城市公共交通运</w:t>
      </w:r>
      <w:r>
        <w:rPr>
          <w:rFonts w:ascii="仿宋" w:hAnsi="仿宋" w:eastAsia="仿宋" w:cs="仿宋"/>
          <w:spacing w:val="6"/>
          <w:sz w:val="28"/>
          <w:szCs w:val="28"/>
        </w:rPr>
        <w:t>输工具的无障碍设备配</w:t>
      </w:r>
      <w:r>
        <w:rPr>
          <w:rFonts w:ascii="仿宋" w:hAnsi="仿宋" w:eastAsia="仿宋" w:cs="仿宋"/>
          <w:spacing w:val="-2"/>
          <w:sz w:val="28"/>
          <w:szCs w:val="28"/>
        </w:rPr>
        <w:t>置；推进枢纽内部城市公交、道路客运、出租车、网约车</w:t>
      </w:r>
      <w:r>
        <w:rPr>
          <w:rFonts w:ascii="仿宋" w:hAnsi="仿宋" w:eastAsia="仿宋" w:cs="仿宋"/>
          <w:spacing w:val="-3"/>
          <w:sz w:val="28"/>
          <w:szCs w:val="28"/>
        </w:rPr>
        <w:t>等各种公共交通统</w:t>
      </w:r>
      <w:r>
        <w:rPr>
          <w:rFonts w:ascii="仿宋" w:hAnsi="仿宋" w:eastAsia="仿宋" w:cs="仿宋"/>
          <w:spacing w:val="-2"/>
          <w:sz w:val="28"/>
          <w:szCs w:val="28"/>
        </w:rPr>
        <w:t>筹布局建设，一体化发展，实现功能复合。</w:t>
      </w:r>
    </w:p>
    <w:p w14:paraId="1DD0C2E4">
      <w:pPr>
        <w:tabs>
          <w:tab w:val="left" w:pos="9464"/>
        </w:tabs>
        <w:spacing w:before="8" w:line="342" w:lineRule="auto"/>
        <w:ind w:left="10" w:firstLine="507"/>
        <w:jc w:val="both"/>
        <w:rPr>
          <w:rFonts w:ascii="仿宋" w:hAnsi="仿宋" w:eastAsia="仿宋" w:cs="仿宋"/>
          <w:sz w:val="28"/>
          <w:szCs w:val="28"/>
        </w:rPr>
      </w:pPr>
      <w:r>
        <w:rPr>
          <w:rFonts w:ascii="仿宋" w:hAnsi="仿宋" w:eastAsia="仿宋" w:cs="仿宋"/>
          <w:spacing w:val="-1"/>
          <w:sz w:val="28"/>
          <w:szCs w:val="28"/>
        </w:rPr>
        <w:t>结合全市高速铁路现状及规划建设情况，还未通高速铁路的县市，依托</w:t>
      </w:r>
      <w:r>
        <w:rPr>
          <w:rFonts w:ascii="仿宋" w:hAnsi="仿宋" w:eastAsia="仿宋" w:cs="仿宋"/>
          <w:spacing w:val="6"/>
          <w:sz w:val="28"/>
          <w:szCs w:val="28"/>
        </w:rPr>
        <w:t xml:space="preserve"> </w:t>
      </w:r>
      <w:r>
        <w:rPr>
          <w:rFonts w:ascii="仿宋" w:hAnsi="仿宋" w:eastAsia="仿宋" w:cs="仿宋"/>
          <w:spacing w:val="-2"/>
          <w:sz w:val="28"/>
          <w:szCs w:val="28"/>
        </w:rPr>
        <w:t>县级汽车客运站，通过建设高铁无轨站的方式，开通各县至曲靖北站班</w:t>
      </w:r>
      <w:r>
        <w:rPr>
          <w:rFonts w:ascii="仿宋" w:hAnsi="仿宋" w:eastAsia="仿宋" w:cs="仿宋"/>
          <w:spacing w:val="-3"/>
          <w:sz w:val="28"/>
          <w:szCs w:val="28"/>
        </w:rPr>
        <w:t>次公</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交化、运输直达化、时刻精准化的专线直达大巴，实现公路与铁路“零距离”换乘，扩大高铁辐射区域，让边远地区的旅客快捷出行。旅客可以通过高铁</w:t>
      </w:r>
      <w:r>
        <w:rPr>
          <w:rFonts w:ascii="仿宋" w:hAnsi="仿宋" w:eastAsia="仿宋" w:cs="仿宋"/>
          <w:sz w:val="28"/>
          <w:szCs w:val="28"/>
        </w:rPr>
        <w:t xml:space="preserve"> </w:t>
      </w:r>
      <w:r>
        <w:rPr>
          <w:rFonts w:ascii="仿宋" w:hAnsi="仿宋" w:eastAsia="仿宋" w:cs="仿宋"/>
          <w:spacing w:val="-2"/>
          <w:sz w:val="28"/>
          <w:szCs w:val="28"/>
        </w:rPr>
        <w:t>无轨站购票、取票和候车，然后通过高铁无轨站的专线大巴直达最近的高铁</w:t>
      </w:r>
      <w:r>
        <w:rPr>
          <w:rFonts w:ascii="仿宋" w:hAnsi="仿宋" w:eastAsia="仿宋" w:cs="仿宋"/>
          <w:sz w:val="28"/>
          <w:szCs w:val="28"/>
        </w:rPr>
        <w:t xml:space="preserve"> </w:t>
      </w:r>
      <w:r>
        <w:rPr>
          <w:rFonts w:ascii="仿宋" w:hAnsi="仿宋" w:eastAsia="仿宋" w:cs="仿宋"/>
          <w:spacing w:val="-1"/>
          <w:sz w:val="28"/>
          <w:szCs w:val="28"/>
        </w:rPr>
        <w:t>站，再乘坐高铁前往目的地，大幅的缩短出行线路和接驳时间。</w:t>
      </w:r>
    </w:p>
    <w:p w14:paraId="62E00400">
      <w:pPr>
        <w:spacing w:before="7" w:line="342" w:lineRule="auto"/>
        <w:ind w:left="12" w:right="279" w:firstLine="492"/>
        <w:rPr>
          <w:rFonts w:ascii="仿宋" w:hAnsi="仿宋" w:eastAsia="仿宋" w:cs="仿宋"/>
          <w:sz w:val="28"/>
          <w:szCs w:val="28"/>
        </w:rPr>
      </w:pPr>
      <w:r>
        <w:rPr>
          <w:rFonts w:ascii="仿宋" w:hAnsi="仿宋" w:eastAsia="仿宋" w:cs="仿宋"/>
          <w:sz w:val="28"/>
          <w:szCs w:val="28"/>
        </w:rPr>
        <w:t>依托各县（市、区）重点乡镇节点，建设一批集农村客运、邮政快递、</w:t>
      </w:r>
      <w:r>
        <w:rPr>
          <w:rFonts w:ascii="仿宋" w:hAnsi="仿宋" w:eastAsia="仿宋" w:cs="仿宋"/>
          <w:spacing w:val="-2"/>
          <w:sz w:val="28"/>
          <w:szCs w:val="28"/>
        </w:rPr>
        <w:t>农村旅游、汽车维修、公路养护及信息服务等功能一体的乡镇综合运输服务</w:t>
      </w:r>
      <w:r>
        <w:rPr>
          <w:rFonts w:ascii="仿宋" w:hAnsi="仿宋" w:eastAsia="仿宋" w:cs="仿宋"/>
          <w:spacing w:val="1"/>
          <w:sz w:val="28"/>
          <w:szCs w:val="28"/>
        </w:rPr>
        <w:t>站，充分融合高原特色农产品销售、文化展示等功能，重点推进</w:t>
      </w:r>
      <w:r>
        <w:rPr>
          <w:rFonts w:ascii="仿宋" w:hAnsi="仿宋" w:eastAsia="仿宋" w:cs="仿宋"/>
          <w:spacing w:val="-44"/>
          <w:sz w:val="28"/>
          <w:szCs w:val="28"/>
        </w:rPr>
        <w:t xml:space="preserve"> </w:t>
      </w:r>
      <w:r>
        <w:rPr>
          <w:rFonts w:ascii="仿宋" w:hAnsi="仿宋" w:eastAsia="仿宋" w:cs="仿宋"/>
          <w:spacing w:val="1"/>
          <w:sz w:val="28"/>
          <w:szCs w:val="28"/>
        </w:rPr>
        <w:t>71</w:t>
      </w:r>
      <w:r>
        <w:rPr>
          <w:rFonts w:ascii="仿宋" w:hAnsi="仿宋" w:eastAsia="仿宋" w:cs="仿宋"/>
          <w:spacing w:val="-56"/>
          <w:sz w:val="28"/>
          <w:szCs w:val="28"/>
        </w:rPr>
        <w:t xml:space="preserve"> </w:t>
      </w:r>
      <w:r>
        <w:rPr>
          <w:rFonts w:ascii="仿宋" w:hAnsi="仿宋" w:eastAsia="仿宋" w:cs="仿宋"/>
          <w:spacing w:val="1"/>
          <w:sz w:val="28"/>
          <w:szCs w:val="28"/>
        </w:rPr>
        <w:t>个乡镇</w:t>
      </w:r>
      <w:r>
        <w:rPr>
          <w:rFonts w:ascii="仿宋" w:hAnsi="仿宋" w:eastAsia="仿宋" w:cs="仿宋"/>
          <w:spacing w:val="-2"/>
          <w:sz w:val="28"/>
          <w:szCs w:val="28"/>
        </w:rPr>
        <w:t>客运站（综合服务站）规划建设。加快完善村村通客车候车站点建设和提档</w:t>
      </w:r>
      <w:r>
        <w:rPr>
          <w:rFonts w:ascii="仿宋" w:hAnsi="仿宋" w:eastAsia="仿宋" w:cs="仿宋"/>
          <w:spacing w:val="-3"/>
          <w:sz w:val="28"/>
          <w:szCs w:val="28"/>
        </w:rPr>
        <w:t>升级，使农村客运真正</w:t>
      </w:r>
      <w:r>
        <w:rPr>
          <w:rFonts w:ascii="仿宋" w:hAnsi="仿宋" w:eastAsia="仿宋" w:cs="仿宋"/>
          <w:spacing w:val="-81"/>
          <w:sz w:val="28"/>
          <w:szCs w:val="28"/>
        </w:rPr>
        <w:t xml:space="preserve"> </w:t>
      </w:r>
      <w:r>
        <w:rPr>
          <w:rFonts w:ascii="仿宋" w:hAnsi="仿宋" w:eastAsia="仿宋" w:cs="仿宋"/>
          <w:spacing w:val="-3"/>
          <w:sz w:val="28"/>
          <w:szCs w:val="28"/>
        </w:rPr>
        <w:t>“开得通、留得住、有效益”。</w:t>
      </w:r>
    </w:p>
    <w:p w14:paraId="53C75E35">
      <w:pPr>
        <w:spacing w:before="68" w:line="222" w:lineRule="auto"/>
        <w:ind w:left="569"/>
        <w:outlineLvl w:val="1"/>
        <w:rPr>
          <w:rFonts w:ascii="黑体" w:hAnsi="黑体" w:eastAsia="黑体" w:cs="黑体"/>
          <w:sz w:val="28"/>
          <w:szCs w:val="28"/>
        </w:rPr>
      </w:pPr>
      <w:bookmarkStart w:id="37" w:name="bookmark31"/>
      <w:bookmarkEnd w:id="37"/>
      <w:r>
        <w:rPr>
          <w:rFonts w:ascii="黑体" w:hAnsi="黑体" w:eastAsia="黑体" w:cs="黑体"/>
          <w:spacing w:val="-1"/>
          <w:sz w:val="28"/>
          <w:szCs w:val="28"/>
        </w:rPr>
        <w:t>2. 推进综合货运枢纽场站（物流园区）建设</w:t>
      </w:r>
    </w:p>
    <w:p w14:paraId="3828D3DF">
      <w:pPr>
        <w:spacing w:before="293" w:line="343" w:lineRule="auto"/>
        <w:ind w:left="10" w:right="204" w:firstLine="519"/>
        <w:jc w:val="both"/>
        <w:rPr>
          <w:rFonts w:ascii="仿宋" w:hAnsi="仿宋" w:eastAsia="仿宋" w:cs="仿宋"/>
          <w:sz w:val="28"/>
          <w:szCs w:val="28"/>
        </w:rPr>
      </w:pPr>
      <w:r>
        <w:rPr>
          <w:rFonts w:ascii="仿宋" w:hAnsi="仿宋" w:eastAsia="仿宋" w:cs="仿宋"/>
          <w:spacing w:val="-7"/>
          <w:sz w:val="28"/>
          <w:szCs w:val="28"/>
        </w:rPr>
        <w:t>紧抓中老铁路开通的重大契机，以曲靖建设成为云南副中心</w:t>
      </w:r>
      <w:r>
        <w:rPr>
          <w:rFonts w:ascii="仿宋" w:hAnsi="仿宋" w:eastAsia="仿宋" w:cs="仿宋"/>
          <w:spacing w:val="-8"/>
          <w:sz w:val="28"/>
          <w:szCs w:val="28"/>
        </w:rPr>
        <w:t>城市为抓手，</w:t>
      </w:r>
      <w:r>
        <w:rPr>
          <w:rFonts w:ascii="仿宋" w:hAnsi="仿宋" w:eastAsia="仿宋" w:cs="仿宋"/>
          <w:spacing w:val="-2"/>
          <w:sz w:val="28"/>
          <w:szCs w:val="28"/>
        </w:rPr>
        <w:t>加快物流基础设施建设，补齐曲靖物流运输短板，合理引导推进物流高质量发展，满足中老铁路物流运输条件，建设进出口集散平台和集拼中心，扩大与东南亚国家贸易规模。加快推进一批多式联运型物流枢纽园区建设，重点围绕服务“一带一路”互联互通，打造曲靖市生产服务型国家物流枢纽和珠江源商贸服务型物流枢纽项目，加强多式联运换装设施和设备配置，构建统一的联运装卸平台，优化物流运输组织方式，推进物流运输信息共享，促进枢纽园区集约化、规模化、专业化发展，提升货运周转能力和集散效率。充分考虑铁路与公路、民航及城市交通等多种运输方式的衔接，加快推动</w:t>
      </w:r>
      <w:r>
        <w:rPr>
          <w:rFonts w:ascii="仿宋" w:hAnsi="仿宋" w:eastAsia="仿宋" w:cs="仿宋"/>
          <w:spacing w:val="-3"/>
          <w:sz w:val="28"/>
          <w:szCs w:val="28"/>
        </w:rPr>
        <w:t>专用</w:t>
      </w:r>
      <w:r>
        <w:rPr>
          <w:rFonts w:ascii="仿宋" w:hAnsi="仿宋" w:eastAsia="仿宋" w:cs="仿宋"/>
          <w:spacing w:val="-2"/>
          <w:sz w:val="28"/>
          <w:szCs w:val="28"/>
        </w:rPr>
        <w:t>疏港公路、铁路专用线进港进园，完善枢纽园区集疏运条件，实现货运无缝</w:t>
      </w:r>
      <w:r>
        <w:rPr>
          <w:rFonts w:ascii="仿宋" w:hAnsi="仿宋" w:eastAsia="仿宋" w:cs="仿宋"/>
          <w:spacing w:val="-4"/>
          <w:sz w:val="28"/>
          <w:szCs w:val="28"/>
        </w:rPr>
        <w:t>对接。</w:t>
      </w:r>
      <w:r>
        <w:rPr>
          <w:rFonts w:ascii="仿宋" w:hAnsi="仿宋" w:eastAsia="仿宋" w:cs="仿宋"/>
          <w:spacing w:val="-73"/>
          <w:sz w:val="28"/>
          <w:szCs w:val="28"/>
        </w:rPr>
        <w:t xml:space="preserve"> </w:t>
      </w:r>
      <w:r>
        <w:rPr>
          <w:rFonts w:ascii="仿宋" w:hAnsi="仿宋" w:eastAsia="仿宋" w:cs="仿宋"/>
          <w:spacing w:val="-4"/>
          <w:sz w:val="28"/>
          <w:szCs w:val="28"/>
        </w:rPr>
        <w:t>以师宗、陆良、宣威、富源、沾益等现有铁路货运场站和仓储中心为</w:t>
      </w:r>
    </w:p>
    <w:p w14:paraId="6EF0D177">
      <w:pPr>
        <w:spacing w:line="343" w:lineRule="auto"/>
        <w:rPr>
          <w:rFonts w:ascii="仿宋" w:hAnsi="仿宋" w:eastAsia="仿宋" w:cs="仿宋"/>
          <w:sz w:val="28"/>
          <w:szCs w:val="28"/>
        </w:rPr>
        <w:sectPr>
          <w:headerReference r:id="rId79" w:type="default"/>
          <w:footerReference r:id="rId80" w:type="default"/>
          <w:pgSz w:w="11906" w:h="16839"/>
          <w:pgMar w:top="1222" w:right="853" w:bottom="1156" w:left="1587" w:header="885" w:footer="920" w:gutter="0"/>
          <w:cols w:space="720" w:num="1"/>
        </w:sectPr>
      </w:pPr>
    </w:p>
    <w:p w14:paraId="297810D1">
      <w:pPr>
        <w:pStyle w:val="2"/>
        <w:spacing w:line="278" w:lineRule="auto"/>
      </w:pPr>
    </w:p>
    <w:p w14:paraId="277855E4">
      <w:pPr>
        <w:spacing w:before="91" w:line="343" w:lineRule="auto"/>
        <w:ind w:left="9" w:hanging="4"/>
        <w:jc w:val="both"/>
        <w:rPr>
          <w:rFonts w:ascii="仿宋" w:hAnsi="仿宋" w:eastAsia="仿宋" w:cs="仿宋"/>
          <w:sz w:val="28"/>
          <w:szCs w:val="28"/>
        </w:rPr>
      </w:pPr>
      <w:r>
        <w:rPr>
          <w:rFonts w:ascii="仿宋" w:hAnsi="仿宋" w:eastAsia="仿宋" w:cs="仿宋"/>
          <w:spacing w:val="-8"/>
          <w:sz w:val="28"/>
          <w:szCs w:val="28"/>
        </w:rPr>
        <w:t>基础，提升改造并推进建设一批县级交通枢纽项目，形成县级物流枢纽节点。</w:t>
      </w:r>
      <w:r>
        <w:rPr>
          <w:rFonts w:ascii="仿宋" w:hAnsi="仿宋" w:eastAsia="仿宋" w:cs="仿宋"/>
          <w:spacing w:val="-2"/>
          <w:sz w:val="28"/>
          <w:szCs w:val="28"/>
        </w:rPr>
        <w:t>以县级物流枢纽节点为中心，在重点乡镇适时建设一批专业化、社会化的日</w:t>
      </w:r>
      <w:r>
        <w:rPr>
          <w:rFonts w:ascii="仿宋" w:hAnsi="仿宋" w:eastAsia="仿宋" w:cs="仿宋"/>
          <w:spacing w:val="-8"/>
          <w:sz w:val="28"/>
          <w:szCs w:val="28"/>
        </w:rPr>
        <w:t>用品和农资物流配送中心，加快推进县、乡、村三级物流网络节点体系建设。</w:t>
      </w:r>
    </w:p>
    <w:p w14:paraId="1979C170">
      <w:pPr>
        <w:spacing w:before="5" w:line="342" w:lineRule="auto"/>
        <w:ind w:left="14" w:right="81" w:firstLine="492"/>
        <w:jc w:val="both"/>
        <w:rPr>
          <w:rFonts w:ascii="仿宋" w:hAnsi="仿宋" w:eastAsia="仿宋" w:cs="仿宋"/>
          <w:sz w:val="28"/>
          <w:szCs w:val="28"/>
        </w:rPr>
      </w:pPr>
      <w:r>
        <w:rPr>
          <w:rFonts w:ascii="仿宋" w:hAnsi="仿宋" w:eastAsia="仿宋" w:cs="仿宋"/>
          <w:sz w:val="28"/>
          <w:szCs w:val="28"/>
        </w:rPr>
        <w:t>建设保税物流中心，满足海关监管作业的基本运营条件，曲靖及周</w:t>
      </w:r>
      <w:r>
        <w:rPr>
          <w:rFonts w:ascii="仿宋" w:hAnsi="仿宋" w:eastAsia="仿宋" w:cs="仿宋"/>
          <w:spacing w:val="-1"/>
          <w:sz w:val="28"/>
          <w:szCs w:val="28"/>
        </w:rPr>
        <w:t>边企</w:t>
      </w:r>
      <w:r>
        <w:rPr>
          <w:rFonts w:ascii="仿宋" w:hAnsi="仿宋" w:eastAsia="仿宋" w:cs="仿宋"/>
          <w:spacing w:val="-2"/>
          <w:sz w:val="28"/>
          <w:szCs w:val="28"/>
        </w:rPr>
        <w:t>业货物进出口可直接在此报关、通关，节省大量的通关及物流成本</w:t>
      </w:r>
      <w:r>
        <w:rPr>
          <w:rFonts w:ascii="仿宋" w:hAnsi="仿宋" w:eastAsia="仿宋" w:cs="仿宋"/>
          <w:spacing w:val="-3"/>
          <w:sz w:val="28"/>
          <w:szCs w:val="28"/>
        </w:rPr>
        <w:t>，自曲靖</w:t>
      </w:r>
      <w:r>
        <w:rPr>
          <w:rFonts w:ascii="仿宋" w:hAnsi="仿宋" w:eastAsia="仿宋" w:cs="仿宋"/>
          <w:spacing w:val="-2"/>
          <w:sz w:val="28"/>
          <w:szCs w:val="28"/>
        </w:rPr>
        <w:t>开行中老班列、中缅班列、中越班列、中欧班列。充分发挥中老铁</w:t>
      </w:r>
      <w:r>
        <w:rPr>
          <w:rFonts w:ascii="仿宋" w:hAnsi="仿宋" w:eastAsia="仿宋" w:cs="仿宋"/>
          <w:spacing w:val="-3"/>
          <w:sz w:val="28"/>
          <w:szCs w:val="28"/>
        </w:rPr>
        <w:t>路在中国</w:t>
      </w:r>
      <w:r>
        <w:rPr>
          <w:rFonts w:ascii="仿宋" w:hAnsi="仿宋" w:eastAsia="仿宋" w:cs="仿宋"/>
          <w:spacing w:val="-2"/>
          <w:sz w:val="28"/>
          <w:szCs w:val="28"/>
        </w:rPr>
        <w:t>现代物流产业先导作用，推动曲靖成为滇东北地区连接滇南、辐射</w:t>
      </w:r>
      <w:r>
        <w:rPr>
          <w:rFonts w:ascii="仿宋" w:hAnsi="仿宋" w:eastAsia="仿宋" w:cs="仿宋"/>
          <w:spacing w:val="-3"/>
          <w:sz w:val="28"/>
          <w:szCs w:val="28"/>
        </w:rPr>
        <w:t>东南亚的</w:t>
      </w:r>
      <w:r>
        <w:rPr>
          <w:rFonts w:ascii="仿宋" w:hAnsi="仿宋" w:eastAsia="仿宋" w:cs="仿宋"/>
          <w:spacing w:val="-5"/>
          <w:sz w:val="28"/>
          <w:szCs w:val="28"/>
        </w:rPr>
        <w:t>枢纽。</w:t>
      </w:r>
    </w:p>
    <w:p w14:paraId="42B78BA7">
      <w:pPr>
        <w:spacing w:line="343" w:lineRule="auto"/>
        <w:ind w:left="7" w:right="79" w:firstLine="539"/>
        <w:jc w:val="both"/>
        <w:rPr>
          <w:rFonts w:ascii="仿宋" w:hAnsi="仿宋" w:eastAsia="仿宋" w:cs="仿宋"/>
          <w:sz w:val="28"/>
          <w:szCs w:val="28"/>
        </w:rPr>
      </w:pPr>
      <w:r>
        <w:rPr>
          <w:rFonts w:ascii="仿宋" w:hAnsi="仿宋" w:eastAsia="仿宋" w:cs="仿宋"/>
          <w:spacing w:val="-1"/>
          <w:sz w:val="28"/>
          <w:szCs w:val="28"/>
        </w:rPr>
        <w:t>以实现曲靖有通道、有节点为目标，抓住国</w:t>
      </w:r>
      <w:r>
        <w:rPr>
          <w:rFonts w:ascii="仿宋" w:hAnsi="仿宋" w:eastAsia="仿宋" w:cs="仿宋"/>
          <w:spacing w:val="-2"/>
          <w:sz w:val="28"/>
          <w:szCs w:val="28"/>
        </w:rPr>
        <w:t>家鼓励城市群、都市圈协同推进国家物流枢纽建设的政策机遇，积极争取将马龙生产服务型物流枢纽纳入国家物流枢纽承载城市规划，申报为曲靖市生产服务型国家物流枢纽，并</w:t>
      </w:r>
      <w:r>
        <w:rPr>
          <w:rFonts w:ascii="仿宋" w:hAnsi="仿宋" w:eastAsia="仿宋" w:cs="仿宋"/>
          <w:spacing w:val="7"/>
          <w:sz w:val="28"/>
          <w:szCs w:val="28"/>
        </w:rPr>
        <w:t>共同打造珠江源商贸型物流枢纽，持续推进曲靖市铁</w:t>
      </w:r>
      <w:r>
        <w:rPr>
          <w:rFonts w:ascii="仿宋" w:hAnsi="仿宋" w:eastAsia="仿宋" w:cs="仿宋"/>
          <w:spacing w:val="6"/>
          <w:sz w:val="28"/>
          <w:szCs w:val="28"/>
        </w:rPr>
        <w:t>路暨铁路物流枢纽规</w:t>
      </w:r>
      <w:r>
        <w:rPr>
          <w:rFonts w:ascii="仿宋" w:hAnsi="仿宋" w:eastAsia="仿宋" w:cs="仿宋"/>
          <w:spacing w:val="-1"/>
          <w:sz w:val="28"/>
          <w:szCs w:val="28"/>
        </w:rPr>
        <w:t>划，</w:t>
      </w:r>
      <w:r>
        <w:rPr>
          <w:rFonts w:ascii="仿宋" w:hAnsi="仿宋" w:eastAsia="仿宋" w:cs="仿宋"/>
          <w:spacing w:val="-71"/>
          <w:sz w:val="28"/>
          <w:szCs w:val="28"/>
        </w:rPr>
        <w:t xml:space="preserve"> </w:t>
      </w:r>
      <w:r>
        <w:rPr>
          <w:rFonts w:ascii="仿宋" w:hAnsi="仿宋" w:eastAsia="仿宋" w:cs="仿宋"/>
          <w:spacing w:val="-1"/>
          <w:sz w:val="28"/>
          <w:szCs w:val="28"/>
        </w:rPr>
        <w:t>以</w:t>
      </w:r>
      <w:r>
        <w:rPr>
          <w:rFonts w:ascii="仿宋" w:hAnsi="仿宋" w:eastAsia="仿宋" w:cs="仿宋"/>
          <w:spacing w:val="-99"/>
          <w:sz w:val="28"/>
          <w:szCs w:val="28"/>
        </w:rPr>
        <w:t xml:space="preserve"> </w:t>
      </w:r>
      <w:r>
        <w:rPr>
          <w:rFonts w:ascii="仿宋" w:hAnsi="仿宋" w:eastAsia="仿宋" w:cs="仿宋"/>
          <w:spacing w:val="-1"/>
          <w:sz w:val="28"/>
          <w:szCs w:val="28"/>
        </w:rPr>
        <w:t>“马龙+珠江源”为核心节点，融入滇中城市群物流同城化，与昆明</w:t>
      </w:r>
      <w:r>
        <w:rPr>
          <w:rFonts w:ascii="仿宋" w:hAnsi="仿宋" w:eastAsia="仿宋" w:cs="仿宋"/>
          <w:spacing w:val="-2"/>
          <w:sz w:val="28"/>
          <w:szCs w:val="28"/>
        </w:rPr>
        <w:t>物流枢纽协同发展。铁路运输网络不断完善，马龙、沾益珠江源现代物流基地充分发挥集疏功能，构建铁路通道有效支撑、战略有机衔接、南北相互畅</w:t>
      </w:r>
      <w:r>
        <w:rPr>
          <w:rFonts w:ascii="仿宋" w:hAnsi="仿宋" w:eastAsia="仿宋" w:cs="仿宋"/>
          <w:spacing w:val="-3"/>
          <w:sz w:val="28"/>
          <w:szCs w:val="28"/>
        </w:rPr>
        <w:t>通，形成“</w:t>
      </w:r>
      <w:r>
        <w:rPr>
          <w:rFonts w:ascii="仿宋" w:hAnsi="仿宋" w:eastAsia="仿宋" w:cs="仿宋"/>
          <w:spacing w:val="-101"/>
          <w:sz w:val="28"/>
          <w:szCs w:val="28"/>
        </w:rPr>
        <w:t xml:space="preserve"> </w:t>
      </w:r>
      <w:r>
        <w:rPr>
          <w:rFonts w:ascii="仿宋" w:hAnsi="仿宋" w:eastAsia="仿宋" w:cs="仿宋"/>
          <w:spacing w:val="-3"/>
          <w:sz w:val="28"/>
          <w:szCs w:val="28"/>
        </w:rPr>
        <w:t>网络+节点+通道”的全域铁路物流发展格局。强化铁路运输与现</w:t>
      </w:r>
      <w:r>
        <w:rPr>
          <w:rFonts w:ascii="仿宋" w:hAnsi="仿宋" w:eastAsia="仿宋" w:cs="仿宋"/>
          <w:spacing w:val="-2"/>
          <w:sz w:val="28"/>
          <w:szCs w:val="28"/>
        </w:rPr>
        <w:t>代物流深度融合发展，加强交通物流衔接组织，提高铁路、多式联运服务水平，进一步畅通曲靖与周边省市骨干物流通道的对接，提升曲靖外部联系度</w:t>
      </w:r>
      <w:r>
        <w:rPr>
          <w:rFonts w:ascii="仿宋" w:hAnsi="仿宋" w:eastAsia="仿宋" w:cs="仿宋"/>
          <w:spacing w:val="-1"/>
          <w:sz w:val="28"/>
          <w:szCs w:val="28"/>
        </w:rPr>
        <w:t>和物流网络层级。</w:t>
      </w:r>
    </w:p>
    <w:p w14:paraId="4AEE2DCB">
      <w:pPr>
        <w:spacing w:line="138" w:lineRule="exact"/>
      </w:pP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093B3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719" w:type="dxa"/>
            <w:vAlign w:val="top"/>
          </w:tcPr>
          <w:p w14:paraId="2CE63F80">
            <w:pPr>
              <w:pStyle w:val="6"/>
              <w:spacing w:before="139" w:line="228" w:lineRule="auto"/>
              <w:ind w:left="1882"/>
              <w:rPr>
                <w:rFonts w:ascii="宋体" w:hAnsi="宋体" w:eastAsia="宋体" w:cs="宋体"/>
              </w:rPr>
            </w:pPr>
            <w:r>
              <w:rPr>
                <w:rFonts w:ascii="宋体" w:hAnsi="宋体" w:eastAsia="宋体" w:cs="宋体"/>
                <w:b/>
                <w:bCs/>
                <w:spacing w:val="12"/>
              </w:rPr>
              <w:t>专栏</w:t>
            </w:r>
            <w:r>
              <w:rPr>
                <w:rFonts w:ascii="宋体" w:hAnsi="宋体" w:eastAsia="宋体" w:cs="宋体"/>
                <w:spacing w:val="-22"/>
              </w:rPr>
              <w:t xml:space="preserve"> </w:t>
            </w:r>
            <w:r>
              <w:rPr>
                <w:b/>
                <w:bCs/>
                <w:spacing w:val="12"/>
              </w:rPr>
              <w:t xml:space="preserve">6    </w:t>
            </w:r>
            <w:r>
              <w:rPr>
                <w:rFonts w:ascii="宋体" w:hAnsi="宋体" w:eastAsia="宋体" w:cs="宋体"/>
                <w:b/>
                <w:bCs/>
                <w:spacing w:val="12"/>
              </w:rPr>
              <w:t>“十四五</w:t>
            </w:r>
            <w:r>
              <w:rPr>
                <w:rFonts w:ascii="宋体" w:hAnsi="宋体" w:eastAsia="宋体" w:cs="宋体"/>
                <w:spacing w:val="-61"/>
              </w:rPr>
              <w:t xml:space="preserve"> </w:t>
            </w:r>
            <w:r>
              <w:rPr>
                <w:rFonts w:ascii="宋体" w:hAnsi="宋体" w:eastAsia="宋体" w:cs="宋体"/>
                <w:b/>
                <w:bCs/>
                <w:spacing w:val="12"/>
              </w:rPr>
              <w:t>”期间综合交通枢纽场站建设重点项目</w:t>
            </w:r>
          </w:p>
        </w:tc>
      </w:tr>
      <w:tr w14:paraId="44856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0" w:hRule="atLeast"/>
        </w:trPr>
        <w:tc>
          <w:tcPr>
            <w:tcW w:w="8719" w:type="dxa"/>
            <w:vAlign w:val="top"/>
          </w:tcPr>
          <w:p w14:paraId="6BC1E0B3">
            <w:pPr>
              <w:pStyle w:val="6"/>
              <w:spacing w:before="104" w:line="274" w:lineRule="exact"/>
              <w:ind w:left="568"/>
              <w:rPr>
                <w:rFonts w:ascii="宋体" w:hAnsi="宋体" w:eastAsia="宋体" w:cs="宋体"/>
              </w:rPr>
            </w:pPr>
            <w:r>
              <w:rPr>
                <w:spacing w:val="13"/>
                <w:position w:val="1"/>
              </w:rPr>
              <w:t xml:space="preserve">1.  </w:t>
            </w:r>
            <w:r>
              <w:rPr>
                <w:rFonts w:ascii="宋体" w:hAnsi="宋体" w:eastAsia="宋体" w:cs="宋体"/>
                <w:spacing w:val="13"/>
                <w:position w:val="1"/>
              </w:rPr>
              <w:t>综合客运枢纽场站建设工程</w:t>
            </w:r>
          </w:p>
          <w:p w14:paraId="22C0D8DE">
            <w:pPr>
              <w:pStyle w:val="6"/>
              <w:spacing w:before="255" w:line="364" w:lineRule="auto"/>
              <w:ind w:left="114" w:right="113" w:firstLine="436"/>
              <w:rPr>
                <w:rFonts w:ascii="宋体" w:hAnsi="宋体" w:eastAsia="宋体" w:cs="宋体"/>
              </w:rPr>
            </w:pPr>
            <w:r>
              <w:rPr>
                <w:rFonts w:ascii="宋体" w:hAnsi="宋体" w:eastAsia="宋体" w:cs="宋体"/>
                <w:spacing w:val="17"/>
              </w:rPr>
              <w:t>推进宣威机场综合客运枢纽、会泽汽车综合客运枢纽站、富源县沪昆高铁富源北站站前广场配套基础设施建设等</w:t>
            </w:r>
            <w:r>
              <w:rPr>
                <w:rFonts w:ascii="宋体" w:hAnsi="宋体" w:eastAsia="宋体" w:cs="宋体"/>
                <w:spacing w:val="-27"/>
              </w:rPr>
              <w:t xml:space="preserve"> </w:t>
            </w:r>
            <w:r>
              <w:rPr>
                <w:spacing w:val="17"/>
              </w:rPr>
              <w:t xml:space="preserve">3 </w:t>
            </w:r>
            <w:r>
              <w:rPr>
                <w:rFonts w:ascii="宋体" w:hAnsi="宋体" w:eastAsia="宋体" w:cs="宋体"/>
                <w:spacing w:val="17"/>
              </w:rPr>
              <w:t>个枢纽站的规划</w:t>
            </w:r>
            <w:r>
              <w:rPr>
                <w:rFonts w:ascii="宋体" w:hAnsi="宋体" w:eastAsia="宋体" w:cs="宋体"/>
                <w:spacing w:val="16"/>
              </w:rPr>
              <w:t>建设，打造综合立体客运枢纽示范工程，推</w:t>
            </w:r>
            <w:r>
              <w:rPr>
                <w:rFonts w:ascii="宋体" w:hAnsi="宋体" w:eastAsia="宋体" w:cs="宋体"/>
                <w:spacing w:val="17"/>
              </w:rPr>
              <w:t>动中转换乘信息互联共享，实现客运“零距离换</w:t>
            </w:r>
            <w:r>
              <w:rPr>
                <w:rFonts w:ascii="宋体" w:hAnsi="宋体" w:eastAsia="宋体" w:cs="宋体"/>
                <w:spacing w:val="16"/>
              </w:rPr>
              <w:t>乘</w:t>
            </w:r>
            <w:r>
              <w:rPr>
                <w:rFonts w:ascii="宋体" w:hAnsi="宋体" w:eastAsia="宋体" w:cs="宋体"/>
                <w:spacing w:val="-63"/>
              </w:rPr>
              <w:t xml:space="preserve"> </w:t>
            </w:r>
            <w:r>
              <w:rPr>
                <w:rFonts w:ascii="宋体" w:hAnsi="宋体" w:eastAsia="宋体" w:cs="宋体"/>
                <w:spacing w:val="16"/>
              </w:rPr>
              <w:t>”。推动前期，条件成熟适时启动曲靖</w:t>
            </w:r>
            <w:r>
              <w:rPr>
                <w:rFonts w:ascii="宋体" w:hAnsi="宋体" w:eastAsia="宋体" w:cs="宋体"/>
                <w:spacing w:val="15"/>
              </w:rPr>
              <w:t>汽车客运东站、</w:t>
            </w:r>
            <w:r>
              <w:rPr>
                <w:rFonts w:ascii="宋体" w:hAnsi="宋体" w:eastAsia="宋体" w:cs="宋体"/>
                <w:spacing w:val="-44"/>
              </w:rPr>
              <w:t xml:space="preserve"> </w:t>
            </w:r>
            <w:r>
              <w:rPr>
                <w:rFonts w:ascii="宋体" w:hAnsi="宋体" w:eastAsia="宋体" w:cs="宋体"/>
                <w:spacing w:val="15"/>
              </w:rPr>
              <w:t>曲靖马龙汽车客运东站、陆良县客运枢纽站等</w:t>
            </w:r>
            <w:r>
              <w:rPr>
                <w:rFonts w:ascii="宋体" w:hAnsi="宋体" w:eastAsia="宋体" w:cs="宋体"/>
                <w:spacing w:val="-13"/>
              </w:rPr>
              <w:t xml:space="preserve"> </w:t>
            </w:r>
            <w:r>
              <w:rPr>
                <w:spacing w:val="15"/>
              </w:rPr>
              <w:t xml:space="preserve">12 </w:t>
            </w:r>
            <w:r>
              <w:rPr>
                <w:rFonts w:ascii="宋体" w:hAnsi="宋体" w:eastAsia="宋体" w:cs="宋体"/>
                <w:spacing w:val="15"/>
              </w:rPr>
              <w:t>个客运站的规划建设。</w:t>
            </w:r>
            <w:r>
              <w:rPr>
                <w:rFonts w:ascii="宋体" w:hAnsi="宋体" w:eastAsia="宋体" w:cs="宋体"/>
                <w:spacing w:val="18"/>
              </w:rPr>
              <w:t>推进枢纽内部各种公共交通统筹布局建设，一体化发展</w:t>
            </w:r>
            <w:r>
              <w:rPr>
                <w:rFonts w:ascii="宋体" w:hAnsi="宋体" w:eastAsia="宋体" w:cs="宋体"/>
                <w:spacing w:val="-59"/>
              </w:rPr>
              <w:t xml:space="preserve"> </w:t>
            </w:r>
            <w:r>
              <w:rPr>
                <w:rFonts w:ascii="宋体" w:hAnsi="宋体" w:eastAsia="宋体" w:cs="宋体"/>
                <w:spacing w:val="18"/>
              </w:rPr>
              <w:t>。推进</w:t>
            </w:r>
            <w:r>
              <w:rPr>
                <w:rFonts w:ascii="宋体" w:hAnsi="宋体" w:eastAsia="宋体" w:cs="宋体"/>
                <w:spacing w:val="-26"/>
              </w:rPr>
              <w:t xml:space="preserve"> </w:t>
            </w:r>
            <w:r>
              <w:rPr>
                <w:spacing w:val="18"/>
              </w:rPr>
              <w:t>71</w:t>
            </w:r>
            <w:r>
              <w:rPr>
                <w:spacing w:val="20"/>
              </w:rPr>
              <w:t xml:space="preserve"> </w:t>
            </w:r>
            <w:r>
              <w:rPr>
                <w:rFonts w:ascii="宋体" w:hAnsi="宋体" w:eastAsia="宋体" w:cs="宋体"/>
                <w:spacing w:val="18"/>
              </w:rPr>
              <w:t>个乡镇客运</w:t>
            </w:r>
            <w:r>
              <w:rPr>
                <w:rFonts w:ascii="宋体" w:hAnsi="宋体" w:eastAsia="宋体" w:cs="宋体"/>
                <w:spacing w:val="17"/>
              </w:rPr>
              <w:t>站（综合服</w:t>
            </w:r>
            <w:r>
              <w:rPr>
                <w:rFonts w:ascii="宋体" w:hAnsi="宋体" w:eastAsia="宋体" w:cs="宋体"/>
                <w:spacing w:val="18"/>
              </w:rPr>
              <w:t>务站）规划建设，推动邮政普遍服务站点、农村</w:t>
            </w:r>
            <w:r>
              <w:rPr>
                <w:rFonts w:ascii="宋体" w:hAnsi="宋体" w:eastAsia="宋体" w:cs="宋体"/>
                <w:spacing w:val="17"/>
              </w:rPr>
              <w:t>客运站点及养护道班、服务设施整合；加</w:t>
            </w:r>
          </w:p>
        </w:tc>
      </w:tr>
    </w:tbl>
    <w:p w14:paraId="1AFE1377">
      <w:pPr>
        <w:pStyle w:val="2"/>
      </w:pPr>
    </w:p>
    <w:p w14:paraId="53AABB47">
      <w:pPr>
        <w:sectPr>
          <w:headerReference r:id="rId81" w:type="default"/>
          <w:footerReference r:id="rId82" w:type="default"/>
          <w:pgSz w:w="11906" w:h="16839"/>
          <w:pgMar w:top="1222" w:right="1504" w:bottom="1156" w:left="1134" w:header="885" w:footer="920" w:gutter="0"/>
          <w:cols w:space="720" w:num="1"/>
        </w:sectPr>
      </w:pPr>
    </w:p>
    <w:p w14:paraId="5B1D7F0B">
      <w:pPr>
        <w:spacing w:line="194" w:lineRule="exact"/>
      </w:pPr>
    </w:p>
    <w:tbl>
      <w:tblPr>
        <w:tblStyle w:val="5"/>
        <w:tblW w:w="8719" w:type="dxa"/>
        <w:tblInd w:w="23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19"/>
      </w:tblGrid>
      <w:tr w14:paraId="4352A24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983" w:hRule="atLeast"/>
        </w:trPr>
        <w:tc>
          <w:tcPr>
            <w:tcW w:w="8719" w:type="dxa"/>
            <w:vAlign w:val="top"/>
          </w:tcPr>
          <w:p w14:paraId="660757FF">
            <w:pPr>
              <w:spacing w:before="160" w:line="228" w:lineRule="auto"/>
              <w:ind w:left="115"/>
              <w:rPr>
                <w:rFonts w:ascii="宋体" w:hAnsi="宋体" w:eastAsia="宋体" w:cs="宋体"/>
                <w:sz w:val="20"/>
                <w:szCs w:val="20"/>
              </w:rPr>
            </w:pPr>
            <w:r>
              <w:rPr>
                <w:rFonts w:ascii="宋体" w:hAnsi="宋体" w:eastAsia="宋体" w:cs="宋体"/>
                <w:spacing w:val="16"/>
                <w:sz w:val="20"/>
                <w:szCs w:val="20"/>
              </w:rPr>
              <w:t>快完善村村通客车候车站点建设和提档升级。</w:t>
            </w:r>
          </w:p>
          <w:p w14:paraId="1435CAEE">
            <w:pPr>
              <w:pStyle w:val="6"/>
              <w:spacing w:before="121" w:line="274" w:lineRule="exact"/>
              <w:ind w:left="548"/>
              <w:rPr>
                <w:rFonts w:ascii="宋体" w:hAnsi="宋体" w:eastAsia="宋体" w:cs="宋体"/>
              </w:rPr>
            </w:pPr>
            <w:r>
              <w:rPr>
                <w:spacing w:val="13"/>
                <w:position w:val="1"/>
              </w:rPr>
              <w:t>2.</w:t>
            </w:r>
            <w:r>
              <w:rPr>
                <w:spacing w:val="16"/>
                <w:w w:val="101"/>
                <w:position w:val="1"/>
              </w:rPr>
              <w:t xml:space="preserve">  </w:t>
            </w:r>
            <w:r>
              <w:rPr>
                <w:rFonts w:ascii="宋体" w:hAnsi="宋体" w:eastAsia="宋体" w:cs="宋体"/>
                <w:spacing w:val="13"/>
                <w:position w:val="1"/>
              </w:rPr>
              <w:t>高铁无轨站建设工程</w:t>
            </w:r>
          </w:p>
          <w:p w14:paraId="430BE33E">
            <w:pPr>
              <w:spacing w:before="239" w:line="352" w:lineRule="auto"/>
              <w:ind w:left="122" w:right="112" w:firstLine="431"/>
              <w:rPr>
                <w:rFonts w:ascii="宋体" w:hAnsi="宋体" w:eastAsia="宋体" w:cs="宋体"/>
                <w:sz w:val="20"/>
                <w:szCs w:val="20"/>
              </w:rPr>
            </w:pPr>
            <w:r>
              <w:rPr>
                <w:rFonts w:ascii="宋体" w:hAnsi="宋体" w:eastAsia="宋体" w:cs="宋体"/>
                <w:spacing w:val="17"/>
                <w:sz w:val="20"/>
                <w:szCs w:val="20"/>
              </w:rPr>
              <w:t>依托县级汽车客运站，规划建设会泽、宣威、陆良、师宗、罗平等高铁无轨站，实现</w:t>
            </w:r>
            <w:r>
              <w:rPr>
                <w:rFonts w:ascii="宋体" w:hAnsi="宋体" w:eastAsia="宋体" w:cs="宋体"/>
                <w:spacing w:val="14"/>
                <w:sz w:val="20"/>
                <w:szCs w:val="20"/>
              </w:rPr>
              <w:t>公路与铁路“零距离</w:t>
            </w:r>
            <w:r>
              <w:rPr>
                <w:rFonts w:ascii="宋体" w:hAnsi="宋体" w:eastAsia="宋体" w:cs="宋体"/>
                <w:spacing w:val="-57"/>
                <w:sz w:val="20"/>
                <w:szCs w:val="20"/>
              </w:rPr>
              <w:t xml:space="preserve"> </w:t>
            </w:r>
            <w:r>
              <w:rPr>
                <w:rFonts w:ascii="宋体" w:hAnsi="宋体" w:eastAsia="宋体" w:cs="宋体"/>
                <w:spacing w:val="14"/>
                <w:sz w:val="20"/>
                <w:szCs w:val="20"/>
              </w:rPr>
              <w:t>”换乘，扩大高铁辐射区域。</w:t>
            </w:r>
          </w:p>
          <w:p w14:paraId="7EC0876C">
            <w:pPr>
              <w:pStyle w:val="6"/>
              <w:spacing w:line="274" w:lineRule="exact"/>
              <w:ind w:left="552"/>
              <w:rPr>
                <w:rFonts w:ascii="宋体" w:hAnsi="宋体" w:eastAsia="宋体" w:cs="宋体"/>
              </w:rPr>
            </w:pPr>
            <w:r>
              <w:rPr>
                <w:spacing w:val="14"/>
                <w:position w:val="1"/>
              </w:rPr>
              <w:t xml:space="preserve">3.  </w:t>
            </w:r>
            <w:r>
              <w:rPr>
                <w:rFonts w:ascii="宋体" w:hAnsi="宋体" w:eastAsia="宋体" w:cs="宋体"/>
                <w:spacing w:val="14"/>
                <w:position w:val="1"/>
              </w:rPr>
              <w:t>综合货运枢纽（物流园区）建设工程</w:t>
            </w:r>
          </w:p>
          <w:p w14:paraId="52748AB5">
            <w:pPr>
              <w:spacing w:before="239" w:line="350" w:lineRule="auto"/>
              <w:ind w:left="113" w:right="39" w:firstLine="438"/>
              <w:rPr>
                <w:rFonts w:ascii="宋体" w:hAnsi="宋体" w:eastAsia="宋体" w:cs="宋体"/>
                <w:sz w:val="20"/>
                <w:szCs w:val="20"/>
              </w:rPr>
            </w:pPr>
            <w:r>
              <w:rPr>
                <w:rFonts w:ascii="宋体" w:hAnsi="宋体" w:eastAsia="宋体" w:cs="宋体"/>
                <w:spacing w:val="17"/>
                <w:sz w:val="20"/>
                <w:szCs w:val="20"/>
              </w:rPr>
              <w:t>推进曲靖市生产服务型国家物流枢纽和珠江源商贸服务型物流枢纽建设，加强多式联运换装设施和设备配置，构建统一的联运装卸平台；加快推动专用疏港公路、铁路专用线</w:t>
            </w:r>
            <w:r>
              <w:rPr>
                <w:rFonts w:ascii="宋体" w:hAnsi="宋体" w:eastAsia="宋体" w:cs="宋体"/>
                <w:spacing w:val="18"/>
                <w:sz w:val="20"/>
                <w:szCs w:val="20"/>
              </w:rPr>
              <w:t>进港进园，完善枢纽园区集疏运条件；建设保</w:t>
            </w:r>
            <w:r>
              <w:rPr>
                <w:rFonts w:ascii="宋体" w:hAnsi="宋体" w:eastAsia="宋体" w:cs="宋体"/>
                <w:spacing w:val="17"/>
                <w:sz w:val="20"/>
                <w:szCs w:val="20"/>
              </w:rPr>
              <w:t>税物流中心，满足海关监管作业的基本运营</w:t>
            </w:r>
            <w:r>
              <w:rPr>
                <w:rFonts w:ascii="宋体" w:hAnsi="宋体" w:eastAsia="宋体" w:cs="宋体"/>
                <w:spacing w:val="16"/>
                <w:sz w:val="20"/>
                <w:szCs w:val="20"/>
              </w:rPr>
              <w:t>条件。</w:t>
            </w:r>
            <w:r>
              <w:rPr>
                <w:rFonts w:ascii="宋体" w:hAnsi="宋体" w:eastAsia="宋体" w:cs="宋体"/>
                <w:spacing w:val="-38"/>
                <w:sz w:val="20"/>
                <w:szCs w:val="20"/>
              </w:rPr>
              <w:t xml:space="preserve"> </w:t>
            </w:r>
            <w:r>
              <w:rPr>
                <w:rFonts w:ascii="宋体" w:hAnsi="宋体" w:eastAsia="宋体" w:cs="宋体"/>
                <w:spacing w:val="16"/>
                <w:sz w:val="20"/>
                <w:szCs w:val="20"/>
              </w:rPr>
              <w:t>以师宗、陆良、宣威、富源、沾益等现有铁路货运场站和仓储中心为基础，提升改造并推进建设一批县级交通枢纽项目，形成县级物流枢纽节点。</w:t>
            </w:r>
            <w:r>
              <w:rPr>
                <w:rFonts w:ascii="宋体" w:hAnsi="宋体" w:eastAsia="宋体" w:cs="宋体"/>
                <w:spacing w:val="-43"/>
                <w:sz w:val="20"/>
                <w:szCs w:val="20"/>
              </w:rPr>
              <w:t xml:space="preserve"> </w:t>
            </w:r>
            <w:r>
              <w:rPr>
                <w:rFonts w:ascii="宋体" w:hAnsi="宋体" w:eastAsia="宋体" w:cs="宋体"/>
                <w:spacing w:val="16"/>
                <w:sz w:val="20"/>
                <w:szCs w:val="20"/>
              </w:rPr>
              <w:t>以县级物流枢纽节点为中</w:t>
            </w:r>
            <w:r>
              <w:rPr>
                <w:rFonts w:ascii="宋体" w:hAnsi="宋体" w:eastAsia="宋体" w:cs="宋体"/>
                <w:spacing w:val="14"/>
                <w:sz w:val="20"/>
                <w:szCs w:val="20"/>
              </w:rPr>
              <w:t>心，在重点乡镇适时建设一批专业化、社会化的日用品和农资物流配送中心，加快推进县、</w:t>
            </w:r>
            <w:r>
              <w:rPr>
                <w:rFonts w:ascii="宋体" w:hAnsi="宋体" w:eastAsia="宋体" w:cs="宋体"/>
                <w:spacing w:val="15"/>
                <w:sz w:val="20"/>
                <w:szCs w:val="20"/>
              </w:rPr>
              <w:t>乡、村三级物流网络节点体系建设。</w:t>
            </w:r>
          </w:p>
        </w:tc>
      </w:tr>
    </w:tbl>
    <w:p w14:paraId="2D341B16">
      <w:pPr>
        <w:pStyle w:val="2"/>
        <w:spacing w:line="448" w:lineRule="auto"/>
      </w:pPr>
    </w:p>
    <w:p w14:paraId="18A836AC">
      <w:pPr>
        <w:spacing w:before="98" w:line="221" w:lineRule="auto"/>
        <w:ind w:left="635"/>
        <w:outlineLvl w:val="0"/>
        <w:rPr>
          <w:rFonts w:ascii="黑体" w:hAnsi="黑体" w:eastAsia="黑体" w:cs="黑体"/>
          <w:sz w:val="30"/>
          <w:szCs w:val="30"/>
        </w:rPr>
      </w:pPr>
      <w:bookmarkStart w:id="38" w:name="bookmark32"/>
      <w:bookmarkEnd w:id="38"/>
      <w:bookmarkStart w:id="39" w:name="bookmark33"/>
      <w:bookmarkEnd w:id="39"/>
      <w:r>
        <w:rPr>
          <w:rFonts w:ascii="黑体" w:hAnsi="黑体" w:eastAsia="黑体" w:cs="黑体"/>
          <w:spacing w:val="-3"/>
          <w:sz w:val="30"/>
          <w:szCs w:val="30"/>
        </w:rPr>
        <w:t>（三）提升综合运输服务品质</w:t>
      </w:r>
    </w:p>
    <w:p w14:paraId="6D7BBDFB">
      <w:pPr>
        <w:spacing w:before="237" w:line="214" w:lineRule="auto"/>
        <w:ind w:left="586"/>
        <w:outlineLvl w:val="1"/>
        <w:rPr>
          <w:rFonts w:ascii="黑体" w:hAnsi="黑体" w:eastAsia="黑体" w:cs="黑体"/>
          <w:sz w:val="28"/>
          <w:szCs w:val="28"/>
        </w:rPr>
      </w:pPr>
      <w:bookmarkStart w:id="40" w:name="bookmark67"/>
      <w:bookmarkEnd w:id="40"/>
      <w:r>
        <w:rPr>
          <w:rFonts w:ascii="黑体" w:hAnsi="黑体" w:eastAsia="黑体" w:cs="黑体"/>
          <w:spacing w:val="-1"/>
          <w:sz w:val="28"/>
          <w:szCs w:val="28"/>
        </w:rPr>
        <w:t>1. 提升客运出行服务品质，实现公共服务均</w:t>
      </w:r>
      <w:r>
        <w:rPr>
          <w:rFonts w:ascii="黑体" w:hAnsi="黑体" w:eastAsia="黑体" w:cs="黑体"/>
          <w:spacing w:val="-2"/>
          <w:sz w:val="28"/>
          <w:szCs w:val="28"/>
        </w:rPr>
        <w:t>等化</w:t>
      </w:r>
    </w:p>
    <w:p w14:paraId="2B1B2611">
      <w:pPr>
        <w:spacing w:before="300" w:line="343" w:lineRule="auto"/>
        <w:ind w:left="8" w:right="17" w:firstLine="591"/>
        <w:jc w:val="both"/>
        <w:rPr>
          <w:rFonts w:ascii="仿宋" w:hAnsi="仿宋" w:eastAsia="仿宋" w:cs="仿宋"/>
          <w:sz w:val="28"/>
          <w:szCs w:val="28"/>
        </w:rPr>
      </w:pPr>
      <w:r>
        <w:rPr>
          <w:rFonts w:ascii="仿宋" w:hAnsi="仿宋" w:eastAsia="仿宋" w:cs="仿宋"/>
          <w:b/>
          <w:bCs/>
          <w:spacing w:val="5"/>
          <w:sz w:val="28"/>
          <w:szCs w:val="28"/>
        </w:rPr>
        <w:t>打造便捷化的旅客联程运输。</w:t>
      </w:r>
      <w:r>
        <w:rPr>
          <w:rFonts w:ascii="仿宋" w:hAnsi="仿宋" w:eastAsia="仿宋" w:cs="仿宋"/>
          <w:spacing w:val="5"/>
          <w:sz w:val="28"/>
          <w:szCs w:val="28"/>
        </w:rPr>
        <w:t>构建具有衔接性、</w:t>
      </w:r>
      <w:r>
        <w:rPr>
          <w:rFonts w:ascii="仿宋" w:hAnsi="仿宋" w:eastAsia="仿宋" w:cs="仿宋"/>
          <w:spacing w:val="4"/>
          <w:sz w:val="28"/>
          <w:szCs w:val="28"/>
        </w:rPr>
        <w:t>集疏运特征的无缝衔</w:t>
      </w:r>
      <w:r>
        <w:rPr>
          <w:rFonts w:ascii="仿宋" w:hAnsi="仿宋" w:eastAsia="仿宋" w:cs="仿宋"/>
          <w:spacing w:val="5"/>
          <w:sz w:val="28"/>
          <w:szCs w:val="28"/>
        </w:rPr>
        <w:t>接客运服务网。推动“</w:t>
      </w:r>
      <w:r>
        <w:rPr>
          <w:rFonts w:ascii="仿宋" w:hAnsi="仿宋" w:eastAsia="仿宋" w:cs="仿宋"/>
          <w:spacing w:val="-95"/>
          <w:sz w:val="28"/>
          <w:szCs w:val="28"/>
        </w:rPr>
        <w:t xml:space="preserve"> </w:t>
      </w:r>
      <w:r>
        <w:rPr>
          <w:rFonts w:ascii="仿宋" w:hAnsi="仿宋" w:eastAsia="仿宋" w:cs="仿宋"/>
          <w:spacing w:val="5"/>
          <w:sz w:val="28"/>
          <w:szCs w:val="28"/>
        </w:rPr>
        <w:t>高铁无轨站”建设，大力发展公铁联运，结合高铁</w:t>
      </w:r>
      <w:r>
        <w:rPr>
          <w:rFonts w:ascii="仿宋" w:hAnsi="仿宋" w:eastAsia="仿宋" w:cs="仿宋"/>
          <w:spacing w:val="12"/>
          <w:sz w:val="28"/>
          <w:szCs w:val="28"/>
        </w:rPr>
        <w:t>列车到发车次情况，开通各县</w:t>
      </w:r>
      <w:r>
        <w:rPr>
          <w:rFonts w:ascii="仿宋" w:hAnsi="仿宋" w:eastAsia="仿宋" w:cs="仿宋"/>
          <w:spacing w:val="-39"/>
          <w:sz w:val="28"/>
          <w:szCs w:val="28"/>
        </w:rPr>
        <w:t xml:space="preserve"> </w:t>
      </w:r>
      <w:r>
        <w:rPr>
          <w:rFonts w:ascii="仿宋" w:hAnsi="仿宋" w:eastAsia="仿宋" w:cs="仿宋"/>
          <w:spacing w:val="12"/>
          <w:sz w:val="28"/>
          <w:szCs w:val="28"/>
        </w:rPr>
        <w:t>(未通高铁)至曲靖北站班次公交化、运输</w:t>
      </w:r>
      <w:r>
        <w:rPr>
          <w:rFonts w:ascii="仿宋" w:hAnsi="仿宋" w:eastAsia="仿宋" w:cs="仿宋"/>
          <w:spacing w:val="7"/>
          <w:sz w:val="28"/>
          <w:szCs w:val="28"/>
        </w:rPr>
        <w:t>直达化、时刻精准化的专线直达大巴，实现公路与铁路</w:t>
      </w:r>
      <w:r>
        <w:rPr>
          <w:rFonts w:ascii="仿宋" w:hAnsi="仿宋" w:eastAsia="仿宋" w:cs="仿宋"/>
          <w:spacing w:val="-87"/>
          <w:sz w:val="28"/>
          <w:szCs w:val="28"/>
        </w:rPr>
        <w:t xml:space="preserve"> </w:t>
      </w:r>
      <w:r>
        <w:rPr>
          <w:rFonts w:ascii="仿宋" w:hAnsi="仿宋" w:eastAsia="仿宋" w:cs="仿宋"/>
          <w:spacing w:val="7"/>
          <w:sz w:val="28"/>
          <w:szCs w:val="28"/>
        </w:rPr>
        <w:t>“零距离”换乘；</w:t>
      </w:r>
      <w:r>
        <w:rPr>
          <w:rFonts w:ascii="仿宋" w:hAnsi="仿宋" w:eastAsia="仿宋" w:cs="仿宋"/>
          <w:spacing w:val="15"/>
          <w:sz w:val="28"/>
          <w:szCs w:val="28"/>
        </w:rPr>
        <w:t>大力发展陆空联运，提升城市候机服务再升级，推行异地候机、行李联程托运等服务，并根据宣威永安机场建设运营后，适时开通各县至机场</w:t>
      </w:r>
      <w:r>
        <w:rPr>
          <w:rFonts w:ascii="仿宋" w:hAnsi="仿宋" w:eastAsia="仿宋" w:cs="仿宋"/>
          <w:spacing w:val="11"/>
          <w:sz w:val="28"/>
          <w:szCs w:val="28"/>
        </w:rPr>
        <w:t>的专线大巴，实现公路与航空</w:t>
      </w:r>
      <w:r>
        <w:rPr>
          <w:rFonts w:ascii="仿宋" w:hAnsi="仿宋" w:eastAsia="仿宋" w:cs="仿宋"/>
          <w:spacing w:val="-69"/>
          <w:sz w:val="28"/>
          <w:szCs w:val="28"/>
        </w:rPr>
        <w:t xml:space="preserve"> </w:t>
      </w:r>
      <w:r>
        <w:rPr>
          <w:rFonts w:ascii="仿宋" w:hAnsi="仿宋" w:eastAsia="仿宋" w:cs="仿宋"/>
          <w:spacing w:val="11"/>
          <w:sz w:val="28"/>
          <w:szCs w:val="28"/>
        </w:rPr>
        <w:t>“零距离”换乘。积极协调铁路、</w:t>
      </w:r>
      <w:r>
        <w:rPr>
          <w:rFonts w:ascii="仿宋" w:hAnsi="仿宋" w:eastAsia="仿宋" w:cs="仿宋"/>
          <w:spacing w:val="-67"/>
          <w:sz w:val="28"/>
          <w:szCs w:val="28"/>
        </w:rPr>
        <w:t xml:space="preserve"> </w:t>
      </w:r>
      <w:r>
        <w:rPr>
          <w:rFonts w:ascii="仿宋" w:hAnsi="仿宋" w:eastAsia="仿宋" w:cs="仿宋"/>
          <w:spacing w:val="11"/>
          <w:sz w:val="28"/>
          <w:szCs w:val="28"/>
        </w:rPr>
        <w:t>民航部</w:t>
      </w:r>
      <w:r>
        <w:rPr>
          <w:rFonts w:ascii="仿宋" w:hAnsi="仿宋" w:eastAsia="仿宋" w:cs="仿宋"/>
          <w:spacing w:val="15"/>
          <w:sz w:val="28"/>
          <w:szCs w:val="28"/>
        </w:rPr>
        <w:t>门争取客运售票系统联网，推广普及电子客票、联网售票；推进跨方式</w:t>
      </w:r>
      <w:r>
        <w:rPr>
          <w:rFonts w:ascii="仿宋" w:hAnsi="仿宋" w:eastAsia="仿宋" w:cs="仿宋"/>
          <w:spacing w:val="6"/>
          <w:sz w:val="28"/>
          <w:szCs w:val="28"/>
        </w:rPr>
        <w:t>出行信息互联互通、及时发布、实时更新和便捷查询。积极培育联程运输骨干主体，支持客运龙头企业通过兼并、资产重组等方式向联程运输经营人转变，鼓励不同运输方式企业共享运输线路、站场、信息等资源，成立旅客联程运输企业联盟，合作开展联运业务。</w:t>
      </w:r>
    </w:p>
    <w:p w14:paraId="5DDC0770">
      <w:pPr>
        <w:spacing w:before="1" w:line="344" w:lineRule="auto"/>
        <w:ind w:left="10" w:right="84" w:firstLine="601"/>
        <w:rPr>
          <w:rFonts w:ascii="仿宋" w:hAnsi="仿宋" w:eastAsia="仿宋" w:cs="仿宋"/>
          <w:sz w:val="28"/>
          <w:szCs w:val="28"/>
        </w:rPr>
      </w:pPr>
      <w:r>
        <w:rPr>
          <w:rFonts w:ascii="仿宋" w:hAnsi="仿宋" w:eastAsia="仿宋" w:cs="仿宋"/>
          <w:b/>
          <w:bCs/>
          <w:spacing w:val="4"/>
          <w:sz w:val="28"/>
          <w:szCs w:val="28"/>
        </w:rPr>
        <w:t>完善高品质的城际客运服务网络。</w:t>
      </w:r>
      <w:r>
        <w:rPr>
          <w:rFonts w:ascii="仿宋" w:hAnsi="仿宋" w:eastAsia="仿宋" w:cs="仿宋"/>
          <w:spacing w:val="4"/>
          <w:sz w:val="28"/>
          <w:szCs w:val="28"/>
        </w:rPr>
        <w:t>提升快速铁路服务水平，配合省上</w:t>
      </w:r>
      <w:r>
        <w:rPr>
          <w:rFonts w:ascii="仿宋" w:hAnsi="仿宋" w:eastAsia="仿宋" w:cs="仿宋"/>
          <w:spacing w:val="2"/>
          <w:sz w:val="28"/>
          <w:szCs w:val="28"/>
        </w:rPr>
        <w:t>加快推动渝昆高铁重点项目运营，完善高铁客运</w:t>
      </w:r>
      <w:r>
        <w:rPr>
          <w:rFonts w:ascii="仿宋" w:hAnsi="仿宋" w:eastAsia="仿宋" w:cs="仿宋"/>
          <w:spacing w:val="1"/>
          <w:sz w:val="28"/>
          <w:szCs w:val="28"/>
        </w:rPr>
        <w:t>网络；</w:t>
      </w:r>
      <w:r>
        <w:rPr>
          <w:rFonts w:ascii="仿宋" w:hAnsi="仿宋" w:eastAsia="仿宋" w:cs="仿宋"/>
          <w:spacing w:val="-80"/>
          <w:sz w:val="28"/>
          <w:szCs w:val="28"/>
        </w:rPr>
        <w:t xml:space="preserve"> </w:t>
      </w:r>
      <w:r>
        <w:rPr>
          <w:rFonts w:ascii="仿宋" w:hAnsi="仿宋" w:eastAsia="仿宋" w:cs="仿宋"/>
          <w:spacing w:val="1"/>
          <w:sz w:val="28"/>
          <w:szCs w:val="28"/>
        </w:rPr>
        <w:t>以沪昆铁路（</w:t>
      </w:r>
      <w:r>
        <w:rPr>
          <w:rFonts w:ascii="仿宋" w:hAnsi="仿宋" w:eastAsia="仿宋" w:cs="仿宋"/>
          <w:spacing w:val="-45"/>
          <w:sz w:val="28"/>
          <w:szCs w:val="28"/>
        </w:rPr>
        <w:t xml:space="preserve"> </w:t>
      </w:r>
      <w:r>
        <w:rPr>
          <w:rFonts w:ascii="仿宋" w:hAnsi="仿宋" w:eastAsia="仿宋" w:cs="仿宋"/>
          <w:spacing w:val="1"/>
          <w:sz w:val="28"/>
          <w:szCs w:val="28"/>
        </w:rPr>
        <w:t>昆明</w:t>
      </w:r>
    </w:p>
    <w:p w14:paraId="5D224500">
      <w:pPr>
        <w:spacing w:line="344" w:lineRule="auto"/>
        <w:rPr>
          <w:rFonts w:ascii="仿宋" w:hAnsi="仿宋" w:eastAsia="仿宋" w:cs="仿宋"/>
          <w:sz w:val="28"/>
          <w:szCs w:val="28"/>
        </w:rPr>
        <w:sectPr>
          <w:headerReference r:id="rId83" w:type="default"/>
          <w:footerReference r:id="rId84" w:type="default"/>
          <w:pgSz w:w="11906" w:h="16839"/>
          <w:pgMar w:top="1222" w:right="1054" w:bottom="1156" w:left="1587" w:header="885" w:footer="920" w:gutter="0"/>
          <w:cols w:space="720" w:num="1"/>
        </w:sectPr>
      </w:pPr>
    </w:p>
    <w:p w14:paraId="65367505">
      <w:pPr>
        <w:pStyle w:val="2"/>
        <w:spacing w:line="275" w:lineRule="auto"/>
      </w:pPr>
    </w:p>
    <w:p w14:paraId="13A4BFBE">
      <w:pPr>
        <w:spacing w:before="91" w:line="343" w:lineRule="auto"/>
        <w:ind w:left="7" w:firstLine="19"/>
        <w:rPr>
          <w:rFonts w:ascii="仿宋" w:hAnsi="仿宋" w:eastAsia="仿宋" w:cs="仿宋"/>
          <w:sz w:val="28"/>
          <w:szCs w:val="28"/>
        </w:rPr>
      </w:pPr>
      <w:r>
        <w:rPr>
          <w:rFonts w:ascii="仿宋" w:hAnsi="仿宋" w:eastAsia="仿宋" w:cs="仿宋"/>
          <w:sz w:val="28"/>
          <w:szCs w:val="28"/>
        </w:rPr>
        <w:t>至曲靖）为试点，推行市域铁路的公交化运营，全面提高通勤效率</w:t>
      </w:r>
      <w:r>
        <w:rPr>
          <w:rFonts w:ascii="仿宋" w:hAnsi="仿宋" w:eastAsia="仿宋" w:cs="仿宋"/>
          <w:spacing w:val="-1"/>
          <w:sz w:val="28"/>
          <w:szCs w:val="28"/>
        </w:rPr>
        <w:t>与水平。</w:t>
      </w:r>
      <w:r>
        <w:rPr>
          <w:rFonts w:ascii="仿宋" w:hAnsi="仿宋" w:eastAsia="仿宋" w:cs="仿宋"/>
          <w:spacing w:val="8"/>
          <w:sz w:val="28"/>
          <w:szCs w:val="28"/>
        </w:rPr>
        <w:t>继续推动道路客运转型升级，引导支持市域内骨干道路</w:t>
      </w:r>
      <w:r>
        <w:rPr>
          <w:rFonts w:ascii="仿宋" w:hAnsi="仿宋" w:eastAsia="仿宋" w:cs="仿宋"/>
          <w:spacing w:val="7"/>
          <w:sz w:val="28"/>
          <w:szCs w:val="28"/>
        </w:rPr>
        <w:t>客运企业规模化、</w:t>
      </w:r>
      <w:r>
        <w:rPr>
          <w:rFonts w:ascii="仿宋" w:hAnsi="仿宋" w:eastAsia="仿宋" w:cs="仿宋"/>
          <w:spacing w:val="-2"/>
          <w:sz w:val="28"/>
          <w:szCs w:val="28"/>
        </w:rPr>
        <w:t>集约化发展，完善多层次服务体系，不断满足人民群众日益增长的高品质出</w:t>
      </w:r>
      <w:r>
        <w:rPr>
          <w:rFonts w:ascii="仿宋" w:hAnsi="仿宋" w:eastAsia="仿宋" w:cs="仿宋"/>
          <w:spacing w:val="6"/>
          <w:sz w:val="28"/>
          <w:szCs w:val="28"/>
        </w:rPr>
        <w:t>行服务需求。依据经济社会高质量跨越式发展对道路旅客运输的需求，科</w:t>
      </w:r>
      <w:r>
        <w:rPr>
          <w:rFonts w:ascii="仿宋" w:hAnsi="仿宋" w:eastAsia="仿宋" w:cs="仿宋"/>
          <w:spacing w:val="4"/>
          <w:sz w:val="28"/>
          <w:szCs w:val="28"/>
        </w:rPr>
        <w:t>学合理编制《曲靖市</w:t>
      </w:r>
      <w:r>
        <w:rPr>
          <w:rFonts w:ascii="仿宋" w:hAnsi="仿宋" w:eastAsia="仿宋" w:cs="仿宋"/>
          <w:spacing w:val="-88"/>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十四五”道路旅客运输发展规划》。发挥公路运输</w:t>
      </w:r>
      <w:r>
        <w:rPr>
          <w:rFonts w:ascii="仿宋" w:hAnsi="仿宋" w:eastAsia="仿宋" w:cs="仿宋"/>
          <w:spacing w:val="6"/>
          <w:sz w:val="28"/>
          <w:szCs w:val="28"/>
        </w:rPr>
        <w:t>机动灵活优势，加强与高铁、航空等方式的衔接。围绕滇中城市群，大力发展以城际客运为主体的快速客运服务网。进一步推动中短途道路客运班线定制化、柔性化发展，探索研究更加开放的定制客运政策，鼓励并规范道路客运定制服务发展，引导定制客运规模化、连销化、网络化经营，培</w:t>
      </w:r>
      <w:r>
        <w:rPr>
          <w:rFonts w:ascii="仿宋" w:hAnsi="仿宋" w:eastAsia="仿宋" w:cs="仿宋"/>
          <w:spacing w:val="5"/>
          <w:sz w:val="28"/>
          <w:szCs w:val="28"/>
        </w:rPr>
        <w:t>育一批道路客运定制服务品牌，更好的满足群众门到门”“</w:t>
      </w:r>
      <w:r>
        <w:rPr>
          <w:rFonts w:ascii="仿宋" w:hAnsi="仿宋" w:eastAsia="仿宋" w:cs="仿宋"/>
          <w:spacing w:val="-90"/>
          <w:sz w:val="28"/>
          <w:szCs w:val="28"/>
        </w:rPr>
        <w:t xml:space="preserve"> </w:t>
      </w:r>
      <w:r>
        <w:rPr>
          <w:rFonts w:ascii="仿宋" w:hAnsi="仿宋" w:eastAsia="仿宋" w:cs="仿宋"/>
          <w:spacing w:val="5"/>
          <w:sz w:val="28"/>
          <w:szCs w:val="28"/>
        </w:rPr>
        <w:t>点到点”的出</w:t>
      </w:r>
      <w:r>
        <w:rPr>
          <w:rFonts w:ascii="仿宋" w:hAnsi="仿宋" w:eastAsia="仿宋" w:cs="仿宋"/>
          <w:spacing w:val="6"/>
          <w:sz w:val="28"/>
          <w:szCs w:val="28"/>
        </w:rPr>
        <w:t>行需求，加快推动毗邻地区城际道路客运公交化运营。鼓励发展中、高级公路营运客车，增强旅客出行体验感。鼓励汽车客运站在保障运输服务基本功能的前提下开展综合开发利用，拓展客运站商贸、旅游、物流等服务</w:t>
      </w:r>
      <w:r>
        <w:rPr>
          <w:rFonts w:ascii="仿宋" w:hAnsi="仿宋" w:eastAsia="仿宋" w:cs="仿宋"/>
          <w:spacing w:val="15"/>
          <w:sz w:val="28"/>
          <w:szCs w:val="28"/>
        </w:rPr>
        <w:t>功能。推进道路客运与信息技术、旅游业等关联产业融合发展，满足广</w:t>
      </w:r>
      <w:r>
        <w:rPr>
          <w:rFonts w:ascii="仿宋" w:hAnsi="仿宋" w:eastAsia="仿宋" w:cs="仿宋"/>
          <w:spacing w:val="8"/>
          <w:sz w:val="28"/>
          <w:szCs w:val="28"/>
        </w:rPr>
        <w:t>大人民群众的美好出行服务需求。</w:t>
      </w:r>
    </w:p>
    <w:p w14:paraId="79C9E162">
      <w:pPr>
        <w:spacing w:before="5" w:line="342" w:lineRule="auto"/>
        <w:ind w:left="9" w:right="4" w:firstLine="640"/>
        <w:jc w:val="both"/>
        <w:rPr>
          <w:rFonts w:ascii="仿宋" w:hAnsi="仿宋" w:eastAsia="仿宋" w:cs="仿宋"/>
          <w:sz w:val="28"/>
          <w:szCs w:val="28"/>
        </w:rPr>
      </w:pPr>
      <w:r>
        <w:rPr>
          <w:rFonts w:ascii="仿宋" w:hAnsi="仿宋" w:eastAsia="仿宋" w:cs="仿宋"/>
          <w:b/>
          <w:bCs/>
          <w:spacing w:val="3"/>
          <w:sz w:val="28"/>
          <w:szCs w:val="28"/>
        </w:rPr>
        <w:t>优先发展城市公共交通。</w:t>
      </w:r>
      <w:r>
        <w:rPr>
          <w:rFonts w:ascii="仿宋" w:hAnsi="仿宋" w:eastAsia="仿宋" w:cs="仿宋"/>
          <w:spacing w:val="3"/>
          <w:sz w:val="28"/>
          <w:szCs w:val="28"/>
        </w:rPr>
        <w:t>按照国家、省、市关于城市优先发展公共交</w:t>
      </w:r>
      <w:r>
        <w:rPr>
          <w:rFonts w:ascii="仿宋" w:hAnsi="仿宋" w:eastAsia="仿宋" w:cs="仿宋"/>
          <w:spacing w:val="-8"/>
          <w:sz w:val="28"/>
          <w:szCs w:val="28"/>
        </w:rPr>
        <w:t>通指导意见的要求，强化规划调控，统筹城市发展布局、公交场站用地配置，</w:t>
      </w:r>
      <w:r>
        <w:rPr>
          <w:rFonts w:ascii="仿宋" w:hAnsi="仿宋" w:eastAsia="仿宋" w:cs="仿宋"/>
          <w:spacing w:val="-2"/>
          <w:sz w:val="28"/>
          <w:szCs w:val="28"/>
        </w:rPr>
        <w:t>加快公共交通基础设施建设，支持公共交通设施用地综合开发利用，设立公交专用道，加大政府扶持力度，推动建立可持续发展的公共交通营运补贴长</w:t>
      </w:r>
      <w:r>
        <w:rPr>
          <w:rFonts w:ascii="仿宋" w:hAnsi="仿宋" w:eastAsia="仿宋" w:cs="仿宋"/>
          <w:spacing w:val="-3"/>
          <w:sz w:val="28"/>
          <w:szCs w:val="28"/>
        </w:rPr>
        <w:t>效机制。</w:t>
      </w:r>
    </w:p>
    <w:p w14:paraId="780D4752">
      <w:pPr>
        <w:spacing w:before="1" w:line="343" w:lineRule="auto"/>
        <w:ind w:left="13" w:right="1" w:firstLine="575"/>
        <w:jc w:val="both"/>
        <w:rPr>
          <w:rFonts w:ascii="仿宋" w:hAnsi="仿宋" w:eastAsia="仿宋" w:cs="仿宋"/>
          <w:sz w:val="28"/>
          <w:szCs w:val="28"/>
        </w:rPr>
      </w:pPr>
      <w:r>
        <w:rPr>
          <w:rFonts w:ascii="仿宋" w:hAnsi="仿宋" w:eastAsia="仿宋" w:cs="仿宋"/>
          <w:spacing w:val="-3"/>
          <w:sz w:val="28"/>
          <w:szCs w:val="28"/>
        </w:rPr>
        <w:t>一是合理配置公交场站。严格落实公共交通配建标准，依托城市总体规</w:t>
      </w:r>
      <w:r>
        <w:rPr>
          <w:rFonts w:ascii="仿宋" w:hAnsi="仿宋" w:eastAsia="仿宋" w:cs="仿宋"/>
          <w:spacing w:val="-2"/>
          <w:sz w:val="28"/>
          <w:szCs w:val="28"/>
        </w:rPr>
        <w:t>划，合理规划布局公共交通场站，加快推进基础设施建设，提高城市公</w:t>
      </w:r>
      <w:r>
        <w:rPr>
          <w:rFonts w:ascii="仿宋" w:hAnsi="仿宋" w:eastAsia="仿宋" w:cs="仿宋"/>
          <w:spacing w:val="-3"/>
          <w:sz w:val="28"/>
          <w:szCs w:val="28"/>
        </w:rPr>
        <w:t>共交</w:t>
      </w:r>
      <w:r>
        <w:rPr>
          <w:rFonts w:ascii="仿宋" w:hAnsi="仿宋" w:eastAsia="仿宋" w:cs="仿宋"/>
          <w:spacing w:val="-2"/>
          <w:sz w:val="28"/>
          <w:szCs w:val="28"/>
        </w:rPr>
        <w:t>通保障能力，结合城市发展布局，充分考虑各交通方式之间的换乘衔接，合理布局公交首末站、场站和枢纽站，在城镇公交网中建设主要节点，新</w:t>
      </w:r>
      <w:r>
        <w:rPr>
          <w:rFonts w:ascii="仿宋" w:hAnsi="仿宋" w:eastAsia="仿宋" w:cs="仿宋"/>
          <w:spacing w:val="-3"/>
          <w:sz w:val="28"/>
          <w:szCs w:val="28"/>
        </w:rPr>
        <w:t>建高</w:t>
      </w:r>
      <w:r>
        <w:rPr>
          <w:rFonts w:ascii="仿宋" w:hAnsi="仿宋" w:eastAsia="仿宋" w:cs="仿宋"/>
          <w:spacing w:val="-2"/>
          <w:sz w:val="28"/>
          <w:szCs w:val="28"/>
        </w:rPr>
        <w:t>铁北站、金牛塘、祥达东城、南海子经开区窦家冲、教育医疗两中心、</w:t>
      </w:r>
      <w:r>
        <w:rPr>
          <w:rFonts w:ascii="仿宋" w:hAnsi="仿宋" w:eastAsia="仿宋" w:cs="仿宋"/>
          <w:spacing w:val="-3"/>
          <w:sz w:val="28"/>
          <w:szCs w:val="28"/>
        </w:rPr>
        <w:t>沾益</w:t>
      </w:r>
      <w:r>
        <w:rPr>
          <w:rFonts w:ascii="仿宋" w:hAnsi="仿宋" w:eastAsia="仿宋" w:cs="仿宋"/>
          <w:spacing w:val="-8"/>
          <w:sz w:val="28"/>
          <w:szCs w:val="28"/>
        </w:rPr>
        <w:t>区新排、南城枢纽、珠街、沿江、三宝、潇湘、温泉、越州等公交充电场站，</w:t>
      </w:r>
    </w:p>
    <w:p w14:paraId="0D59E2B2">
      <w:pPr>
        <w:spacing w:line="343" w:lineRule="auto"/>
        <w:rPr>
          <w:rFonts w:ascii="仿宋" w:hAnsi="仿宋" w:eastAsia="仿宋" w:cs="仿宋"/>
          <w:sz w:val="28"/>
          <w:szCs w:val="28"/>
        </w:rPr>
        <w:sectPr>
          <w:headerReference r:id="rId85" w:type="default"/>
          <w:footerReference r:id="rId86" w:type="default"/>
          <w:pgSz w:w="11906" w:h="16839"/>
          <w:pgMar w:top="1222" w:right="1506" w:bottom="1156" w:left="1134" w:header="885" w:footer="920" w:gutter="0"/>
          <w:cols w:space="720" w:num="1"/>
        </w:sectPr>
      </w:pPr>
    </w:p>
    <w:p w14:paraId="50D0C5B5">
      <w:pPr>
        <w:pStyle w:val="2"/>
        <w:spacing w:line="278" w:lineRule="auto"/>
      </w:pPr>
    </w:p>
    <w:p w14:paraId="76CEEACE">
      <w:pPr>
        <w:spacing w:before="91" w:line="218" w:lineRule="auto"/>
        <w:ind w:left="19"/>
        <w:rPr>
          <w:rFonts w:ascii="仿宋" w:hAnsi="仿宋" w:eastAsia="仿宋" w:cs="仿宋"/>
          <w:sz w:val="28"/>
          <w:szCs w:val="28"/>
        </w:rPr>
      </w:pPr>
      <w:r>
        <w:rPr>
          <w:rFonts w:ascii="仿宋" w:hAnsi="仿宋" w:eastAsia="仿宋" w:cs="仿宋"/>
          <w:spacing w:val="-1"/>
          <w:sz w:val="28"/>
          <w:szCs w:val="28"/>
        </w:rPr>
        <w:t>为全域公交改革奠定坚实基础，同时为远期的公交线网优化提供支撑。</w:t>
      </w:r>
    </w:p>
    <w:p w14:paraId="01F1F456">
      <w:pPr>
        <w:spacing w:before="185" w:line="343" w:lineRule="auto"/>
        <w:ind w:left="2" w:right="74" w:firstLine="584"/>
        <w:jc w:val="both"/>
        <w:rPr>
          <w:rFonts w:ascii="仿宋" w:hAnsi="仿宋" w:eastAsia="仿宋" w:cs="仿宋"/>
          <w:sz w:val="28"/>
          <w:szCs w:val="28"/>
        </w:rPr>
      </w:pPr>
      <w:r>
        <w:rPr>
          <w:rFonts w:ascii="仿宋" w:hAnsi="仿宋" w:eastAsia="仿宋" w:cs="仿宋"/>
          <w:spacing w:val="-3"/>
          <w:sz w:val="28"/>
          <w:szCs w:val="28"/>
        </w:rPr>
        <w:t>二是优化公交线网，建立快速便捷的换乘体系。充分结合新能源汽车推</w:t>
      </w:r>
      <w:r>
        <w:rPr>
          <w:rFonts w:ascii="仿宋" w:hAnsi="仿宋" w:eastAsia="仿宋" w:cs="仿宋"/>
          <w:spacing w:val="-2"/>
          <w:sz w:val="28"/>
          <w:szCs w:val="28"/>
        </w:rPr>
        <w:t>广应用，以增加新线路联系为主，既有线路延伸为辅，重点优化干线公交线路结构，进一步丰富支线公交线路。积极谋划社区公交、企业公交、微循环公交、定制公交、旅游公交等公交新业态的快速发展，满足市民的个性化需求。积极推进全市快速公交建设，优先实施经开区至火车站和高铁站快速公交的示范工程，同时推进中心城区麒麟南北路、麒麟东西路、南宁东西路的</w:t>
      </w:r>
      <w:r>
        <w:rPr>
          <w:rFonts w:ascii="仿宋" w:hAnsi="仿宋" w:eastAsia="仿宋" w:cs="仿宋"/>
          <w:spacing w:val="-3"/>
          <w:sz w:val="28"/>
          <w:szCs w:val="28"/>
        </w:rPr>
        <w:t>公交专用道建设，实现公交车辆的绿色通行。探索建设</w:t>
      </w:r>
      <w:r>
        <w:rPr>
          <w:rFonts w:ascii="仿宋" w:hAnsi="仿宋" w:eastAsia="仿宋" w:cs="仿宋"/>
          <w:spacing w:val="-45"/>
          <w:sz w:val="28"/>
          <w:szCs w:val="28"/>
        </w:rPr>
        <w:t xml:space="preserve"> </w:t>
      </w:r>
      <w:r>
        <w:rPr>
          <w:rFonts w:ascii="仿宋" w:hAnsi="仿宋" w:eastAsia="仿宋" w:cs="仿宋"/>
          <w:spacing w:val="-3"/>
          <w:sz w:val="28"/>
          <w:szCs w:val="28"/>
        </w:rPr>
        <w:t>BRT</w:t>
      </w:r>
      <w:r>
        <w:rPr>
          <w:rFonts w:ascii="仿宋" w:hAnsi="仿宋" w:eastAsia="仿宋" w:cs="仿宋"/>
          <w:spacing w:val="-48"/>
          <w:sz w:val="28"/>
          <w:szCs w:val="28"/>
        </w:rPr>
        <w:t xml:space="preserve"> </w:t>
      </w:r>
      <w:r>
        <w:rPr>
          <w:rFonts w:ascii="仿宋" w:hAnsi="仿宋" w:eastAsia="仿宋" w:cs="仿宋"/>
          <w:spacing w:val="-3"/>
          <w:sz w:val="28"/>
          <w:szCs w:val="28"/>
        </w:rPr>
        <w:t>快速公交通道，</w:t>
      </w:r>
      <w:r>
        <w:rPr>
          <w:rFonts w:ascii="仿宋" w:hAnsi="仿宋" w:eastAsia="仿宋" w:cs="仿宋"/>
          <w:spacing w:val="-2"/>
          <w:sz w:val="28"/>
          <w:szCs w:val="28"/>
        </w:rPr>
        <w:t>形成市区快捷通勤主骨架，加强曲靖中心城区四个区的快速出行通道，提升公交系统的服务水平。建立集多种运输方式于一体的公交换乘枢纽，推进公</w:t>
      </w:r>
      <w:r>
        <w:rPr>
          <w:rFonts w:ascii="仿宋" w:hAnsi="仿宋" w:eastAsia="仿宋" w:cs="仿宋"/>
          <w:spacing w:val="-3"/>
          <w:sz w:val="28"/>
          <w:szCs w:val="28"/>
        </w:rPr>
        <w:t>共交通</w:t>
      </w:r>
      <w:r>
        <w:rPr>
          <w:rFonts w:ascii="仿宋" w:hAnsi="仿宋" w:eastAsia="仿宋" w:cs="仿宋"/>
          <w:spacing w:val="-99"/>
          <w:sz w:val="28"/>
          <w:szCs w:val="28"/>
        </w:rPr>
        <w:t xml:space="preserve"> </w:t>
      </w:r>
      <w:r>
        <w:rPr>
          <w:rFonts w:ascii="仿宋" w:hAnsi="仿宋" w:eastAsia="仿宋" w:cs="仿宋"/>
          <w:spacing w:val="-3"/>
          <w:sz w:val="28"/>
          <w:szCs w:val="28"/>
        </w:rPr>
        <w:t>“零距离”换乘，结合区块开发、快速交通建设，重点实施曲靖火车</w:t>
      </w:r>
      <w:r>
        <w:rPr>
          <w:rFonts w:ascii="仿宋" w:hAnsi="仿宋" w:eastAsia="仿宋" w:cs="仿宋"/>
          <w:spacing w:val="-2"/>
          <w:sz w:val="28"/>
          <w:szCs w:val="28"/>
        </w:rPr>
        <w:t>站、高铁北站、南城水寨公交枢纽站、西城公交枢纽站、沾益小河底公交枢</w:t>
      </w:r>
      <w:r>
        <w:rPr>
          <w:rFonts w:ascii="仿宋" w:hAnsi="仿宋" w:eastAsia="仿宋" w:cs="仿宋"/>
          <w:spacing w:val="-1"/>
          <w:sz w:val="28"/>
          <w:szCs w:val="28"/>
        </w:rPr>
        <w:t>纽站，打造快速便捷的换乘体系。</w:t>
      </w:r>
    </w:p>
    <w:p w14:paraId="255B0F10">
      <w:pPr>
        <w:spacing w:before="3" w:line="342" w:lineRule="auto"/>
        <w:ind w:left="8" w:right="77" w:firstLine="584"/>
        <w:jc w:val="both"/>
        <w:rPr>
          <w:rFonts w:ascii="仿宋" w:hAnsi="仿宋" w:eastAsia="仿宋" w:cs="仿宋"/>
          <w:sz w:val="28"/>
          <w:szCs w:val="28"/>
        </w:rPr>
      </w:pPr>
      <w:r>
        <w:rPr>
          <w:rFonts w:ascii="仿宋" w:hAnsi="仿宋" w:eastAsia="仿宋" w:cs="仿宋"/>
          <w:spacing w:val="-3"/>
          <w:sz w:val="28"/>
          <w:szCs w:val="28"/>
        </w:rPr>
        <w:t>三是加大新能源车公交车推广力度。及时更新老旧燃油公交车辆，加大</w:t>
      </w:r>
      <w:r>
        <w:rPr>
          <w:rFonts w:ascii="仿宋" w:hAnsi="仿宋" w:eastAsia="仿宋" w:cs="仿宋"/>
          <w:spacing w:val="-1"/>
          <w:sz w:val="28"/>
          <w:szCs w:val="28"/>
        </w:rPr>
        <w:t>低碳高效、环保节能的新能源公交车的投入，实现新能源公交车占比达</w:t>
      </w:r>
      <w:r>
        <w:rPr>
          <w:rFonts w:ascii="仿宋" w:hAnsi="仿宋" w:eastAsia="仿宋" w:cs="仿宋"/>
          <w:spacing w:val="-30"/>
          <w:sz w:val="28"/>
          <w:szCs w:val="28"/>
        </w:rPr>
        <w:t xml:space="preserve"> </w:t>
      </w:r>
      <w:r>
        <w:rPr>
          <w:rFonts w:ascii="仿宋" w:hAnsi="仿宋" w:eastAsia="仿宋" w:cs="仿宋"/>
          <w:spacing w:val="-1"/>
          <w:sz w:val="28"/>
          <w:szCs w:val="28"/>
        </w:rPr>
        <w:t>72%</w:t>
      </w:r>
      <w:r>
        <w:rPr>
          <w:rFonts w:ascii="仿宋" w:hAnsi="仿宋" w:eastAsia="仿宋" w:cs="仿宋"/>
          <w:spacing w:val="-3"/>
          <w:sz w:val="28"/>
          <w:szCs w:val="28"/>
        </w:rPr>
        <w:t>以上。</w:t>
      </w:r>
    </w:p>
    <w:p w14:paraId="20B3683D">
      <w:pPr>
        <w:spacing w:before="11" w:line="342" w:lineRule="auto"/>
        <w:ind w:left="8" w:right="2" w:firstLine="596"/>
        <w:jc w:val="both"/>
        <w:rPr>
          <w:rFonts w:ascii="仿宋" w:hAnsi="仿宋" w:eastAsia="仿宋" w:cs="仿宋"/>
          <w:sz w:val="28"/>
          <w:szCs w:val="28"/>
        </w:rPr>
      </w:pPr>
      <w:r>
        <w:rPr>
          <w:rFonts w:ascii="仿宋" w:hAnsi="仿宋" w:eastAsia="仿宋" w:cs="仿宋"/>
          <w:spacing w:val="-3"/>
          <w:sz w:val="28"/>
          <w:szCs w:val="28"/>
        </w:rPr>
        <w:t>四是提升城乡公交一体化发展。巩固提升城乡客运一体</w:t>
      </w:r>
      <w:r>
        <w:rPr>
          <w:rFonts w:ascii="仿宋" w:hAnsi="仿宋" w:eastAsia="仿宋" w:cs="仿宋"/>
          <w:spacing w:val="-4"/>
          <w:sz w:val="28"/>
          <w:szCs w:val="28"/>
        </w:rPr>
        <w:t>化服务水平。按</w:t>
      </w:r>
      <w:r>
        <w:rPr>
          <w:rFonts w:ascii="仿宋" w:hAnsi="仿宋" w:eastAsia="仿宋" w:cs="仿宋"/>
          <w:spacing w:val="-8"/>
          <w:sz w:val="28"/>
          <w:szCs w:val="28"/>
        </w:rPr>
        <w:t>照曲靖市乡村振兴战略发展要求，统筹农村客运“路、站、运”一体化发展，</w:t>
      </w:r>
      <w:r>
        <w:rPr>
          <w:rFonts w:ascii="仿宋" w:hAnsi="仿宋" w:eastAsia="仿宋" w:cs="仿宋"/>
          <w:spacing w:val="-2"/>
          <w:sz w:val="28"/>
          <w:szCs w:val="28"/>
        </w:rPr>
        <w:t>提升基本公共服务均等化水平，持续巩固拓展具备条件的乡镇和建制村通客运班车成果，全面提高城乡公共交通通达深度，实现上下级线网间的有机衔</w:t>
      </w:r>
      <w:r>
        <w:rPr>
          <w:rFonts w:ascii="仿宋" w:hAnsi="仿宋" w:eastAsia="仿宋" w:cs="仿宋"/>
          <w:spacing w:val="-4"/>
          <w:sz w:val="28"/>
          <w:szCs w:val="28"/>
        </w:rPr>
        <w:t>接，构建一体化的城乡公交网络。在城镇化水平较高、经济基础较好、人</w:t>
      </w:r>
      <w:r>
        <w:rPr>
          <w:rFonts w:ascii="仿宋" w:hAnsi="仿宋" w:eastAsia="仿宋" w:cs="仿宋"/>
          <w:spacing w:val="-71"/>
          <w:sz w:val="28"/>
          <w:szCs w:val="28"/>
        </w:rPr>
        <w:t xml:space="preserve"> </w:t>
      </w:r>
      <w:r>
        <w:rPr>
          <w:rFonts w:ascii="仿宋" w:hAnsi="仿宋" w:eastAsia="仿宋" w:cs="仿宋"/>
          <w:spacing w:val="-4"/>
          <w:sz w:val="28"/>
          <w:szCs w:val="28"/>
        </w:rPr>
        <w:t>口</w:t>
      </w:r>
      <w:r>
        <w:rPr>
          <w:rFonts w:ascii="仿宋" w:hAnsi="仿宋" w:eastAsia="仿宋" w:cs="仿宋"/>
          <w:spacing w:val="-1"/>
          <w:sz w:val="28"/>
          <w:szCs w:val="28"/>
        </w:rPr>
        <w:t>密度大、客流集中的县（市、区</w:t>
      </w:r>
      <w:r>
        <w:rPr>
          <w:rFonts w:ascii="仿宋" w:hAnsi="仿宋" w:eastAsia="仿宋" w:cs="仿宋"/>
          <w:spacing w:val="-15"/>
          <w:sz w:val="28"/>
          <w:szCs w:val="28"/>
        </w:rPr>
        <w:t>），</w:t>
      </w:r>
      <w:r>
        <w:rPr>
          <w:rFonts w:ascii="仿宋" w:hAnsi="仿宋" w:eastAsia="仿宋" w:cs="仿宋"/>
          <w:spacing w:val="-1"/>
          <w:sz w:val="28"/>
          <w:szCs w:val="28"/>
        </w:rPr>
        <w:t>鼓励灵活采用城市公交延伸、班线客运</w:t>
      </w:r>
      <w:r>
        <w:rPr>
          <w:rFonts w:ascii="仿宋" w:hAnsi="仿宋" w:eastAsia="仿宋" w:cs="仿宋"/>
          <w:spacing w:val="-2"/>
          <w:sz w:val="28"/>
          <w:szCs w:val="28"/>
        </w:rPr>
        <w:t>公交化改造等模式推动实现全域公交化运营。推广经济、安全的农村客运适用车型，鼓励使用新能源车辆，不断优化车型结构，提升车辆档次，确保农</w:t>
      </w:r>
      <w:r>
        <w:rPr>
          <w:rFonts w:ascii="仿宋" w:hAnsi="仿宋" w:eastAsia="仿宋" w:cs="仿宋"/>
          <w:spacing w:val="-1"/>
          <w:sz w:val="28"/>
          <w:szCs w:val="28"/>
        </w:rPr>
        <w:t>村客运车型选型与道路安全通告和群众出行特点相适应。</w:t>
      </w:r>
    </w:p>
    <w:p w14:paraId="1176F042">
      <w:pPr>
        <w:spacing w:before="2" w:line="214" w:lineRule="auto"/>
        <w:ind w:left="581"/>
        <w:rPr>
          <w:rFonts w:ascii="仿宋" w:hAnsi="仿宋" w:eastAsia="仿宋" w:cs="仿宋"/>
          <w:sz w:val="28"/>
          <w:szCs w:val="28"/>
        </w:rPr>
      </w:pPr>
      <w:r>
        <w:rPr>
          <w:rFonts w:ascii="仿宋" w:hAnsi="仿宋" w:eastAsia="仿宋" w:cs="仿宋"/>
          <w:spacing w:val="7"/>
          <w:sz w:val="28"/>
          <w:szCs w:val="28"/>
        </w:rPr>
        <w:t>五是提高公交管理服务水平。建立城市公共汽车</w:t>
      </w:r>
      <w:r>
        <w:rPr>
          <w:rFonts w:ascii="仿宋" w:hAnsi="仿宋" w:eastAsia="仿宋" w:cs="仿宋"/>
          <w:spacing w:val="6"/>
          <w:sz w:val="28"/>
          <w:szCs w:val="28"/>
        </w:rPr>
        <w:t>交通管理部门监管平</w:t>
      </w:r>
    </w:p>
    <w:p w14:paraId="434A990F">
      <w:pPr>
        <w:spacing w:line="214" w:lineRule="auto"/>
        <w:rPr>
          <w:rFonts w:ascii="仿宋" w:hAnsi="仿宋" w:eastAsia="仿宋" w:cs="仿宋"/>
          <w:sz w:val="28"/>
          <w:szCs w:val="28"/>
        </w:rPr>
        <w:sectPr>
          <w:headerReference r:id="rId87" w:type="default"/>
          <w:footerReference r:id="rId88" w:type="default"/>
          <w:pgSz w:w="11906" w:h="16839"/>
          <w:pgMar w:top="1222" w:right="1054" w:bottom="1156" w:left="1587" w:header="885" w:footer="920" w:gutter="0"/>
          <w:cols w:space="720" w:num="1"/>
        </w:sectPr>
      </w:pPr>
    </w:p>
    <w:p w14:paraId="744C8451">
      <w:pPr>
        <w:pStyle w:val="2"/>
        <w:spacing w:line="278" w:lineRule="auto"/>
      </w:pPr>
    </w:p>
    <w:p w14:paraId="103CB59B">
      <w:pPr>
        <w:spacing w:before="91" w:line="215" w:lineRule="auto"/>
        <w:ind w:left="42"/>
        <w:rPr>
          <w:rFonts w:ascii="仿宋" w:hAnsi="仿宋" w:eastAsia="仿宋" w:cs="仿宋"/>
          <w:sz w:val="28"/>
          <w:szCs w:val="28"/>
        </w:rPr>
      </w:pPr>
      <w:r>
        <w:rPr>
          <w:rFonts w:ascii="仿宋" w:hAnsi="仿宋" w:eastAsia="仿宋" w:cs="仿宋"/>
          <w:spacing w:val="-3"/>
          <w:sz w:val="28"/>
          <w:szCs w:val="28"/>
        </w:rPr>
        <w:t>台，将马龙区公共汽车交通运行监管纳入城市公共汽车交通管理部门监管平</w:t>
      </w:r>
    </w:p>
    <w:p w14:paraId="6499A025">
      <w:pPr>
        <w:spacing w:before="191" w:line="343" w:lineRule="auto"/>
        <w:ind w:left="7" w:right="76" w:firstLine="35"/>
        <w:jc w:val="both"/>
        <w:rPr>
          <w:rFonts w:ascii="仿宋" w:hAnsi="仿宋" w:eastAsia="仿宋" w:cs="仿宋"/>
          <w:sz w:val="28"/>
          <w:szCs w:val="28"/>
        </w:rPr>
      </w:pPr>
      <w:r>
        <w:rPr>
          <w:rFonts w:ascii="仿宋" w:hAnsi="仿宋" w:eastAsia="仿宋" w:cs="仿宋"/>
          <w:spacing w:val="-3"/>
          <w:sz w:val="28"/>
          <w:szCs w:val="28"/>
        </w:rPr>
        <w:t>台，加强对城乡公交宏观调控和统一监管，进一步规范城乡公交市场秩序。</w:t>
      </w:r>
      <w:r>
        <w:rPr>
          <w:rFonts w:ascii="仿宋" w:hAnsi="仿宋" w:eastAsia="仿宋" w:cs="仿宋"/>
          <w:spacing w:val="-2"/>
          <w:sz w:val="28"/>
          <w:szCs w:val="28"/>
        </w:rPr>
        <w:t>建立统一的运行监测与应急指挥中心，实现网络监控与应急处置体系的集中</w:t>
      </w:r>
      <w:r>
        <w:rPr>
          <w:rFonts w:ascii="仿宋" w:hAnsi="仿宋" w:eastAsia="仿宋" w:cs="仿宋"/>
          <w:sz w:val="28"/>
          <w:szCs w:val="28"/>
        </w:rPr>
        <w:t>与统一，实现网络运营信息的汇集共享及多种交</w:t>
      </w:r>
      <w:r>
        <w:rPr>
          <w:rFonts w:ascii="仿宋" w:hAnsi="仿宋" w:eastAsia="仿宋" w:cs="仿宋"/>
          <w:spacing w:val="-1"/>
          <w:sz w:val="28"/>
          <w:szCs w:val="28"/>
        </w:rPr>
        <w:t>通信息及时准确互通。</w:t>
      </w:r>
    </w:p>
    <w:p w14:paraId="00F33347">
      <w:pPr>
        <w:spacing w:before="4" w:line="342" w:lineRule="auto"/>
        <w:ind w:left="7" w:firstLine="593"/>
        <w:jc w:val="both"/>
        <w:rPr>
          <w:rFonts w:ascii="仿宋" w:hAnsi="仿宋" w:eastAsia="仿宋" w:cs="仿宋"/>
          <w:sz w:val="28"/>
          <w:szCs w:val="28"/>
        </w:rPr>
      </w:pPr>
      <w:r>
        <w:rPr>
          <w:rFonts w:ascii="仿宋" w:hAnsi="仿宋" w:eastAsia="仿宋" w:cs="仿宋"/>
          <w:b/>
          <w:bCs/>
          <w:spacing w:val="14"/>
          <w:sz w:val="28"/>
          <w:szCs w:val="28"/>
        </w:rPr>
        <w:t>深化推进出租车行业转型升级发展。</w:t>
      </w:r>
      <w:r>
        <w:rPr>
          <w:rFonts w:ascii="仿宋" w:hAnsi="仿宋" w:eastAsia="仿宋" w:cs="仿宋"/>
          <w:spacing w:val="14"/>
          <w:sz w:val="28"/>
          <w:szCs w:val="28"/>
        </w:rPr>
        <w:t>加大运力规模，新增巡游出租</w:t>
      </w:r>
      <w:r>
        <w:rPr>
          <w:rFonts w:ascii="仿宋" w:hAnsi="仿宋" w:eastAsia="仿宋" w:cs="仿宋"/>
          <w:spacing w:val="16"/>
          <w:sz w:val="28"/>
          <w:szCs w:val="28"/>
        </w:rPr>
        <w:t>汽车经营权通过服务质量招投标进行配置。逐</w:t>
      </w:r>
      <w:r>
        <w:rPr>
          <w:rFonts w:ascii="仿宋" w:hAnsi="仿宋" w:eastAsia="仿宋" w:cs="仿宋"/>
          <w:spacing w:val="15"/>
          <w:sz w:val="28"/>
          <w:szCs w:val="28"/>
        </w:rPr>
        <w:t>步改革现有承包体制，合</w:t>
      </w:r>
      <w:r>
        <w:rPr>
          <w:rFonts w:ascii="仿宋" w:hAnsi="仿宋" w:eastAsia="仿宋" w:cs="仿宋"/>
          <w:spacing w:val="16"/>
          <w:sz w:val="28"/>
          <w:szCs w:val="28"/>
        </w:rPr>
        <w:t>理协调企业和经营者在效益分配和风险承担中</w:t>
      </w:r>
      <w:r>
        <w:rPr>
          <w:rFonts w:ascii="仿宋" w:hAnsi="仿宋" w:eastAsia="仿宋" w:cs="仿宋"/>
          <w:spacing w:val="15"/>
          <w:sz w:val="28"/>
          <w:szCs w:val="28"/>
        </w:rPr>
        <w:t>的关系。鼓励巡游车经营</w:t>
      </w:r>
      <w:r>
        <w:rPr>
          <w:rFonts w:ascii="仿宋" w:hAnsi="仿宋" w:eastAsia="仿宋" w:cs="仿宋"/>
          <w:spacing w:val="16"/>
          <w:sz w:val="28"/>
          <w:szCs w:val="28"/>
        </w:rPr>
        <w:t>者通过兼并、重组、吸收入股等方式，按照现</w:t>
      </w:r>
      <w:r>
        <w:rPr>
          <w:rFonts w:ascii="仿宋" w:hAnsi="仿宋" w:eastAsia="仿宋" w:cs="仿宋"/>
          <w:spacing w:val="15"/>
          <w:sz w:val="28"/>
          <w:szCs w:val="28"/>
        </w:rPr>
        <w:t>代企业制度实行公司化经营，实现新老业态融合发展。鼓励巡游车企业转型提供网约车服务。鼓</w:t>
      </w:r>
      <w:r>
        <w:rPr>
          <w:rFonts w:ascii="仿宋" w:hAnsi="仿宋" w:eastAsia="仿宋" w:cs="仿宋"/>
          <w:spacing w:val="16"/>
          <w:sz w:val="28"/>
          <w:szCs w:val="28"/>
        </w:rPr>
        <w:t>励和引导巡游车通过电信、互联网等电召服务</w:t>
      </w:r>
      <w:r>
        <w:rPr>
          <w:rFonts w:ascii="仿宋" w:hAnsi="仿宋" w:eastAsia="仿宋" w:cs="仿宋"/>
          <w:spacing w:val="15"/>
          <w:sz w:val="28"/>
          <w:szCs w:val="28"/>
        </w:rPr>
        <w:t>方式提供运营服务，方便</w:t>
      </w:r>
      <w:r>
        <w:rPr>
          <w:rFonts w:ascii="仿宋" w:hAnsi="仿宋" w:eastAsia="仿宋" w:cs="仿宋"/>
          <w:spacing w:val="16"/>
          <w:sz w:val="28"/>
          <w:szCs w:val="28"/>
        </w:rPr>
        <w:t>公众乘车。加强对经营权的动态监管，严厉打</w:t>
      </w:r>
      <w:r>
        <w:rPr>
          <w:rFonts w:ascii="仿宋" w:hAnsi="仿宋" w:eastAsia="仿宋" w:cs="仿宋"/>
          <w:spacing w:val="15"/>
          <w:sz w:val="28"/>
          <w:szCs w:val="28"/>
        </w:rPr>
        <w:t>击擅自转让、倒卖出租汽</w:t>
      </w:r>
      <w:r>
        <w:rPr>
          <w:rFonts w:ascii="仿宋" w:hAnsi="仿宋" w:eastAsia="仿宋" w:cs="仿宋"/>
          <w:spacing w:val="13"/>
          <w:sz w:val="28"/>
          <w:szCs w:val="28"/>
        </w:rPr>
        <w:t>车客运经营权行为。</w:t>
      </w:r>
      <w:r>
        <w:rPr>
          <w:rFonts w:ascii="仿宋" w:hAnsi="仿宋" w:eastAsia="仿宋" w:cs="仿宋"/>
          <w:spacing w:val="-60"/>
          <w:sz w:val="28"/>
          <w:szCs w:val="28"/>
        </w:rPr>
        <w:t xml:space="preserve"> </w:t>
      </w:r>
      <w:r>
        <w:rPr>
          <w:rFonts w:ascii="仿宋" w:hAnsi="仿宋" w:eastAsia="仿宋" w:cs="仿宋"/>
          <w:spacing w:val="13"/>
          <w:sz w:val="28"/>
          <w:szCs w:val="28"/>
        </w:rPr>
        <w:t>统筹规划将巡游出租车综合服务区、停靠点、候客</w:t>
      </w:r>
      <w:r>
        <w:rPr>
          <w:rFonts w:ascii="仿宋" w:hAnsi="仿宋" w:eastAsia="仿宋" w:cs="仿宋"/>
          <w:spacing w:val="16"/>
          <w:sz w:val="28"/>
          <w:szCs w:val="28"/>
        </w:rPr>
        <w:t>泊位等服务设施纳入城市总体规划及城市公共</w:t>
      </w:r>
      <w:r>
        <w:rPr>
          <w:rFonts w:ascii="仿宋" w:hAnsi="仿宋" w:eastAsia="仿宋" w:cs="仿宋"/>
          <w:spacing w:val="15"/>
          <w:sz w:val="28"/>
          <w:szCs w:val="28"/>
        </w:rPr>
        <w:t>交通专项规划，并适时对</w:t>
      </w:r>
      <w:r>
        <w:rPr>
          <w:rFonts w:ascii="仿宋" w:hAnsi="仿宋" w:eastAsia="仿宋" w:cs="仿宋"/>
          <w:spacing w:val="16"/>
          <w:sz w:val="28"/>
          <w:szCs w:val="28"/>
        </w:rPr>
        <w:t>现有站点进行改扩建；在城市规划建设过程中</w:t>
      </w:r>
      <w:r>
        <w:rPr>
          <w:rFonts w:ascii="仿宋" w:hAnsi="仿宋" w:eastAsia="仿宋" w:cs="仿宋"/>
          <w:spacing w:val="15"/>
          <w:sz w:val="28"/>
          <w:szCs w:val="28"/>
        </w:rPr>
        <w:t>，将巡游出租车相关场站</w:t>
      </w:r>
      <w:r>
        <w:rPr>
          <w:rFonts w:ascii="仿宋" w:hAnsi="仿宋" w:eastAsia="仿宋" w:cs="仿宋"/>
          <w:spacing w:val="12"/>
          <w:sz w:val="28"/>
          <w:szCs w:val="28"/>
        </w:rPr>
        <w:t>设施纳入，实施同步规划、</w:t>
      </w:r>
      <w:r>
        <w:rPr>
          <w:rFonts w:ascii="仿宋" w:hAnsi="仿宋" w:eastAsia="仿宋" w:cs="仿宋"/>
          <w:spacing w:val="-78"/>
          <w:sz w:val="28"/>
          <w:szCs w:val="28"/>
        </w:rPr>
        <w:t xml:space="preserve"> </w:t>
      </w:r>
      <w:r>
        <w:rPr>
          <w:rFonts w:ascii="仿宋" w:hAnsi="仿宋" w:eastAsia="仿宋" w:cs="仿宋"/>
          <w:spacing w:val="12"/>
          <w:sz w:val="28"/>
          <w:szCs w:val="28"/>
        </w:rPr>
        <w:t>同步施工、</w:t>
      </w:r>
      <w:r>
        <w:rPr>
          <w:rFonts w:ascii="仿宋" w:hAnsi="仿宋" w:eastAsia="仿宋" w:cs="仿宋"/>
          <w:spacing w:val="-77"/>
          <w:sz w:val="28"/>
          <w:szCs w:val="28"/>
        </w:rPr>
        <w:t xml:space="preserve"> </w:t>
      </w:r>
      <w:r>
        <w:rPr>
          <w:rFonts w:ascii="仿宋" w:hAnsi="仿宋" w:eastAsia="仿宋" w:cs="仿宋"/>
          <w:spacing w:val="12"/>
          <w:sz w:val="28"/>
          <w:szCs w:val="28"/>
        </w:rPr>
        <w:t>同步</w:t>
      </w:r>
      <w:r>
        <w:rPr>
          <w:rFonts w:ascii="仿宋" w:hAnsi="仿宋" w:eastAsia="仿宋" w:cs="仿宋"/>
          <w:spacing w:val="11"/>
          <w:sz w:val="28"/>
          <w:szCs w:val="28"/>
        </w:rPr>
        <w:t>验收。推广《道路运输经营</w:t>
      </w:r>
      <w:r>
        <w:rPr>
          <w:rFonts w:ascii="仿宋" w:hAnsi="仿宋" w:eastAsia="仿宋" w:cs="仿宋"/>
          <w:spacing w:val="4"/>
          <w:sz w:val="28"/>
          <w:szCs w:val="28"/>
        </w:rPr>
        <w:t>许可证》</w:t>
      </w:r>
      <w:r>
        <w:rPr>
          <w:rFonts w:ascii="仿宋" w:hAnsi="仿宋" w:eastAsia="仿宋" w:cs="仿宋"/>
          <w:spacing w:val="-84"/>
          <w:sz w:val="28"/>
          <w:szCs w:val="28"/>
        </w:rPr>
        <w:t xml:space="preserve"> </w:t>
      </w:r>
      <w:r>
        <w:rPr>
          <w:rFonts w:ascii="仿宋" w:hAnsi="仿宋" w:eastAsia="仿宋" w:cs="仿宋"/>
          <w:spacing w:val="4"/>
          <w:sz w:val="28"/>
          <w:szCs w:val="28"/>
        </w:rPr>
        <w:t>、《道路运输证》</w:t>
      </w:r>
      <w:r>
        <w:rPr>
          <w:rFonts w:ascii="仿宋" w:hAnsi="仿宋" w:eastAsia="仿宋" w:cs="仿宋"/>
          <w:spacing w:val="-84"/>
          <w:sz w:val="28"/>
          <w:szCs w:val="28"/>
        </w:rPr>
        <w:t xml:space="preserve"> </w:t>
      </w:r>
      <w:r>
        <w:rPr>
          <w:rFonts w:ascii="仿宋" w:hAnsi="仿宋" w:eastAsia="仿宋" w:cs="仿宋"/>
          <w:spacing w:val="4"/>
          <w:sz w:val="28"/>
          <w:szCs w:val="28"/>
        </w:rPr>
        <w:t>、《从业资格证》</w:t>
      </w:r>
      <w:r>
        <w:rPr>
          <w:rFonts w:ascii="仿宋" w:hAnsi="仿宋" w:eastAsia="仿宋" w:cs="仿宋"/>
          <w:spacing w:val="-74"/>
          <w:sz w:val="28"/>
          <w:szCs w:val="28"/>
        </w:rPr>
        <w:t xml:space="preserve"> </w:t>
      </w:r>
      <w:r>
        <w:rPr>
          <w:rFonts w:ascii="仿宋" w:hAnsi="仿宋" w:eastAsia="仿宋" w:cs="仿宋"/>
          <w:spacing w:val="3"/>
          <w:sz w:val="28"/>
          <w:szCs w:val="28"/>
        </w:rPr>
        <w:t>电子证照，提高监管能力；</w:t>
      </w:r>
      <w:r>
        <w:rPr>
          <w:rFonts w:ascii="仿宋" w:hAnsi="仿宋" w:eastAsia="仿宋" w:cs="仿宋"/>
          <w:spacing w:val="9"/>
          <w:sz w:val="28"/>
          <w:szCs w:val="28"/>
        </w:rPr>
        <w:t>更新出租汽车卫星定位系统，利用先进的信息技术，提高运营调度效率。</w:t>
      </w:r>
      <w:r>
        <w:rPr>
          <w:rFonts w:ascii="仿宋" w:hAnsi="仿宋" w:eastAsia="仿宋" w:cs="仿宋"/>
          <w:spacing w:val="16"/>
          <w:sz w:val="28"/>
          <w:szCs w:val="28"/>
        </w:rPr>
        <w:t>完善巡游出租汽车营运服务质量信誉考核机制</w:t>
      </w:r>
      <w:r>
        <w:rPr>
          <w:rFonts w:ascii="仿宋" w:hAnsi="仿宋" w:eastAsia="仿宋" w:cs="仿宋"/>
          <w:spacing w:val="15"/>
          <w:sz w:val="28"/>
          <w:szCs w:val="28"/>
        </w:rPr>
        <w:t>；鼓励巡游出租汽车经营</w:t>
      </w:r>
      <w:r>
        <w:rPr>
          <w:rFonts w:ascii="仿宋" w:hAnsi="仿宋" w:eastAsia="仿宋" w:cs="仿宋"/>
          <w:spacing w:val="16"/>
          <w:sz w:val="28"/>
          <w:szCs w:val="28"/>
        </w:rPr>
        <w:t>者加强品牌建设，主动公开服务标准和质量承</w:t>
      </w:r>
      <w:r>
        <w:rPr>
          <w:rFonts w:ascii="仿宋" w:hAnsi="仿宋" w:eastAsia="仿宋" w:cs="仿宋"/>
          <w:spacing w:val="15"/>
          <w:sz w:val="28"/>
          <w:szCs w:val="28"/>
        </w:rPr>
        <w:t>诺，开展安全、诚信、优</w:t>
      </w:r>
      <w:r>
        <w:rPr>
          <w:rFonts w:ascii="仿宋" w:hAnsi="仿宋" w:eastAsia="仿宋" w:cs="仿宋"/>
          <w:spacing w:val="10"/>
          <w:sz w:val="28"/>
          <w:szCs w:val="28"/>
        </w:rPr>
        <w:t>质服务创建活动，加强服务质量管理，提供高品质服务。</w:t>
      </w: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37674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719" w:type="dxa"/>
            <w:vAlign w:val="top"/>
          </w:tcPr>
          <w:p w14:paraId="4C75D516">
            <w:pPr>
              <w:pStyle w:val="6"/>
              <w:spacing w:before="138" w:line="228" w:lineRule="auto"/>
              <w:ind w:left="2534"/>
              <w:rPr>
                <w:rFonts w:ascii="宋体" w:hAnsi="宋体" w:eastAsia="宋体" w:cs="宋体"/>
              </w:rPr>
            </w:pPr>
            <w:r>
              <w:rPr>
                <w:rFonts w:ascii="宋体" w:hAnsi="宋体" w:eastAsia="宋体" w:cs="宋体"/>
                <w:b/>
                <w:bCs/>
                <w:spacing w:val="11"/>
              </w:rPr>
              <w:t>专栏</w:t>
            </w:r>
            <w:r>
              <w:rPr>
                <w:rFonts w:ascii="宋体" w:hAnsi="宋体" w:eastAsia="宋体" w:cs="宋体"/>
                <w:spacing w:val="-24"/>
              </w:rPr>
              <w:t xml:space="preserve"> </w:t>
            </w:r>
            <w:r>
              <w:rPr>
                <w:b/>
                <w:bCs/>
                <w:spacing w:val="11"/>
              </w:rPr>
              <w:t xml:space="preserve">7    </w:t>
            </w:r>
            <w:r>
              <w:rPr>
                <w:rFonts w:ascii="宋体" w:hAnsi="宋体" w:eastAsia="宋体" w:cs="宋体"/>
                <w:b/>
                <w:bCs/>
                <w:spacing w:val="11"/>
              </w:rPr>
              <w:t>“十四五</w:t>
            </w:r>
            <w:r>
              <w:rPr>
                <w:rFonts w:ascii="宋体" w:hAnsi="宋体" w:eastAsia="宋体" w:cs="宋体"/>
                <w:spacing w:val="-62"/>
              </w:rPr>
              <w:t xml:space="preserve"> </w:t>
            </w:r>
            <w:r>
              <w:rPr>
                <w:rFonts w:ascii="宋体" w:hAnsi="宋体" w:eastAsia="宋体" w:cs="宋体"/>
                <w:b/>
                <w:bCs/>
                <w:spacing w:val="11"/>
              </w:rPr>
              <w:t>”期间客运服务发展重点</w:t>
            </w:r>
          </w:p>
        </w:tc>
      </w:tr>
      <w:tr w14:paraId="196F1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7" w:hRule="atLeast"/>
        </w:trPr>
        <w:tc>
          <w:tcPr>
            <w:tcW w:w="8719" w:type="dxa"/>
            <w:vAlign w:val="top"/>
          </w:tcPr>
          <w:p w14:paraId="2F983971">
            <w:pPr>
              <w:pStyle w:val="6"/>
              <w:spacing w:before="103" w:line="274" w:lineRule="exact"/>
              <w:ind w:left="568"/>
              <w:rPr>
                <w:rFonts w:ascii="宋体" w:hAnsi="宋体" w:eastAsia="宋体" w:cs="宋体"/>
              </w:rPr>
            </w:pPr>
            <w:r>
              <w:rPr>
                <w:spacing w:val="12"/>
                <w:position w:val="1"/>
              </w:rPr>
              <w:t xml:space="preserve">1.  </w:t>
            </w:r>
            <w:r>
              <w:rPr>
                <w:rFonts w:ascii="宋体" w:hAnsi="宋体" w:eastAsia="宋体" w:cs="宋体"/>
                <w:spacing w:val="12"/>
                <w:position w:val="1"/>
              </w:rPr>
              <w:t>旅客联程运输专项行动</w:t>
            </w:r>
          </w:p>
          <w:p w14:paraId="3C348355">
            <w:pPr>
              <w:spacing w:before="242" w:line="351" w:lineRule="auto"/>
              <w:ind w:left="114" w:right="115" w:firstLine="438"/>
              <w:rPr>
                <w:rFonts w:ascii="宋体" w:hAnsi="宋体" w:eastAsia="宋体" w:cs="宋体"/>
                <w:sz w:val="20"/>
                <w:szCs w:val="20"/>
              </w:rPr>
            </w:pPr>
            <w:r>
              <w:rPr>
                <w:rFonts w:ascii="宋体" w:hAnsi="宋体" w:eastAsia="宋体" w:cs="宋体"/>
                <w:spacing w:val="17"/>
                <w:sz w:val="20"/>
                <w:szCs w:val="20"/>
              </w:rPr>
              <w:t>开展高铁无轨站、城市候机服务再升级、行李联程托运、联网售票等专业化服务，鼓励不同运输方式企业共享运输线路、站场、信息等资源，合作开展联运业务。</w:t>
            </w:r>
          </w:p>
          <w:p w14:paraId="7C40AD9A">
            <w:pPr>
              <w:pStyle w:val="6"/>
              <w:spacing w:line="274" w:lineRule="exact"/>
              <w:ind w:left="531"/>
              <w:rPr>
                <w:rFonts w:ascii="宋体" w:hAnsi="宋体" w:eastAsia="宋体" w:cs="宋体"/>
              </w:rPr>
            </w:pPr>
            <w:r>
              <w:rPr>
                <w:spacing w:val="13"/>
                <w:position w:val="1"/>
              </w:rPr>
              <w:t xml:space="preserve">2.  </w:t>
            </w:r>
            <w:r>
              <w:rPr>
                <w:rFonts w:ascii="宋体" w:hAnsi="宋体" w:eastAsia="宋体" w:cs="宋体"/>
                <w:spacing w:val="13"/>
                <w:position w:val="1"/>
              </w:rPr>
              <w:t>道路客运转型升级行动</w:t>
            </w:r>
          </w:p>
          <w:p w14:paraId="74796D82">
            <w:pPr>
              <w:spacing w:before="241" w:line="305" w:lineRule="auto"/>
              <w:ind w:left="114" w:right="115" w:firstLine="439"/>
              <w:rPr>
                <w:rFonts w:ascii="宋体" w:hAnsi="宋体" w:eastAsia="宋体" w:cs="宋体"/>
                <w:sz w:val="20"/>
                <w:szCs w:val="20"/>
              </w:rPr>
            </w:pPr>
            <w:r>
              <w:rPr>
                <w:rFonts w:ascii="宋体" w:hAnsi="宋体" w:eastAsia="宋体" w:cs="宋体"/>
                <w:spacing w:val="15"/>
                <w:sz w:val="20"/>
                <w:szCs w:val="20"/>
              </w:rPr>
              <w:t>组织编制《曲靖市“十四五</w:t>
            </w:r>
            <w:r>
              <w:rPr>
                <w:rFonts w:ascii="宋体" w:hAnsi="宋体" w:eastAsia="宋体" w:cs="宋体"/>
                <w:spacing w:val="-63"/>
                <w:sz w:val="20"/>
                <w:szCs w:val="20"/>
              </w:rPr>
              <w:t xml:space="preserve"> </w:t>
            </w:r>
            <w:r>
              <w:rPr>
                <w:rFonts w:ascii="宋体" w:hAnsi="宋体" w:eastAsia="宋体" w:cs="宋体"/>
                <w:spacing w:val="15"/>
                <w:sz w:val="20"/>
                <w:szCs w:val="20"/>
              </w:rPr>
              <w:t>”道路旅客运输发展规划》</w:t>
            </w:r>
            <w:r>
              <w:rPr>
                <w:rFonts w:ascii="宋体" w:hAnsi="宋体" w:eastAsia="宋体" w:cs="宋体"/>
                <w:spacing w:val="-46"/>
                <w:sz w:val="20"/>
                <w:szCs w:val="20"/>
              </w:rPr>
              <w:t xml:space="preserve"> </w:t>
            </w:r>
            <w:r>
              <w:rPr>
                <w:rFonts w:ascii="宋体" w:hAnsi="宋体" w:eastAsia="宋体" w:cs="宋体"/>
                <w:spacing w:val="15"/>
                <w:sz w:val="20"/>
                <w:szCs w:val="20"/>
              </w:rPr>
              <w:t>。探索研究更加开放</w:t>
            </w:r>
            <w:r>
              <w:rPr>
                <w:rFonts w:ascii="宋体" w:hAnsi="宋体" w:eastAsia="宋体" w:cs="宋体"/>
                <w:spacing w:val="14"/>
                <w:sz w:val="20"/>
                <w:szCs w:val="20"/>
              </w:rPr>
              <w:t>的定制客</w:t>
            </w:r>
            <w:r>
              <w:rPr>
                <w:rFonts w:ascii="宋体" w:hAnsi="宋体" w:eastAsia="宋体" w:cs="宋体"/>
                <w:spacing w:val="17"/>
                <w:sz w:val="20"/>
                <w:szCs w:val="20"/>
              </w:rPr>
              <w:t>运政策，鼓励和规范道路客运定制服务，开展道路客运定制服务品牌创建活动，进一步推</w:t>
            </w:r>
          </w:p>
        </w:tc>
      </w:tr>
    </w:tbl>
    <w:p w14:paraId="7E0630E9">
      <w:pPr>
        <w:pStyle w:val="2"/>
      </w:pPr>
    </w:p>
    <w:p w14:paraId="0BF7CBA0">
      <w:pPr>
        <w:sectPr>
          <w:headerReference r:id="rId89" w:type="default"/>
          <w:footerReference r:id="rId90" w:type="default"/>
          <w:pgSz w:w="11906" w:h="16839"/>
          <w:pgMar w:top="1222" w:right="1508" w:bottom="1156" w:left="1134" w:header="885" w:footer="920" w:gutter="0"/>
          <w:cols w:space="720" w:num="1"/>
        </w:sectPr>
      </w:pPr>
    </w:p>
    <w:p w14:paraId="449815EC">
      <w:pPr>
        <w:spacing w:line="194" w:lineRule="exact"/>
      </w:pPr>
    </w:p>
    <w:tbl>
      <w:tblPr>
        <w:tblStyle w:val="5"/>
        <w:tblW w:w="8719" w:type="dxa"/>
        <w:tblInd w:w="23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19"/>
      </w:tblGrid>
      <w:tr w14:paraId="5166258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286" w:hRule="atLeast"/>
        </w:trPr>
        <w:tc>
          <w:tcPr>
            <w:tcW w:w="8719" w:type="dxa"/>
            <w:vAlign w:val="top"/>
          </w:tcPr>
          <w:p w14:paraId="67699CC4">
            <w:pPr>
              <w:spacing w:before="144" w:line="370" w:lineRule="auto"/>
              <w:ind w:left="118" w:right="115" w:hanging="2"/>
              <w:rPr>
                <w:rFonts w:ascii="宋体" w:hAnsi="宋体" w:eastAsia="宋体" w:cs="宋体"/>
                <w:sz w:val="20"/>
                <w:szCs w:val="20"/>
              </w:rPr>
            </w:pPr>
            <w:r>
              <w:rPr>
                <w:rFonts w:ascii="宋体" w:hAnsi="宋体" w:eastAsia="宋体" w:cs="宋体"/>
                <w:spacing w:val="16"/>
                <w:sz w:val="20"/>
                <w:szCs w:val="20"/>
              </w:rPr>
              <w:t>动中短途道路客运班线定制化、柔性化发展</w:t>
            </w:r>
            <w:r>
              <w:rPr>
                <w:rFonts w:ascii="宋体" w:hAnsi="宋体" w:eastAsia="宋体" w:cs="宋体"/>
                <w:spacing w:val="-43"/>
                <w:sz w:val="20"/>
                <w:szCs w:val="20"/>
              </w:rPr>
              <w:t xml:space="preserve"> </w:t>
            </w:r>
            <w:r>
              <w:rPr>
                <w:rFonts w:ascii="宋体" w:hAnsi="宋体" w:eastAsia="宋体" w:cs="宋体"/>
                <w:spacing w:val="16"/>
                <w:sz w:val="20"/>
                <w:szCs w:val="20"/>
              </w:rPr>
              <w:t>。鼓励汽车客运站在保障运输服务基本功能的</w:t>
            </w:r>
            <w:r>
              <w:rPr>
                <w:rFonts w:ascii="宋体" w:hAnsi="宋体" w:eastAsia="宋体" w:cs="宋体"/>
                <w:spacing w:val="17"/>
                <w:sz w:val="20"/>
                <w:szCs w:val="20"/>
              </w:rPr>
              <w:t>前提下开展综合开发利用，拓展客运站商贸、旅</w:t>
            </w:r>
            <w:r>
              <w:rPr>
                <w:rFonts w:ascii="宋体" w:hAnsi="宋体" w:eastAsia="宋体" w:cs="宋体"/>
                <w:spacing w:val="16"/>
                <w:sz w:val="20"/>
                <w:szCs w:val="20"/>
              </w:rPr>
              <w:t>游、物流等服务功能。</w:t>
            </w:r>
          </w:p>
          <w:p w14:paraId="7AAF4153">
            <w:pPr>
              <w:spacing w:before="1" w:line="357" w:lineRule="auto"/>
              <w:ind w:left="115" w:right="115" w:firstLine="439"/>
              <w:jc w:val="both"/>
              <w:rPr>
                <w:rFonts w:ascii="宋体" w:hAnsi="宋体" w:eastAsia="宋体" w:cs="宋体"/>
                <w:sz w:val="20"/>
                <w:szCs w:val="20"/>
              </w:rPr>
            </w:pPr>
            <w:r>
              <w:rPr>
                <w:rFonts w:ascii="宋体" w:hAnsi="宋体" w:eastAsia="宋体" w:cs="宋体"/>
                <w:spacing w:val="17"/>
                <w:sz w:val="20"/>
                <w:szCs w:val="20"/>
              </w:rPr>
              <w:t>持续巩固拓展具备条件的乡镇和建制村通客运班车成果。推广经济、安全的农村客运适用车型，鼓励使用新能源车辆。探索“一点</w:t>
            </w:r>
            <w:r>
              <w:rPr>
                <w:rFonts w:ascii="宋体" w:hAnsi="宋体" w:eastAsia="宋体" w:cs="宋体"/>
                <w:spacing w:val="16"/>
                <w:sz w:val="20"/>
                <w:szCs w:val="20"/>
              </w:rPr>
              <w:t>多能、一网多用、深度融合</w:t>
            </w:r>
            <w:r>
              <w:rPr>
                <w:rFonts w:ascii="宋体" w:hAnsi="宋体" w:eastAsia="宋体" w:cs="宋体"/>
                <w:spacing w:val="-62"/>
                <w:sz w:val="20"/>
                <w:szCs w:val="20"/>
              </w:rPr>
              <w:t xml:space="preserve"> </w:t>
            </w:r>
            <w:r>
              <w:rPr>
                <w:rFonts w:ascii="宋体" w:hAnsi="宋体" w:eastAsia="宋体" w:cs="宋体"/>
                <w:spacing w:val="16"/>
                <w:sz w:val="20"/>
                <w:szCs w:val="20"/>
              </w:rPr>
              <w:t>”的农村客运发</w:t>
            </w:r>
            <w:r>
              <w:rPr>
                <w:rFonts w:ascii="宋体" w:hAnsi="宋体" w:eastAsia="宋体" w:cs="宋体"/>
                <w:spacing w:val="10"/>
                <w:sz w:val="20"/>
                <w:szCs w:val="20"/>
              </w:rPr>
              <w:t>展新模式。</w:t>
            </w:r>
          </w:p>
          <w:p w14:paraId="00A9E78B">
            <w:pPr>
              <w:pStyle w:val="6"/>
              <w:spacing w:line="274" w:lineRule="exact"/>
              <w:ind w:left="535"/>
              <w:rPr>
                <w:rFonts w:ascii="宋体" w:hAnsi="宋体" w:eastAsia="宋体" w:cs="宋体"/>
              </w:rPr>
            </w:pPr>
            <w:r>
              <w:rPr>
                <w:spacing w:val="12"/>
                <w:position w:val="1"/>
              </w:rPr>
              <w:t>3.</w:t>
            </w:r>
            <w:r>
              <w:rPr>
                <w:spacing w:val="17"/>
                <w:position w:val="1"/>
              </w:rPr>
              <w:t xml:space="preserve">  </w:t>
            </w:r>
            <w:r>
              <w:rPr>
                <w:rFonts w:ascii="宋体" w:hAnsi="宋体" w:eastAsia="宋体" w:cs="宋体"/>
                <w:spacing w:val="12"/>
                <w:position w:val="1"/>
              </w:rPr>
              <w:t>公交优先促进行动</w:t>
            </w:r>
          </w:p>
          <w:p w14:paraId="2361A94D">
            <w:pPr>
              <w:spacing w:before="241" w:line="301" w:lineRule="auto"/>
              <w:ind w:left="119" w:right="115" w:firstLine="432"/>
              <w:rPr>
                <w:rFonts w:ascii="宋体" w:hAnsi="宋体" w:eastAsia="宋体" w:cs="宋体"/>
                <w:sz w:val="20"/>
                <w:szCs w:val="20"/>
              </w:rPr>
            </w:pPr>
            <w:r>
              <w:rPr>
                <w:rFonts w:ascii="宋体" w:hAnsi="宋体" w:eastAsia="宋体" w:cs="宋体"/>
                <w:spacing w:val="17"/>
                <w:sz w:val="20"/>
                <w:szCs w:val="20"/>
              </w:rPr>
              <w:t>深入实施公交优先发展战略，倡导以公共交通为导向的发展模式，大力提升城市公共</w:t>
            </w:r>
            <w:r>
              <w:rPr>
                <w:rFonts w:ascii="宋体" w:hAnsi="宋体" w:eastAsia="宋体" w:cs="宋体"/>
                <w:spacing w:val="12"/>
                <w:sz w:val="20"/>
                <w:szCs w:val="20"/>
              </w:rPr>
              <w:t>交通服务品质。</w:t>
            </w:r>
          </w:p>
        </w:tc>
      </w:tr>
    </w:tbl>
    <w:p w14:paraId="6143B972">
      <w:pPr>
        <w:pStyle w:val="2"/>
        <w:spacing w:line="354" w:lineRule="auto"/>
      </w:pPr>
    </w:p>
    <w:p w14:paraId="3594DC62">
      <w:pPr>
        <w:spacing w:before="91" w:line="214" w:lineRule="auto"/>
        <w:ind w:left="569"/>
        <w:outlineLvl w:val="1"/>
        <w:rPr>
          <w:rFonts w:ascii="黑体" w:hAnsi="黑体" w:eastAsia="黑体" w:cs="黑体"/>
          <w:sz w:val="28"/>
          <w:szCs w:val="28"/>
        </w:rPr>
      </w:pPr>
      <w:bookmarkStart w:id="41" w:name="bookmark34"/>
      <w:bookmarkEnd w:id="41"/>
      <w:r>
        <w:rPr>
          <w:rFonts w:ascii="黑体" w:hAnsi="黑体" w:eastAsia="黑体" w:cs="黑体"/>
          <w:spacing w:val="-1"/>
          <w:sz w:val="28"/>
          <w:szCs w:val="28"/>
        </w:rPr>
        <w:t>2. 打造绿色高效物流系统，提升货运服务水平</w:t>
      </w:r>
    </w:p>
    <w:p w14:paraId="6DFFFAB2">
      <w:pPr>
        <w:spacing w:before="296" w:line="343" w:lineRule="auto"/>
        <w:ind w:left="9" w:right="74" w:firstLine="566"/>
        <w:jc w:val="both"/>
        <w:rPr>
          <w:rFonts w:ascii="仿宋" w:hAnsi="仿宋" w:eastAsia="仿宋" w:cs="仿宋"/>
          <w:sz w:val="28"/>
          <w:szCs w:val="28"/>
        </w:rPr>
      </w:pPr>
      <w:r>
        <w:rPr>
          <w:rFonts w:ascii="仿宋" w:hAnsi="仿宋" w:eastAsia="仿宋" w:cs="仿宋"/>
          <w:b/>
          <w:bCs/>
          <w:spacing w:val="-3"/>
          <w:sz w:val="28"/>
          <w:szCs w:val="28"/>
        </w:rPr>
        <w:t>持续推进多式联运发展。</w:t>
      </w:r>
      <w:r>
        <w:rPr>
          <w:rFonts w:ascii="仿宋" w:hAnsi="仿宋" w:eastAsia="仿宋" w:cs="仿宋"/>
          <w:spacing w:val="-3"/>
          <w:sz w:val="28"/>
          <w:szCs w:val="28"/>
        </w:rPr>
        <w:t>推动公铁、陆空等多式联运发</w:t>
      </w:r>
      <w:r>
        <w:rPr>
          <w:rFonts w:ascii="仿宋" w:hAnsi="仿宋" w:eastAsia="仿宋" w:cs="仿宋"/>
          <w:spacing w:val="-4"/>
          <w:sz w:val="28"/>
          <w:szCs w:val="28"/>
        </w:rPr>
        <w:t>展，加快多式联</w:t>
      </w:r>
      <w:r>
        <w:rPr>
          <w:rFonts w:ascii="仿宋" w:hAnsi="仿宋" w:eastAsia="仿宋" w:cs="仿宋"/>
          <w:spacing w:val="-2"/>
          <w:sz w:val="28"/>
          <w:szCs w:val="28"/>
        </w:rPr>
        <w:t>运信息共享，推动不同运输方式标准规则衔接，推动曲靖市生产服务型国家物流枢纽和珠江源商贸服务型物流枢纽多式联运示范工程，打造一批集装箱公铁联运枢纽。推广跨方式快速换装转运标准化设施设备，推广应用集装箱多式联运电子化统一单证。推广应用货运电子运单，加快发展“一单制”联运服务模式，提升多式联运服务水平。加强单证信息交换共享，实现“一单制”物流全程可监测、可追溯。积极落实运价调整机制，发挥市场配置资源的决定性作用，进一步提高铁路货物运输市场竞争力。加快铁路专用线等建</w:t>
      </w:r>
      <w:r>
        <w:rPr>
          <w:rFonts w:ascii="仿宋" w:hAnsi="仿宋" w:eastAsia="仿宋" w:cs="仿宋"/>
          <w:spacing w:val="-3"/>
          <w:sz w:val="28"/>
          <w:szCs w:val="28"/>
        </w:rPr>
        <w:t>设，推动大宗货物和中长途货物</w:t>
      </w:r>
      <w:r>
        <w:rPr>
          <w:rFonts w:ascii="仿宋" w:hAnsi="仿宋" w:eastAsia="仿宋" w:cs="仿宋"/>
          <w:spacing w:val="-90"/>
          <w:sz w:val="28"/>
          <w:szCs w:val="28"/>
        </w:rPr>
        <w:t xml:space="preserve"> </w:t>
      </w:r>
      <w:r>
        <w:rPr>
          <w:rFonts w:ascii="仿宋" w:hAnsi="仿宋" w:eastAsia="仿宋" w:cs="仿宋"/>
          <w:spacing w:val="-3"/>
          <w:sz w:val="28"/>
          <w:szCs w:val="28"/>
        </w:rPr>
        <w:t>“公转铁”。</w:t>
      </w:r>
    </w:p>
    <w:p w14:paraId="461740BD">
      <w:pPr>
        <w:spacing w:before="7" w:line="338" w:lineRule="auto"/>
        <w:ind w:left="2" w:right="2" w:firstLine="569"/>
        <w:jc w:val="both"/>
        <w:rPr>
          <w:rFonts w:ascii="仿宋" w:hAnsi="仿宋" w:eastAsia="仿宋" w:cs="仿宋"/>
          <w:sz w:val="28"/>
          <w:szCs w:val="28"/>
        </w:rPr>
      </w:pPr>
      <w:r>
        <w:rPr>
          <w:rFonts w:ascii="仿宋" w:hAnsi="仿宋" w:eastAsia="仿宋" w:cs="仿宋"/>
          <w:b/>
          <w:bCs/>
          <w:spacing w:val="-3"/>
          <w:sz w:val="28"/>
          <w:szCs w:val="28"/>
        </w:rPr>
        <w:t>加强城市物流配送体系。</w:t>
      </w:r>
      <w:r>
        <w:rPr>
          <w:rFonts w:ascii="仿宋" w:hAnsi="仿宋" w:eastAsia="仿宋" w:cs="仿宋"/>
          <w:spacing w:val="-3"/>
          <w:sz w:val="28"/>
          <w:szCs w:val="28"/>
        </w:rPr>
        <w:t>统筹货运枢纽（物流园区）、城</w:t>
      </w:r>
      <w:r>
        <w:rPr>
          <w:rFonts w:ascii="仿宋" w:hAnsi="仿宋" w:eastAsia="仿宋" w:cs="仿宋"/>
          <w:spacing w:val="-4"/>
          <w:sz w:val="28"/>
          <w:szCs w:val="28"/>
        </w:rPr>
        <w:t>市配送网络节</w:t>
      </w:r>
      <w:r>
        <w:rPr>
          <w:rFonts w:ascii="仿宋" w:hAnsi="仿宋" w:eastAsia="仿宋" w:cs="仿宋"/>
          <w:spacing w:val="-2"/>
          <w:sz w:val="28"/>
          <w:szCs w:val="28"/>
        </w:rPr>
        <w:t>点规划建设，完善配送车辆停靠装卸配套设施。加快建设城市绿色货运配送体系，鼓励发展统一配送、集中配送、夜间配送等集约化组织模式，推动城</w:t>
      </w:r>
      <w:r>
        <w:rPr>
          <w:rFonts w:ascii="仿宋" w:hAnsi="仿宋" w:eastAsia="仿宋" w:cs="仿宋"/>
          <w:spacing w:val="-8"/>
          <w:sz w:val="28"/>
          <w:szCs w:val="28"/>
        </w:rPr>
        <w:t>市配送车辆标准化、专业化、清洁化发展。鼓励支持物流园区实现共同配送，</w:t>
      </w:r>
      <w:r>
        <w:rPr>
          <w:rFonts w:ascii="仿宋" w:hAnsi="仿宋" w:eastAsia="仿宋" w:cs="仿宋"/>
          <w:sz w:val="28"/>
          <w:szCs w:val="28"/>
        </w:rPr>
        <w:t>形成跨行业的城市配送网络，促进城市配送向更高效、更快捷的方向</w:t>
      </w:r>
      <w:r>
        <w:rPr>
          <w:rFonts w:ascii="仿宋" w:hAnsi="仿宋" w:eastAsia="仿宋" w:cs="仿宋"/>
          <w:spacing w:val="-1"/>
          <w:sz w:val="28"/>
          <w:szCs w:val="28"/>
        </w:rPr>
        <w:t>发展。</w:t>
      </w:r>
    </w:p>
    <w:p w14:paraId="0A8F1D11">
      <w:pPr>
        <w:spacing w:before="3" w:line="339" w:lineRule="auto"/>
        <w:ind w:left="12" w:right="74" w:firstLine="557"/>
        <w:jc w:val="both"/>
        <w:rPr>
          <w:rFonts w:ascii="仿宋" w:hAnsi="仿宋" w:eastAsia="仿宋" w:cs="仿宋"/>
          <w:sz w:val="28"/>
          <w:szCs w:val="28"/>
        </w:rPr>
      </w:pPr>
      <w:r>
        <w:rPr>
          <w:rFonts w:ascii="仿宋" w:hAnsi="仿宋" w:eastAsia="仿宋" w:cs="仿宋"/>
          <w:b/>
          <w:bCs/>
          <w:spacing w:val="-3"/>
          <w:sz w:val="28"/>
          <w:szCs w:val="28"/>
        </w:rPr>
        <w:t>提升农村物流服务水平。</w:t>
      </w:r>
      <w:r>
        <w:rPr>
          <w:rFonts w:ascii="仿宋" w:hAnsi="仿宋" w:eastAsia="仿宋" w:cs="仿宋"/>
          <w:spacing w:val="-3"/>
          <w:sz w:val="28"/>
          <w:szCs w:val="28"/>
        </w:rPr>
        <w:t>推动既有客货运输站场、邮政服务站点、公路</w:t>
      </w:r>
      <w:r>
        <w:rPr>
          <w:rFonts w:ascii="仿宋" w:hAnsi="仿宋" w:eastAsia="仿宋" w:cs="仿宋"/>
          <w:spacing w:val="-2"/>
          <w:sz w:val="28"/>
          <w:szCs w:val="28"/>
        </w:rPr>
        <w:t>养护设施、运输管理资源、电商快递网络、农村供销等资源整合、功能升级和综合开发利用，提高存量资源利用效率和一体化服务水平，按照“多站合一、资源共享”的模式，构建以县域物流配送中心、乡镇配送节点、村</w:t>
      </w:r>
      <w:r>
        <w:rPr>
          <w:rFonts w:ascii="仿宋" w:hAnsi="仿宋" w:eastAsia="仿宋" w:cs="仿宋"/>
          <w:spacing w:val="-3"/>
          <w:sz w:val="28"/>
          <w:szCs w:val="28"/>
        </w:rPr>
        <w:t>级公</w:t>
      </w:r>
    </w:p>
    <w:p w14:paraId="5C841449">
      <w:pPr>
        <w:spacing w:line="339" w:lineRule="auto"/>
        <w:rPr>
          <w:rFonts w:ascii="仿宋" w:hAnsi="仿宋" w:eastAsia="仿宋" w:cs="仿宋"/>
          <w:sz w:val="28"/>
          <w:szCs w:val="28"/>
        </w:rPr>
        <w:sectPr>
          <w:headerReference r:id="rId91" w:type="default"/>
          <w:footerReference r:id="rId92" w:type="default"/>
          <w:pgSz w:w="11906" w:h="16839"/>
          <w:pgMar w:top="1222" w:right="1054" w:bottom="1156" w:left="1587" w:header="885" w:footer="920" w:gutter="0"/>
          <w:cols w:space="720" w:num="1"/>
        </w:sectPr>
      </w:pPr>
    </w:p>
    <w:p w14:paraId="02D2D7FC">
      <w:pPr>
        <w:pStyle w:val="2"/>
        <w:spacing w:line="272" w:lineRule="auto"/>
      </w:pPr>
    </w:p>
    <w:p w14:paraId="003318EA">
      <w:pPr>
        <w:spacing w:before="91" w:line="339" w:lineRule="auto"/>
        <w:ind w:left="9" w:right="276" w:firstLine="3"/>
        <w:jc w:val="both"/>
        <w:rPr>
          <w:rFonts w:ascii="仿宋" w:hAnsi="仿宋" w:eastAsia="仿宋" w:cs="仿宋"/>
          <w:sz w:val="28"/>
          <w:szCs w:val="28"/>
        </w:rPr>
      </w:pPr>
      <w:r>
        <w:rPr>
          <w:rFonts w:ascii="仿宋" w:hAnsi="仿宋" w:eastAsia="仿宋" w:cs="仿宋"/>
          <w:spacing w:val="-2"/>
          <w:sz w:val="28"/>
          <w:szCs w:val="28"/>
        </w:rPr>
        <w:t>共服务点为支撑的三级农村配送网络节点体系。推进“快递进村”，巩</w:t>
      </w:r>
      <w:r>
        <w:rPr>
          <w:rFonts w:ascii="仿宋" w:hAnsi="仿宋" w:eastAsia="仿宋" w:cs="仿宋"/>
          <w:spacing w:val="-3"/>
          <w:sz w:val="28"/>
          <w:szCs w:val="28"/>
        </w:rPr>
        <w:t>固行</w:t>
      </w:r>
      <w:r>
        <w:rPr>
          <w:rFonts w:ascii="仿宋" w:hAnsi="仿宋" w:eastAsia="仿宋" w:cs="仿宋"/>
          <w:spacing w:val="-2"/>
          <w:sz w:val="28"/>
          <w:szCs w:val="28"/>
        </w:rPr>
        <w:t>政村通邮成果；推动建立“种植基地+生产加工+商贸流通+物流运输+邮政金融服务”一体化农村物流服务体系，推动农村物流、电商快递、农资配送等</w:t>
      </w:r>
      <w:r>
        <w:rPr>
          <w:rFonts w:ascii="仿宋" w:hAnsi="仿宋" w:eastAsia="仿宋" w:cs="仿宋"/>
          <w:spacing w:val="-3"/>
          <w:sz w:val="28"/>
          <w:szCs w:val="28"/>
        </w:rPr>
        <w:t>有机结合，实现线上线下有效对接，搭建</w:t>
      </w:r>
      <w:r>
        <w:rPr>
          <w:rFonts w:ascii="仿宋" w:hAnsi="仿宋" w:eastAsia="仿宋" w:cs="仿宋"/>
          <w:spacing w:val="-101"/>
          <w:sz w:val="28"/>
          <w:szCs w:val="28"/>
        </w:rPr>
        <w:t xml:space="preserve"> </w:t>
      </w:r>
      <w:r>
        <w:rPr>
          <w:rFonts w:ascii="仿宋" w:hAnsi="仿宋" w:eastAsia="仿宋" w:cs="仿宋"/>
          <w:spacing w:val="-3"/>
          <w:sz w:val="28"/>
          <w:szCs w:val="28"/>
        </w:rPr>
        <w:t>“农产品进城”“工业品下乡”双</w:t>
      </w:r>
      <w:r>
        <w:rPr>
          <w:rFonts w:ascii="仿宋" w:hAnsi="仿宋" w:eastAsia="仿宋" w:cs="仿宋"/>
          <w:spacing w:val="-2"/>
          <w:sz w:val="28"/>
          <w:szCs w:val="28"/>
        </w:rPr>
        <w:t>向流通网络，助力乡村振兴。推广农村货运班线、农村客运班车利用货仓承</w:t>
      </w:r>
      <w:r>
        <w:rPr>
          <w:rFonts w:ascii="仿宋" w:hAnsi="仿宋" w:eastAsia="仿宋" w:cs="仿宋"/>
          <w:spacing w:val="-1"/>
          <w:sz w:val="28"/>
          <w:szCs w:val="28"/>
        </w:rPr>
        <w:t>接小件快运等农村物流服务模式，降低流通成本。</w:t>
      </w:r>
    </w:p>
    <w:p w14:paraId="232271DC">
      <w:pPr>
        <w:spacing w:line="343" w:lineRule="auto"/>
        <w:ind w:left="9" w:right="291" w:firstLine="585"/>
        <w:jc w:val="both"/>
        <w:rPr>
          <w:rFonts w:ascii="仿宋" w:hAnsi="仿宋" w:eastAsia="仿宋" w:cs="仿宋"/>
          <w:sz w:val="28"/>
          <w:szCs w:val="28"/>
        </w:rPr>
      </w:pPr>
      <w:r>
        <w:rPr>
          <w:rFonts w:ascii="仿宋" w:hAnsi="仿宋" w:eastAsia="仿宋" w:cs="仿宋"/>
          <w:b/>
          <w:bCs/>
          <w:spacing w:val="14"/>
          <w:sz w:val="28"/>
          <w:szCs w:val="28"/>
        </w:rPr>
        <w:t>加快道路货运行业转型升级。</w:t>
      </w:r>
      <w:r>
        <w:rPr>
          <w:rFonts w:ascii="仿宋" w:hAnsi="仿宋" w:eastAsia="仿宋" w:cs="仿宋"/>
          <w:spacing w:val="14"/>
          <w:sz w:val="28"/>
          <w:szCs w:val="28"/>
        </w:rPr>
        <w:t>推广甩挂运输，创新货车租赁、挂车</w:t>
      </w:r>
      <w:r>
        <w:rPr>
          <w:rFonts w:ascii="仿宋" w:hAnsi="仿宋" w:eastAsia="仿宋" w:cs="仿宋"/>
          <w:spacing w:val="13"/>
          <w:sz w:val="28"/>
          <w:szCs w:val="28"/>
        </w:rPr>
        <w:t>共享等新模式，培育规模化、集约化、</w:t>
      </w:r>
      <w:r>
        <w:rPr>
          <w:rFonts w:ascii="仿宋" w:hAnsi="仿宋" w:eastAsia="仿宋" w:cs="仿宋"/>
          <w:spacing w:val="-63"/>
          <w:sz w:val="28"/>
          <w:szCs w:val="28"/>
        </w:rPr>
        <w:t xml:space="preserve"> </w:t>
      </w:r>
      <w:r>
        <w:rPr>
          <w:rFonts w:ascii="仿宋" w:hAnsi="仿宋" w:eastAsia="仿宋" w:cs="仿宋"/>
          <w:spacing w:val="13"/>
          <w:sz w:val="28"/>
          <w:szCs w:val="28"/>
        </w:rPr>
        <w:t>网络化道路货运企业，推动货运</w:t>
      </w:r>
      <w:r>
        <w:rPr>
          <w:rFonts w:ascii="仿宋" w:hAnsi="仿宋" w:eastAsia="仿宋" w:cs="仿宋"/>
          <w:spacing w:val="15"/>
          <w:sz w:val="28"/>
          <w:szCs w:val="28"/>
        </w:rPr>
        <w:t>经营整合升级、提质增效，促进道路货运行业高质量发展。鼓励发展定制化服务，鼓励提供优质干线运力服务的大车队模式创新发展。鼓励专线货运企业通过自建网络或与快递、城市配送企业等合作，在现有干线</w:t>
      </w:r>
      <w:r>
        <w:rPr>
          <w:rFonts w:ascii="仿宋" w:hAnsi="仿宋" w:eastAsia="仿宋" w:cs="仿宋"/>
          <w:spacing w:val="13"/>
          <w:sz w:val="28"/>
          <w:szCs w:val="28"/>
        </w:rPr>
        <w:t>运输业务基础上逐步增加上门取（</w:t>
      </w:r>
      <w:r>
        <w:rPr>
          <w:rFonts w:ascii="仿宋" w:hAnsi="仿宋" w:eastAsia="仿宋" w:cs="仿宋"/>
          <w:spacing w:val="-63"/>
          <w:sz w:val="28"/>
          <w:szCs w:val="28"/>
        </w:rPr>
        <w:t xml:space="preserve"> </w:t>
      </w:r>
      <w:r>
        <w:rPr>
          <w:rFonts w:ascii="仿宋" w:hAnsi="仿宋" w:eastAsia="仿宋" w:cs="仿宋"/>
          <w:spacing w:val="13"/>
          <w:sz w:val="28"/>
          <w:szCs w:val="28"/>
        </w:rPr>
        <w:t>送）货业务，促进快递、快运等细分</w:t>
      </w:r>
      <w:r>
        <w:rPr>
          <w:rFonts w:ascii="仿宋" w:hAnsi="仿宋" w:eastAsia="仿宋" w:cs="仿宋"/>
          <w:spacing w:val="15"/>
          <w:sz w:val="28"/>
          <w:szCs w:val="28"/>
        </w:rPr>
        <w:t>业态融合发展。支持道路货运企业向多式联运服务商、供应链服务商等转变，提供全程运输解决方案。鼓励中小微货运企业通过资源共享、功能联合，采用市场化方式开展联盟合作，形成优势互补、业务协同的合作共同体，提高企业竞争力和市场抗风险能力。积极推动传统道路货运</w:t>
      </w:r>
      <w:r>
        <w:rPr>
          <w:rFonts w:ascii="仿宋" w:hAnsi="仿宋" w:eastAsia="仿宋" w:cs="仿宋"/>
          <w:spacing w:val="6"/>
          <w:sz w:val="28"/>
          <w:szCs w:val="28"/>
        </w:rPr>
        <w:t>行业与</w:t>
      </w:r>
      <w:r>
        <w:rPr>
          <w:rFonts w:ascii="仿宋" w:hAnsi="仿宋" w:eastAsia="仿宋" w:cs="仿宋"/>
          <w:spacing w:val="-85"/>
          <w:sz w:val="28"/>
          <w:szCs w:val="28"/>
        </w:rPr>
        <w:t xml:space="preserve"> </w:t>
      </w:r>
      <w:r>
        <w:rPr>
          <w:rFonts w:ascii="仿宋" w:hAnsi="仿宋" w:eastAsia="仿宋" w:cs="仿宋"/>
          <w:spacing w:val="6"/>
          <w:sz w:val="28"/>
          <w:szCs w:val="28"/>
        </w:rPr>
        <w:t>“</w:t>
      </w:r>
      <w:r>
        <w:rPr>
          <w:rFonts w:ascii="仿宋" w:hAnsi="仿宋" w:eastAsia="仿宋" w:cs="仿宋"/>
          <w:spacing w:val="-108"/>
          <w:sz w:val="28"/>
          <w:szCs w:val="28"/>
        </w:rPr>
        <w:t xml:space="preserve"> </w:t>
      </w:r>
      <w:r>
        <w:rPr>
          <w:rFonts w:ascii="仿宋" w:hAnsi="仿宋" w:eastAsia="仿宋" w:cs="仿宋"/>
          <w:spacing w:val="6"/>
          <w:sz w:val="28"/>
          <w:szCs w:val="28"/>
        </w:rPr>
        <w:t>互联网+”、大数据、</w:t>
      </w:r>
      <w:r>
        <w:rPr>
          <w:rFonts w:ascii="仿宋" w:hAnsi="仿宋" w:eastAsia="仿宋" w:cs="仿宋"/>
          <w:spacing w:val="-74"/>
          <w:sz w:val="28"/>
          <w:szCs w:val="28"/>
        </w:rPr>
        <w:t xml:space="preserve"> </w:t>
      </w:r>
      <w:r>
        <w:rPr>
          <w:rFonts w:ascii="仿宋" w:hAnsi="仿宋" w:eastAsia="仿宋" w:cs="仿宋"/>
          <w:spacing w:val="6"/>
          <w:sz w:val="28"/>
          <w:szCs w:val="28"/>
        </w:rPr>
        <w:t>区块链等信息技术融合发展，提高货物运输中转效率。</w:t>
      </w:r>
    </w:p>
    <w:p w14:paraId="52A9E3BC">
      <w:pPr>
        <w:tabs>
          <w:tab w:val="left" w:pos="9465"/>
        </w:tabs>
        <w:spacing w:before="9" w:line="342" w:lineRule="auto"/>
        <w:ind w:left="9" w:firstLine="558"/>
        <w:jc w:val="both"/>
        <w:rPr>
          <w:rFonts w:ascii="仿宋" w:hAnsi="仿宋" w:eastAsia="仿宋" w:cs="仿宋"/>
          <w:sz w:val="28"/>
          <w:szCs w:val="28"/>
        </w:rPr>
      </w:pPr>
      <w:r>
        <w:rPr>
          <w:rFonts w:ascii="仿宋" w:hAnsi="仿宋" w:eastAsia="仿宋" w:cs="仿宋"/>
          <w:b/>
          <w:bCs/>
          <w:spacing w:val="-3"/>
          <w:sz w:val="28"/>
          <w:szCs w:val="28"/>
        </w:rPr>
        <w:t>促进电商物流融合发展。</w:t>
      </w:r>
      <w:r>
        <w:rPr>
          <w:rFonts w:ascii="仿宋" w:hAnsi="仿宋" w:eastAsia="仿宋" w:cs="仿宋"/>
          <w:spacing w:val="-3"/>
          <w:sz w:val="28"/>
          <w:szCs w:val="28"/>
        </w:rPr>
        <w:t>深入实施邮政、快递“进厂”“进村”“出海”</w:t>
      </w:r>
      <w:r>
        <w:rPr>
          <w:rFonts w:ascii="仿宋" w:hAnsi="仿宋" w:eastAsia="仿宋" w:cs="仿宋"/>
          <w:spacing w:val="-4"/>
          <w:sz w:val="28"/>
          <w:szCs w:val="28"/>
        </w:rPr>
        <w:t>工程，鼓励</w:t>
      </w:r>
      <w:r>
        <w:rPr>
          <w:rFonts w:ascii="仿宋" w:hAnsi="仿宋" w:eastAsia="仿宋" w:cs="仿宋"/>
          <w:spacing w:val="-104"/>
          <w:sz w:val="28"/>
          <w:szCs w:val="28"/>
        </w:rPr>
        <w:t xml:space="preserve"> </w:t>
      </w:r>
      <w:r>
        <w:rPr>
          <w:rFonts w:ascii="仿宋" w:hAnsi="仿宋" w:eastAsia="仿宋" w:cs="仿宋"/>
          <w:spacing w:val="-4"/>
          <w:sz w:val="28"/>
          <w:szCs w:val="28"/>
        </w:rPr>
        <w:t>“邮快合作”“快快合作”“交快合作”</w:t>
      </w:r>
      <w:r>
        <w:rPr>
          <w:rFonts w:ascii="仿宋" w:hAnsi="仿宋" w:eastAsia="仿宋" w:cs="仿宋"/>
          <w:spacing w:val="-109"/>
          <w:sz w:val="28"/>
          <w:szCs w:val="28"/>
        </w:rPr>
        <w:t xml:space="preserve"> </w:t>
      </w:r>
      <w:r>
        <w:rPr>
          <w:rFonts w:ascii="仿宋" w:hAnsi="仿宋" w:eastAsia="仿宋" w:cs="仿宋"/>
          <w:spacing w:val="-4"/>
          <w:sz w:val="28"/>
          <w:szCs w:val="28"/>
        </w:rPr>
        <w:t>，推进寄递物流与先进</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制造业、现代农业、跨境电商融合协同，促进供应链服务、冷链快递、跨境</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寄递、即时直递发展。协同云南省，大力推动面向东盟的跨境电商发展，推</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进跨境电子商务线上公共服务平台建设，引导快递企业设置区域快件处理中</w:t>
      </w:r>
      <w:r>
        <w:rPr>
          <w:rFonts w:ascii="仿宋" w:hAnsi="仿宋" w:eastAsia="仿宋" w:cs="仿宋"/>
          <w:sz w:val="28"/>
          <w:szCs w:val="28"/>
        </w:rPr>
        <w:tab/>
      </w:r>
      <w:r>
        <w:rPr>
          <w:rFonts w:ascii="仿宋" w:hAnsi="仿宋" w:eastAsia="仿宋" w:cs="仿宋"/>
          <w:sz w:val="28"/>
          <w:szCs w:val="28"/>
        </w:rPr>
        <w:t xml:space="preserve"> </w:t>
      </w:r>
      <w:r>
        <w:rPr>
          <w:rFonts w:ascii="仿宋" w:hAnsi="仿宋" w:eastAsia="仿宋" w:cs="仿宋"/>
          <w:spacing w:val="-2"/>
          <w:sz w:val="28"/>
          <w:szCs w:val="28"/>
        </w:rPr>
        <w:t>心，培育壮大跨境电商市场主体。积极研究和探索高铁快运在电商物流中的</w:t>
      </w:r>
      <w:r>
        <w:rPr>
          <w:rFonts w:ascii="仿宋" w:hAnsi="仿宋" w:eastAsia="仿宋" w:cs="仿宋"/>
          <w:spacing w:val="1"/>
          <w:sz w:val="28"/>
          <w:szCs w:val="28"/>
        </w:rPr>
        <w:t xml:space="preserve"> </w:t>
      </w:r>
      <w:r>
        <w:rPr>
          <w:rFonts w:ascii="仿宋" w:hAnsi="仿宋" w:eastAsia="仿宋" w:cs="仿宋"/>
          <w:spacing w:val="-4"/>
          <w:sz w:val="28"/>
          <w:szCs w:val="28"/>
        </w:rPr>
        <w:t>应用。</w:t>
      </w:r>
    </w:p>
    <w:p w14:paraId="2C06627C">
      <w:pPr>
        <w:spacing w:line="344" w:lineRule="auto"/>
        <w:ind w:left="15" w:right="279" w:firstLine="582"/>
        <w:rPr>
          <w:rFonts w:ascii="仿宋" w:hAnsi="仿宋" w:eastAsia="仿宋" w:cs="仿宋"/>
          <w:sz w:val="28"/>
          <w:szCs w:val="28"/>
        </w:rPr>
      </w:pPr>
      <w:r>
        <w:rPr>
          <w:rFonts w:ascii="仿宋" w:hAnsi="仿宋" w:eastAsia="仿宋" w:cs="仿宋"/>
          <w:b/>
          <w:bCs/>
          <w:spacing w:val="-4"/>
          <w:sz w:val="28"/>
          <w:szCs w:val="28"/>
        </w:rPr>
        <w:t>引导冷链物流体系健康发展。</w:t>
      </w:r>
      <w:r>
        <w:rPr>
          <w:rFonts w:ascii="仿宋" w:hAnsi="仿宋" w:eastAsia="仿宋" w:cs="仿宋"/>
          <w:spacing w:val="-4"/>
          <w:sz w:val="28"/>
          <w:szCs w:val="28"/>
        </w:rPr>
        <w:t>依托曲靖高原特色农产品等资</w:t>
      </w:r>
      <w:r>
        <w:rPr>
          <w:rFonts w:ascii="仿宋" w:hAnsi="仿宋" w:eastAsia="仿宋" w:cs="仿宋"/>
          <w:spacing w:val="-5"/>
          <w:sz w:val="28"/>
          <w:szCs w:val="28"/>
        </w:rPr>
        <w:t>源优势，大</w:t>
      </w:r>
      <w:r>
        <w:rPr>
          <w:rFonts w:ascii="仿宋" w:hAnsi="仿宋" w:eastAsia="仿宋" w:cs="仿宋"/>
          <w:sz w:val="28"/>
          <w:szCs w:val="28"/>
        </w:rPr>
        <w:t>力发展以果蔬、食用菌、肉类品等为重点的冷链物流。</w:t>
      </w:r>
      <w:r>
        <w:rPr>
          <w:rFonts w:ascii="仿宋" w:hAnsi="仿宋" w:eastAsia="仿宋" w:cs="仿宋"/>
          <w:spacing w:val="-71"/>
          <w:sz w:val="28"/>
          <w:szCs w:val="28"/>
        </w:rPr>
        <w:t xml:space="preserve"> </w:t>
      </w:r>
      <w:r>
        <w:rPr>
          <w:rFonts w:ascii="仿宋" w:hAnsi="仿宋" w:eastAsia="仿宋" w:cs="仿宋"/>
          <w:sz w:val="28"/>
          <w:szCs w:val="28"/>
        </w:rPr>
        <w:t>引导货运枢纽(物流</w:t>
      </w:r>
    </w:p>
    <w:p w14:paraId="4AFE3EB5">
      <w:pPr>
        <w:spacing w:line="344" w:lineRule="auto"/>
        <w:rPr>
          <w:rFonts w:ascii="仿宋" w:hAnsi="仿宋" w:eastAsia="仿宋" w:cs="仿宋"/>
          <w:sz w:val="28"/>
          <w:szCs w:val="28"/>
        </w:rPr>
        <w:sectPr>
          <w:headerReference r:id="rId93" w:type="default"/>
          <w:footerReference r:id="rId94" w:type="default"/>
          <w:pgSz w:w="11906" w:h="16839"/>
          <w:pgMar w:top="1222" w:right="1304" w:bottom="1156" w:left="1134" w:header="885" w:footer="920" w:gutter="0"/>
          <w:cols w:space="720" w:num="1"/>
        </w:sectPr>
      </w:pPr>
    </w:p>
    <w:p w14:paraId="4C51DD1F">
      <w:pPr>
        <w:pStyle w:val="2"/>
        <w:spacing w:line="282" w:lineRule="auto"/>
      </w:pPr>
    </w:p>
    <w:p w14:paraId="4C8D1A90">
      <w:pPr>
        <w:spacing w:before="91" w:line="340" w:lineRule="auto"/>
        <w:ind w:left="6" w:right="74" w:firstLine="29"/>
        <w:jc w:val="both"/>
        <w:rPr>
          <w:rFonts w:ascii="仿宋" w:hAnsi="仿宋" w:eastAsia="仿宋" w:cs="仿宋"/>
          <w:sz w:val="28"/>
          <w:szCs w:val="28"/>
        </w:rPr>
      </w:pPr>
      <w:r>
        <w:rPr>
          <w:rFonts w:ascii="仿宋" w:hAnsi="仿宋" w:eastAsia="仿宋" w:cs="仿宋"/>
          <w:spacing w:val="1"/>
          <w:sz w:val="28"/>
          <w:szCs w:val="28"/>
        </w:rPr>
        <w:t>园区)完善冷链物流服务功能，增强产地预冷、冷链运输、保鲜储存、低温</w:t>
      </w:r>
      <w:r>
        <w:rPr>
          <w:rFonts w:ascii="仿宋" w:hAnsi="仿宋" w:eastAsia="仿宋" w:cs="仿宋"/>
          <w:spacing w:val="-2"/>
          <w:sz w:val="28"/>
          <w:szCs w:val="28"/>
        </w:rPr>
        <w:t>加工能力。提升冷链物流设施装备水平，大力发展多温区冷链运输车、蓄冷保温箱、联运冷藏集装箱等新型冷链物流装备，为高原特色农产品、医药、海鲜等产品提供冷链运输保障。加快各类查验、保鲜、预冷、冷藏、冷冻、</w:t>
      </w:r>
      <w:r>
        <w:rPr>
          <w:rFonts w:ascii="仿宋" w:hAnsi="仿宋" w:eastAsia="仿宋" w:cs="仿宋"/>
          <w:spacing w:val="-1"/>
          <w:sz w:val="28"/>
          <w:szCs w:val="28"/>
        </w:rPr>
        <w:t>运输等冷链物流设施建设，提升冷链运输服务能力。</w:t>
      </w: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0C515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719" w:type="dxa"/>
            <w:vAlign w:val="top"/>
          </w:tcPr>
          <w:p w14:paraId="1A1DF8F6">
            <w:pPr>
              <w:pStyle w:val="6"/>
              <w:spacing w:before="137" w:line="228" w:lineRule="auto"/>
              <w:ind w:left="2535"/>
              <w:rPr>
                <w:rFonts w:ascii="宋体" w:hAnsi="宋体" w:eastAsia="宋体" w:cs="宋体"/>
              </w:rPr>
            </w:pPr>
            <w:r>
              <w:rPr>
                <w:rFonts w:ascii="宋体" w:hAnsi="宋体" w:eastAsia="宋体" w:cs="宋体"/>
                <w:b/>
                <w:bCs/>
                <w:spacing w:val="11"/>
              </w:rPr>
              <w:t>专栏</w:t>
            </w:r>
            <w:r>
              <w:rPr>
                <w:rFonts w:ascii="宋体" w:hAnsi="宋体" w:eastAsia="宋体" w:cs="宋体"/>
                <w:spacing w:val="-28"/>
              </w:rPr>
              <w:t xml:space="preserve"> </w:t>
            </w:r>
            <w:r>
              <w:rPr>
                <w:b/>
                <w:bCs/>
                <w:spacing w:val="11"/>
              </w:rPr>
              <w:t xml:space="preserve">8    </w:t>
            </w:r>
            <w:r>
              <w:rPr>
                <w:rFonts w:ascii="宋体" w:hAnsi="宋体" w:eastAsia="宋体" w:cs="宋体"/>
                <w:b/>
                <w:bCs/>
                <w:spacing w:val="11"/>
              </w:rPr>
              <w:t>“十四五</w:t>
            </w:r>
            <w:r>
              <w:rPr>
                <w:rFonts w:ascii="宋体" w:hAnsi="宋体" w:eastAsia="宋体" w:cs="宋体"/>
                <w:spacing w:val="-61"/>
              </w:rPr>
              <w:t xml:space="preserve"> </w:t>
            </w:r>
            <w:r>
              <w:rPr>
                <w:rFonts w:ascii="宋体" w:hAnsi="宋体" w:eastAsia="宋体" w:cs="宋体"/>
                <w:b/>
                <w:bCs/>
                <w:spacing w:val="11"/>
              </w:rPr>
              <w:t>”期间货运服务发展重点</w:t>
            </w:r>
          </w:p>
        </w:tc>
      </w:tr>
      <w:tr w14:paraId="1CF11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6" w:hRule="atLeast"/>
        </w:trPr>
        <w:tc>
          <w:tcPr>
            <w:tcW w:w="8719" w:type="dxa"/>
            <w:vAlign w:val="top"/>
          </w:tcPr>
          <w:p w14:paraId="2D860E1E">
            <w:pPr>
              <w:pStyle w:val="6"/>
              <w:spacing w:before="103" w:line="274" w:lineRule="exact"/>
              <w:ind w:left="568"/>
              <w:rPr>
                <w:rFonts w:ascii="宋体" w:hAnsi="宋体" w:eastAsia="宋体" w:cs="宋体"/>
              </w:rPr>
            </w:pPr>
            <w:r>
              <w:rPr>
                <w:spacing w:val="10"/>
                <w:position w:val="1"/>
              </w:rPr>
              <w:t>1.</w:t>
            </w:r>
            <w:r>
              <w:rPr>
                <w:spacing w:val="19"/>
                <w:position w:val="1"/>
              </w:rPr>
              <w:t xml:space="preserve">  </w:t>
            </w:r>
            <w:r>
              <w:rPr>
                <w:rFonts w:ascii="宋体" w:hAnsi="宋体" w:eastAsia="宋体" w:cs="宋体"/>
                <w:spacing w:val="10"/>
                <w:position w:val="1"/>
              </w:rPr>
              <w:t>多式联运提速行动</w:t>
            </w:r>
          </w:p>
          <w:p w14:paraId="59ACF45D">
            <w:pPr>
              <w:spacing w:before="241" w:line="360" w:lineRule="auto"/>
              <w:ind w:left="114" w:right="38" w:firstLine="437"/>
              <w:rPr>
                <w:rFonts w:ascii="宋体" w:hAnsi="宋体" w:eastAsia="宋体" w:cs="宋体"/>
                <w:sz w:val="20"/>
                <w:szCs w:val="20"/>
              </w:rPr>
            </w:pPr>
            <w:r>
              <w:rPr>
                <w:rFonts w:ascii="宋体" w:hAnsi="宋体" w:eastAsia="宋体" w:cs="宋体"/>
                <w:spacing w:val="23"/>
                <w:sz w:val="20"/>
                <w:szCs w:val="20"/>
              </w:rPr>
              <w:t>推动曲靖市生产服务型国家物流枢纽和珠江源商贸服务型物流枢纽多式联运示范工</w:t>
            </w:r>
            <w:r>
              <w:rPr>
                <w:rFonts w:ascii="宋体" w:hAnsi="宋体" w:eastAsia="宋体" w:cs="宋体"/>
                <w:spacing w:val="13"/>
                <w:sz w:val="20"/>
                <w:szCs w:val="20"/>
              </w:rPr>
              <w:t>程，推动公铁多式联运发展。推广应用货运电子运单，加快发展“一单制</w:t>
            </w:r>
            <w:r>
              <w:rPr>
                <w:rFonts w:ascii="宋体" w:hAnsi="宋体" w:eastAsia="宋体" w:cs="宋体"/>
                <w:spacing w:val="-61"/>
                <w:sz w:val="20"/>
                <w:szCs w:val="20"/>
              </w:rPr>
              <w:t xml:space="preserve"> </w:t>
            </w:r>
            <w:r>
              <w:rPr>
                <w:rFonts w:ascii="宋体" w:hAnsi="宋体" w:eastAsia="宋体" w:cs="宋体"/>
                <w:spacing w:val="13"/>
                <w:sz w:val="20"/>
                <w:szCs w:val="20"/>
              </w:rPr>
              <w:t>”联运服务模式。</w:t>
            </w:r>
            <w:r>
              <w:rPr>
                <w:rFonts w:ascii="宋体" w:hAnsi="宋体" w:eastAsia="宋体" w:cs="宋体"/>
                <w:spacing w:val="18"/>
                <w:sz w:val="20"/>
                <w:szCs w:val="20"/>
              </w:rPr>
              <w:t>加快多式联运信息共享，推动不同运输方式标</w:t>
            </w:r>
            <w:r>
              <w:rPr>
                <w:rFonts w:ascii="宋体" w:hAnsi="宋体" w:eastAsia="宋体" w:cs="宋体"/>
                <w:spacing w:val="17"/>
                <w:sz w:val="20"/>
                <w:szCs w:val="20"/>
              </w:rPr>
              <w:t>准规则衔接。加快铁路专用线等建设，推动</w:t>
            </w:r>
            <w:r>
              <w:rPr>
                <w:rFonts w:ascii="宋体" w:hAnsi="宋体" w:eastAsia="宋体" w:cs="宋体"/>
                <w:spacing w:val="15"/>
                <w:sz w:val="20"/>
                <w:szCs w:val="20"/>
              </w:rPr>
              <w:t>大宗货物和中长途货物“公转铁</w:t>
            </w:r>
            <w:r>
              <w:rPr>
                <w:rFonts w:ascii="宋体" w:hAnsi="宋体" w:eastAsia="宋体" w:cs="宋体"/>
                <w:spacing w:val="-49"/>
                <w:sz w:val="20"/>
                <w:szCs w:val="20"/>
              </w:rPr>
              <w:t xml:space="preserve"> </w:t>
            </w:r>
            <w:r>
              <w:rPr>
                <w:rFonts w:ascii="宋体" w:hAnsi="宋体" w:eastAsia="宋体" w:cs="宋体"/>
                <w:spacing w:val="15"/>
                <w:sz w:val="20"/>
                <w:szCs w:val="20"/>
              </w:rPr>
              <w:t>”。</w:t>
            </w:r>
          </w:p>
          <w:p w14:paraId="04076FB5">
            <w:pPr>
              <w:pStyle w:val="6"/>
              <w:spacing w:line="274" w:lineRule="exact"/>
              <w:ind w:left="531"/>
              <w:rPr>
                <w:rFonts w:ascii="宋体" w:hAnsi="宋体" w:eastAsia="宋体" w:cs="宋体"/>
              </w:rPr>
            </w:pPr>
            <w:r>
              <w:rPr>
                <w:spacing w:val="13"/>
                <w:position w:val="1"/>
              </w:rPr>
              <w:t xml:space="preserve">2.  </w:t>
            </w:r>
            <w:r>
              <w:rPr>
                <w:rFonts w:ascii="宋体" w:hAnsi="宋体" w:eastAsia="宋体" w:cs="宋体"/>
                <w:spacing w:val="13"/>
                <w:position w:val="1"/>
              </w:rPr>
              <w:t>城乡物流提升行动行动</w:t>
            </w:r>
          </w:p>
          <w:p w14:paraId="45573F8E">
            <w:pPr>
              <w:spacing w:before="242" w:line="369" w:lineRule="auto"/>
              <w:ind w:left="113" w:right="115" w:firstLine="438"/>
              <w:rPr>
                <w:rFonts w:ascii="宋体" w:hAnsi="宋体" w:eastAsia="宋体" w:cs="宋体"/>
                <w:sz w:val="20"/>
                <w:szCs w:val="20"/>
              </w:rPr>
            </w:pPr>
            <w:r>
              <w:rPr>
                <w:rFonts w:ascii="宋体" w:hAnsi="宋体" w:eastAsia="宋体" w:cs="宋体"/>
                <w:spacing w:val="16"/>
                <w:sz w:val="20"/>
                <w:szCs w:val="20"/>
              </w:rPr>
              <w:t>推动城市配送网络节点规划建设，完善配送车辆停靠装卸配套设施</w:t>
            </w:r>
            <w:r>
              <w:rPr>
                <w:rFonts w:ascii="宋体" w:hAnsi="宋体" w:eastAsia="宋体" w:cs="宋体"/>
                <w:spacing w:val="-47"/>
                <w:sz w:val="20"/>
                <w:szCs w:val="20"/>
              </w:rPr>
              <w:t xml:space="preserve"> </w:t>
            </w:r>
            <w:r>
              <w:rPr>
                <w:rFonts w:ascii="宋体" w:hAnsi="宋体" w:eastAsia="宋体" w:cs="宋体"/>
                <w:spacing w:val="16"/>
                <w:sz w:val="20"/>
                <w:szCs w:val="20"/>
              </w:rPr>
              <w:t>。鼓励发展统一配</w:t>
            </w:r>
            <w:r>
              <w:rPr>
                <w:rFonts w:ascii="宋体" w:hAnsi="宋体" w:eastAsia="宋体" w:cs="宋体"/>
                <w:spacing w:val="18"/>
                <w:sz w:val="20"/>
                <w:szCs w:val="20"/>
              </w:rPr>
              <w:t>送、集中配送、夜间配送等集约化组织模式，</w:t>
            </w:r>
            <w:r>
              <w:rPr>
                <w:rFonts w:ascii="宋体" w:hAnsi="宋体" w:eastAsia="宋体" w:cs="宋体"/>
                <w:spacing w:val="17"/>
                <w:sz w:val="20"/>
                <w:szCs w:val="20"/>
              </w:rPr>
              <w:t>推动城市配送车辆标准化、专业化、清洁化发展。鼓励支持物流园区实现共同配送，形成跨行业的城市</w:t>
            </w:r>
            <w:r>
              <w:rPr>
                <w:rFonts w:ascii="宋体" w:hAnsi="宋体" w:eastAsia="宋体" w:cs="宋体"/>
                <w:spacing w:val="16"/>
                <w:sz w:val="20"/>
                <w:szCs w:val="20"/>
              </w:rPr>
              <w:t>配送网络。</w:t>
            </w:r>
          </w:p>
          <w:p w14:paraId="06C67525">
            <w:pPr>
              <w:pStyle w:val="6"/>
              <w:spacing w:before="2" w:line="362" w:lineRule="auto"/>
              <w:ind w:left="115" w:right="115" w:firstLine="438"/>
              <w:jc w:val="both"/>
              <w:rPr>
                <w:rFonts w:ascii="宋体" w:hAnsi="宋体" w:eastAsia="宋体" w:cs="宋体"/>
              </w:rPr>
            </w:pPr>
            <w:r>
              <w:rPr>
                <w:rFonts w:ascii="宋体" w:hAnsi="宋体" w:eastAsia="宋体" w:cs="宋体"/>
                <w:spacing w:val="16"/>
              </w:rPr>
              <w:t>按照“</w:t>
            </w:r>
            <w:r>
              <w:rPr>
                <w:rFonts w:ascii="宋体" w:hAnsi="宋体" w:eastAsia="宋体" w:cs="宋体"/>
                <w:spacing w:val="-73"/>
              </w:rPr>
              <w:t xml:space="preserve"> </w:t>
            </w:r>
            <w:r>
              <w:rPr>
                <w:rFonts w:ascii="宋体" w:hAnsi="宋体" w:eastAsia="宋体" w:cs="宋体"/>
                <w:spacing w:val="16"/>
              </w:rPr>
              <w:t>多站合一、资源共享</w:t>
            </w:r>
            <w:r>
              <w:rPr>
                <w:rFonts w:ascii="宋体" w:hAnsi="宋体" w:eastAsia="宋体" w:cs="宋体"/>
                <w:spacing w:val="-63"/>
              </w:rPr>
              <w:t xml:space="preserve"> </w:t>
            </w:r>
            <w:r>
              <w:rPr>
                <w:rFonts w:ascii="宋体" w:hAnsi="宋体" w:eastAsia="宋体" w:cs="宋体"/>
                <w:spacing w:val="16"/>
              </w:rPr>
              <w:t>”的模式，构建以县域物流</w:t>
            </w:r>
            <w:r>
              <w:rPr>
                <w:rFonts w:ascii="宋体" w:hAnsi="宋体" w:eastAsia="宋体" w:cs="宋体"/>
                <w:spacing w:val="15"/>
              </w:rPr>
              <w:t>配送中心、乡镇配送节点、村</w:t>
            </w:r>
            <w:r>
              <w:rPr>
                <w:rFonts w:ascii="宋体" w:hAnsi="宋体" w:eastAsia="宋体" w:cs="宋体"/>
                <w:spacing w:val="17"/>
              </w:rPr>
              <w:t>级公共服务点为支撑的三级农村配送网络节点</w:t>
            </w:r>
            <w:r>
              <w:rPr>
                <w:rFonts w:ascii="宋体" w:hAnsi="宋体" w:eastAsia="宋体" w:cs="宋体"/>
                <w:spacing w:val="16"/>
              </w:rPr>
              <w:t>体系。推进“快递进村</w:t>
            </w:r>
            <w:r>
              <w:rPr>
                <w:rFonts w:ascii="宋体" w:hAnsi="宋体" w:eastAsia="宋体" w:cs="宋体"/>
                <w:spacing w:val="-62"/>
              </w:rPr>
              <w:t xml:space="preserve"> </w:t>
            </w:r>
            <w:r>
              <w:rPr>
                <w:rFonts w:ascii="宋体" w:hAnsi="宋体" w:eastAsia="宋体" w:cs="宋体"/>
                <w:spacing w:val="16"/>
              </w:rPr>
              <w:t>”，巩固行政村通邮</w:t>
            </w:r>
            <w:r>
              <w:rPr>
                <w:rFonts w:ascii="宋体" w:hAnsi="宋体" w:eastAsia="宋体" w:cs="宋体"/>
                <w:spacing w:val="14"/>
              </w:rPr>
              <w:t>成果；推动建立“种植基地</w:t>
            </w:r>
            <w:r>
              <w:rPr>
                <w:spacing w:val="14"/>
              </w:rPr>
              <w:t>+</w:t>
            </w:r>
            <w:r>
              <w:rPr>
                <w:rFonts w:ascii="宋体" w:hAnsi="宋体" w:eastAsia="宋体" w:cs="宋体"/>
                <w:spacing w:val="14"/>
              </w:rPr>
              <w:t>生产加工</w:t>
            </w:r>
            <w:r>
              <w:rPr>
                <w:spacing w:val="14"/>
              </w:rPr>
              <w:t>+</w:t>
            </w:r>
            <w:r>
              <w:rPr>
                <w:rFonts w:ascii="宋体" w:hAnsi="宋体" w:eastAsia="宋体" w:cs="宋体"/>
                <w:spacing w:val="14"/>
              </w:rPr>
              <w:t>商贸流通</w:t>
            </w:r>
            <w:r>
              <w:rPr>
                <w:spacing w:val="14"/>
              </w:rPr>
              <w:t>+</w:t>
            </w:r>
            <w:r>
              <w:rPr>
                <w:rFonts w:ascii="宋体" w:hAnsi="宋体" w:eastAsia="宋体" w:cs="宋体"/>
                <w:spacing w:val="14"/>
              </w:rPr>
              <w:t>物流运输</w:t>
            </w:r>
            <w:r>
              <w:rPr>
                <w:spacing w:val="14"/>
              </w:rPr>
              <w:t>+</w:t>
            </w:r>
            <w:r>
              <w:rPr>
                <w:spacing w:val="-22"/>
              </w:rPr>
              <w:t xml:space="preserve"> </w:t>
            </w:r>
            <w:r>
              <w:rPr>
                <w:rFonts w:ascii="宋体" w:hAnsi="宋体" w:eastAsia="宋体" w:cs="宋体"/>
                <w:spacing w:val="14"/>
              </w:rPr>
              <w:t>邮政金融</w:t>
            </w:r>
            <w:r>
              <w:rPr>
                <w:rFonts w:ascii="宋体" w:hAnsi="宋体" w:eastAsia="宋体" w:cs="宋体"/>
                <w:spacing w:val="13"/>
              </w:rPr>
              <w:t>服务</w:t>
            </w:r>
            <w:r>
              <w:rPr>
                <w:rFonts w:ascii="宋体" w:hAnsi="宋体" w:eastAsia="宋体" w:cs="宋体"/>
                <w:spacing w:val="-62"/>
              </w:rPr>
              <w:t xml:space="preserve"> </w:t>
            </w:r>
            <w:r>
              <w:rPr>
                <w:rFonts w:ascii="宋体" w:hAnsi="宋体" w:eastAsia="宋体" w:cs="宋体"/>
                <w:spacing w:val="13"/>
              </w:rPr>
              <w:t>”一体化农村物</w:t>
            </w:r>
            <w:r>
              <w:rPr>
                <w:rFonts w:ascii="宋体" w:hAnsi="宋体" w:eastAsia="宋体" w:cs="宋体"/>
                <w:spacing w:val="17"/>
              </w:rPr>
              <w:t>流服务体系，助力乡村振兴。推广农村货运班线、农村客运班车利用货仓承接小件快运等</w:t>
            </w:r>
            <w:r>
              <w:rPr>
                <w:rFonts w:ascii="宋体" w:hAnsi="宋体" w:eastAsia="宋体" w:cs="宋体"/>
                <w:spacing w:val="15"/>
              </w:rPr>
              <w:t>农村物流服务模式，降低流通成本。</w:t>
            </w:r>
          </w:p>
          <w:p w14:paraId="01FEEB54">
            <w:pPr>
              <w:pStyle w:val="6"/>
              <w:spacing w:line="274" w:lineRule="exact"/>
              <w:ind w:left="535"/>
              <w:rPr>
                <w:rFonts w:ascii="宋体" w:hAnsi="宋体" w:eastAsia="宋体" w:cs="宋体"/>
              </w:rPr>
            </w:pPr>
            <w:r>
              <w:rPr>
                <w:spacing w:val="12"/>
                <w:position w:val="1"/>
              </w:rPr>
              <w:t>3.</w:t>
            </w:r>
            <w:r>
              <w:rPr>
                <w:spacing w:val="17"/>
                <w:position w:val="1"/>
              </w:rPr>
              <w:t xml:space="preserve">  </w:t>
            </w:r>
            <w:r>
              <w:rPr>
                <w:rFonts w:ascii="宋体" w:hAnsi="宋体" w:eastAsia="宋体" w:cs="宋体"/>
                <w:spacing w:val="12"/>
                <w:position w:val="1"/>
              </w:rPr>
              <w:t>道路货运转型行动</w:t>
            </w:r>
          </w:p>
          <w:p w14:paraId="3F7F66A1">
            <w:pPr>
              <w:pStyle w:val="6"/>
              <w:spacing w:before="237" w:line="336" w:lineRule="auto"/>
              <w:ind w:left="114" w:right="115" w:firstLine="437"/>
              <w:rPr>
                <w:rFonts w:ascii="宋体" w:hAnsi="宋体" w:eastAsia="宋体" w:cs="宋体"/>
              </w:rPr>
            </w:pPr>
            <w:r>
              <w:rPr>
                <w:rFonts w:ascii="宋体" w:hAnsi="宋体" w:eastAsia="宋体" w:cs="宋体"/>
                <w:spacing w:val="17"/>
              </w:rPr>
              <w:t>推广甩挂运输，创新货车租赁、挂车共享等新模式，鼓励发展定制化服务，鼓励提供</w:t>
            </w:r>
            <w:r>
              <w:rPr>
                <w:rFonts w:ascii="宋体" w:hAnsi="宋体" w:eastAsia="宋体" w:cs="宋体"/>
                <w:spacing w:val="18"/>
              </w:rPr>
              <w:t>优质干线运力服务的大车队模式创新发展，支</w:t>
            </w:r>
            <w:r>
              <w:rPr>
                <w:rFonts w:ascii="宋体" w:hAnsi="宋体" w:eastAsia="宋体" w:cs="宋体"/>
                <w:spacing w:val="17"/>
              </w:rPr>
              <w:t>持道路货运企业向多式联运服务商、供应链</w:t>
            </w:r>
            <w:r>
              <w:rPr>
                <w:rFonts w:ascii="宋体" w:hAnsi="宋体" w:eastAsia="宋体" w:cs="宋体"/>
                <w:spacing w:val="19"/>
              </w:rPr>
              <w:t>服务商等转变，鼓励中小微货运企业采用市场化方式开展联盟合作，鼓励“互联</w:t>
            </w:r>
            <w:r>
              <w:rPr>
                <w:rFonts w:ascii="宋体" w:hAnsi="宋体" w:eastAsia="宋体" w:cs="宋体"/>
                <w:spacing w:val="18"/>
              </w:rPr>
              <w:t>网</w:t>
            </w:r>
            <w:r>
              <w:rPr>
                <w:spacing w:val="18"/>
              </w:rPr>
              <w:t>+</w:t>
            </w:r>
            <w:r>
              <w:rPr>
                <w:spacing w:val="-17"/>
              </w:rPr>
              <w:t xml:space="preserve"> </w:t>
            </w:r>
            <w:r>
              <w:rPr>
                <w:rFonts w:ascii="宋体" w:hAnsi="宋体" w:eastAsia="宋体" w:cs="宋体"/>
                <w:spacing w:val="18"/>
              </w:rPr>
              <w:t>”高</w:t>
            </w:r>
            <w:r>
              <w:rPr>
                <w:rFonts w:ascii="宋体" w:hAnsi="宋体" w:eastAsia="宋体" w:cs="宋体"/>
                <w:spacing w:val="13"/>
              </w:rPr>
              <w:t>效物流业态创新。</w:t>
            </w:r>
          </w:p>
        </w:tc>
      </w:tr>
    </w:tbl>
    <w:p w14:paraId="4CC8412C">
      <w:pPr>
        <w:pStyle w:val="2"/>
        <w:spacing w:line="471" w:lineRule="auto"/>
      </w:pPr>
    </w:p>
    <w:p w14:paraId="4463602E">
      <w:pPr>
        <w:spacing w:before="91" w:line="214" w:lineRule="auto"/>
        <w:ind w:left="571"/>
        <w:outlineLvl w:val="1"/>
        <w:rPr>
          <w:rFonts w:ascii="黑体" w:hAnsi="黑体" w:eastAsia="黑体" w:cs="黑体"/>
          <w:sz w:val="28"/>
          <w:szCs w:val="28"/>
        </w:rPr>
      </w:pPr>
      <w:bookmarkStart w:id="42" w:name="bookmark68"/>
      <w:bookmarkEnd w:id="42"/>
      <w:r>
        <w:rPr>
          <w:rFonts w:ascii="黑体" w:hAnsi="黑体" w:eastAsia="黑体" w:cs="黑体"/>
          <w:spacing w:val="-1"/>
          <w:sz w:val="28"/>
          <w:szCs w:val="28"/>
        </w:rPr>
        <w:t>3. 深化建设邮政设施网络，推进服务扩容增效</w:t>
      </w:r>
    </w:p>
    <w:p w14:paraId="06D2BC90">
      <w:pPr>
        <w:spacing w:before="305" w:line="218" w:lineRule="auto"/>
        <w:ind w:left="561"/>
        <w:rPr>
          <w:rFonts w:ascii="仿宋" w:hAnsi="仿宋" w:eastAsia="仿宋" w:cs="仿宋"/>
          <w:sz w:val="28"/>
          <w:szCs w:val="28"/>
        </w:rPr>
      </w:pPr>
      <w:bookmarkStart w:id="43" w:name="bookmark35"/>
      <w:bookmarkEnd w:id="43"/>
      <w:r>
        <w:rPr>
          <w:rFonts w:ascii="仿宋" w:hAnsi="仿宋" w:eastAsia="仿宋" w:cs="仿宋"/>
          <w:b/>
          <w:bCs/>
          <w:spacing w:val="-9"/>
          <w:sz w:val="28"/>
          <w:szCs w:val="28"/>
        </w:rPr>
        <w:t>（</w:t>
      </w:r>
      <w:r>
        <w:rPr>
          <w:rFonts w:ascii="仿宋" w:hAnsi="仿宋" w:eastAsia="仿宋" w:cs="仿宋"/>
          <w:spacing w:val="-66"/>
          <w:sz w:val="28"/>
          <w:szCs w:val="28"/>
        </w:rPr>
        <w:t xml:space="preserve"> </w:t>
      </w:r>
      <w:r>
        <w:rPr>
          <w:rFonts w:ascii="仿宋" w:hAnsi="仿宋" w:eastAsia="仿宋" w:cs="仿宋"/>
          <w:b/>
          <w:bCs/>
          <w:spacing w:val="-9"/>
          <w:sz w:val="28"/>
          <w:szCs w:val="28"/>
        </w:rPr>
        <w:t>1）深化基础设施建设</w:t>
      </w:r>
    </w:p>
    <w:p w14:paraId="622B4982">
      <w:pPr>
        <w:spacing w:before="305" w:line="343" w:lineRule="auto"/>
        <w:ind w:left="15" w:right="72" w:firstLine="551"/>
        <w:rPr>
          <w:rFonts w:ascii="仿宋" w:hAnsi="仿宋" w:eastAsia="仿宋" w:cs="仿宋"/>
          <w:sz w:val="28"/>
          <w:szCs w:val="28"/>
        </w:rPr>
      </w:pPr>
      <w:r>
        <w:rPr>
          <w:rFonts w:ascii="仿宋" w:hAnsi="仿宋" w:eastAsia="仿宋" w:cs="仿宋"/>
          <w:b/>
          <w:bCs/>
          <w:spacing w:val="-3"/>
          <w:sz w:val="28"/>
          <w:szCs w:val="28"/>
        </w:rPr>
        <w:t>健全三级体系。</w:t>
      </w:r>
      <w:r>
        <w:rPr>
          <w:rFonts w:ascii="仿宋" w:hAnsi="仿宋" w:eastAsia="仿宋" w:cs="仿宋"/>
          <w:spacing w:val="-3"/>
          <w:sz w:val="28"/>
          <w:szCs w:val="28"/>
        </w:rPr>
        <w:t>健全完善以县级分拨中心、乡镇递送节点和村级公共服</w:t>
      </w:r>
      <w:r>
        <w:rPr>
          <w:rFonts w:ascii="仿宋" w:hAnsi="仿宋" w:eastAsia="仿宋" w:cs="仿宋"/>
          <w:spacing w:val="-2"/>
          <w:sz w:val="28"/>
          <w:szCs w:val="28"/>
        </w:rPr>
        <w:t>务点为支撑的农村服务网络。推进邮政、电商、快递、交通运输、供销、电</w:t>
      </w:r>
    </w:p>
    <w:p w14:paraId="49289381">
      <w:pPr>
        <w:spacing w:line="343" w:lineRule="auto"/>
        <w:rPr>
          <w:rFonts w:ascii="仿宋" w:hAnsi="仿宋" w:eastAsia="仿宋" w:cs="仿宋"/>
          <w:sz w:val="28"/>
          <w:szCs w:val="28"/>
        </w:rPr>
        <w:sectPr>
          <w:headerReference r:id="rId95" w:type="default"/>
          <w:footerReference r:id="rId96" w:type="default"/>
          <w:pgSz w:w="11906" w:h="16839"/>
          <w:pgMar w:top="1222" w:right="1054" w:bottom="1156" w:left="1587" w:header="885" w:footer="920" w:gutter="0"/>
          <w:cols w:space="720" w:num="1"/>
        </w:sectPr>
      </w:pPr>
    </w:p>
    <w:p w14:paraId="65836539">
      <w:pPr>
        <w:pStyle w:val="2"/>
        <w:spacing w:line="277" w:lineRule="auto"/>
      </w:pPr>
    </w:p>
    <w:p w14:paraId="62337A42">
      <w:pPr>
        <w:spacing w:before="91" w:line="343" w:lineRule="auto"/>
        <w:ind w:left="9" w:hanging="8"/>
        <w:jc w:val="both"/>
        <w:rPr>
          <w:rFonts w:ascii="仿宋" w:hAnsi="仿宋" w:eastAsia="仿宋" w:cs="仿宋"/>
          <w:sz w:val="28"/>
          <w:szCs w:val="28"/>
        </w:rPr>
      </w:pPr>
      <w:r>
        <w:rPr>
          <w:rFonts w:ascii="仿宋" w:hAnsi="仿宋" w:eastAsia="仿宋" w:cs="仿宋"/>
          <w:spacing w:val="-2"/>
          <w:sz w:val="28"/>
          <w:szCs w:val="28"/>
        </w:rPr>
        <w:t>信等方面的合作，打造乡镇和村级快递共配、快递超市等平台，引导企业开</w:t>
      </w:r>
      <w:r>
        <w:rPr>
          <w:rFonts w:ascii="仿宋" w:hAnsi="仿宋" w:eastAsia="仿宋" w:cs="仿宋"/>
          <w:spacing w:val="3"/>
          <w:sz w:val="28"/>
          <w:szCs w:val="28"/>
        </w:rPr>
        <w:t>展邮快合作、快快合作、快商合作等多种合作模式，加快推</w:t>
      </w:r>
      <w:r>
        <w:rPr>
          <w:rFonts w:ascii="仿宋" w:hAnsi="仿宋" w:eastAsia="仿宋" w:cs="仿宋"/>
          <w:spacing w:val="2"/>
          <w:sz w:val="28"/>
          <w:szCs w:val="28"/>
        </w:rPr>
        <w:t>进</w:t>
      </w:r>
      <w:r>
        <w:rPr>
          <w:rFonts w:ascii="仿宋" w:hAnsi="仿宋" w:eastAsia="仿宋" w:cs="仿宋"/>
          <w:spacing w:val="-102"/>
          <w:sz w:val="28"/>
          <w:szCs w:val="28"/>
        </w:rPr>
        <w:t xml:space="preserve"> </w:t>
      </w:r>
      <w:r>
        <w:rPr>
          <w:rFonts w:ascii="仿宋" w:hAnsi="仿宋" w:eastAsia="仿宋" w:cs="仿宋"/>
          <w:spacing w:val="2"/>
          <w:sz w:val="28"/>
          <w:szCs w:val="28"/>
        </w:rPr>
        <w:t>“快递进村”</w:t>
      </w:r>
      <w:r>
        <w:rPr>
          <w:rFonts w:ascii="仿宋" w:hAnsi="仿宋" w:eastAsia="仿宋" w:cs="仿宋"/>
          <w:spacing w:val="-5"/>
          <w:sz w:val="28"/>
          <w:szCs w:val="28"/>
        </w:rPr>
        <w:t>工程实施，推动“快递下乡”工程换挡升级，逐步提高乡镇快递网点覆盖率，</w:t>
      </w:r>
      <w:r>
        <w:rPr>
          <w:rFonts w:ascii="仿宋" w:hAnsi="仿宋" w:eastAsia="仿宋" w:cs="仿宋"/>
          <w:spacing w:val="-2"/>
          <w:sz w:val="28"/>
          <w:szCs w:val="28"/>
        </w:rPr>
        <w:t>推进自然村快递投递服务全覆盖。推动将乡镇配送设施纳入基本公共服务设</w:t>
      </w:r>
      <w:r>
        <w:rPr>
          <w:rFonts w:ascii="仿宋" w:hAnsi="仿宋" w:eastAsia="仿宋" w:cs="仿宋"/>
          <w:spacing w:val="-1"/>
          <w:sz w:val="28"/>
          <w:szCs w:val="28"/>
        </w:rPr>
        <w:t>施项目，推动农村电商和邮政快递的设施统建和政策共享。</w:t>
      </w:r>
    </w:p>
    <w:p w14:paraId="304221D9">
      <w:pPr>
        <w:spacing w:before="3" w:line="342" w:lineRule="auto"/>
        <w:ind w:left="18" w:right="192" w:firstLine="552"/>
        <w:jc w:val="both"/>
        <w:rPr>
          <w:rFonts w:ascii="仿宋" w:hAnsi="仿宋" w:eastAsia="仿宋" w:cs="仿宋"/>
          <w:sz w:val="28"/>
          <w:szCs w:val="28"/>
        </w:rPr>
      </w:pPr>
      <w:r>
        <w:rPr>
          <w:rFonts w:ascii="仿宋" w:hAnsi="仿宋" w:eastAsia="仿宋" w:cs="仿宋"/>
          <w:b/>
          <w:bCs/>
          <w:spacing w:val="-3"/>
          <w:sz w:val="28"/>
          <w:szCs w:val="28"/>
        </w:rPr>
        <w:t>优化网络布局。</w:t>
      </w:r>
      <w:r>
        <w:rPr>
          <w:rFonts w:ascii="仿宋" w:hAnsi="仿宋" w:eastAsia="仿宋" w:cs="仿宋"/>
          <w:spacing w:val="-3"/>
          <w:sz w:val="28"/>
          <w:szCs w:val="28"/>
        </w:rPr>
        <w:t>合理规划设施布局，优化干线网络层级，统筹规划全市</w:t>
      </w:r>
      <w:r>
        <w:rPr>
          <w:rFonts w:ascii="仿宋" w:hAnsi="仿宋" w:eastAsia="仿宋" w:cs="仿宋"/>
          <w:spacing w:val="-4"/>
          <w:sz w:val="28"/>
          <w:szCs w:val="28"/>
        </w:rPr>
        <w:t>快递园区建设体系，以规模化、集中化、信息化、</w:t>
      </w:r>
      <w:r>
        <w:rPr>
          <w:rFonts w:ascii="仿宋" w:hAnsi="仿宋" w:eastAsia="仿宋" w:cs="仿宋"/>
          <w:spacing w:val="-79"/>
          <w:sz w:val="28"/>
          <w:szCs w:val="28"/>
        </w:rPr>
        <w:t xml:space="preserve"> </w:t>
      </w:r>
      <w:r>
        <w:rPr>
          <w:rFonts w:ascii="仿宋" w:hAnsi="仿宋" w:eastAsia="仿宋" w:cs="仿宋"/>
          <w:spacing w:val="-4"/>
          <w:sz w:val="28"/>
          <w:szCs w:val="28"/>
        </w:rPr>
        <w:t>自动化、智能化、功能互</w:t>
      </w:r>
      <w:r>
        <w:rPr>
          <w:rFonts w:ascii="仿宋" w:hAnsi="仿宋" w:eastAsia="仿宋" w:cs="仿宋"/>
          <w:spacing w:val="-2"/>
          <w:sz w:val="28"/>
          <w:szCs w:val="28"/>
        </w:rPr>
        <w:t>补为导向实施新建和扩建项目。</w:t>
      </w:r>
    </w:p>
    <w:p w14:paraId="209DEC60">
      <w:pPr>
        <w:spacing w:before="5" w:line="342" w:lineRule="auto"/>
        <w:ind w:left="4" w:right="192" w:firstLine="564"/>
        <w:jc w:val="both"/>
        <w:rPr>
          <w:rFonts w:ascii="仿宋" w:hAnsi="仿宋" w:eastAsia="仿宋" w:cs="仿宋"/>
          <w:sz w:val="28"/>
          <w:szCs w:val="28"/>
        </w:rPr>
      </w:pPr>
      <w:r>
        <w:rPr>
          <w:rFonts w:ascii="仿宋" w:hAnsi="仿宋" w:eastAsia="仿宋" w:cs="仿宋"/>
          <w:b/>
          <w:bCs/>
          <w:spacing w:val="-3"/>
          <w:sz w:val="28"/>
          <w:szCs w:val="28"/>
        </w:rPr>
        <w:t>提升末端能力。</w:t>
      </w:r>
      <w:r>
        <w:rPr>
          <w:rFonts w:ascii="仿宋" w:hAnsi="仿宋" w:eastAsia="仿宋" w:cs="仿宋"/>
          <w:spacing w:val="-3"/>
          <w:sz w:val="28"/>
          <w:szCs w:val="28"/>
        </w:rPr>
        <w:t>进一步推进“快递进村”工程建设，鼓励邮政、快递企</w:t>
      </w:r>
      <w:r>
        <w:rPr>
          <w:rFonts w:ascii="仿宋" w:hAnsi="仿宋" w:eastAsia="仿宋" w:cs="仿宋"/>
          <w:spacing w:val="-2"/>
          <w:sz w:val="28"/>
          <w:szCs w:val="28"/>
        </w:rPr>
        <w:t>业在全市乡镇以下区域增设快递服务网点，探索驿站代收、联收联投、快递超市等多样化模式，积极探索推进快递公共投递服务站建设。推进智能收投终端和末端公共服务平台建设。提升人口密集区域智能快件箱的布放密度和</w:t>
      </w:r>
      <w:r>
        <w:rPr>
          <w:rFonts w:ascii="仿宋" w:hAnsi="仿宋" w:eastAsia="仿宋" w:cs="仿宋"/>
          <w:sz w:val="28"/>
          <w:szCs w:val="28"/>
        </w:rPr>
        <w:t>使用效率。协调明确智能快件箱、快递末端综合服务场</w:t>
      </w:r>
      <w:r>
        <w:rPr>
          <w:rFonts w:ascii="仿宋" w:hAnsi="仿宋" w:eastAsia="仿宋" w:cs="仿宋"/>
          <w:spacing w:val="-1"/>
          <w:sz w:val="28"/>
          <w:szCs w:val="28"/>
        </w:rPr>
        <w:t>所的公共属性。</w:t>
      </w:r>
    </w:p>
    <w:p w14:paraId="50418C97">
      <w:pPr>
        <w:spacing w:before="4" w:line="342" w:lineRule="auto"/>
        <w:ind w:left="6" w:right="190" w:firstLine="582"/>
        <w:jc w:val="both"/>
        <w:rPr>
          <w:rFonts w:ascii="仿宋" w:hAnsi="仿宋" w:eastAsia="仿宋" w:cs="仿宋"/>
          <w:sz w:val="28"/>
          <w:szCs w:val="28"/>
        </w:rPr>
      </w:pPr>
      <w:r>
        <w:rPr>
          <w:rFonts w:ascii="仿宋" w:hAnsi="仿宋" w:eastAsia="仿宋" w:cs="仿宋"/>
          <w:b/>
          <w:bCs/>
          <w:spacing w:val="-3"/>
          <w:sz w:val="28"/>
          <w:szCs w:val="28"/>
        </w:rPr>
        <w:t>强化交邮衔接。</w:t>
      </w:r>
      <w:r>
        <w:rPr>
          <w:rFonts w:ascii="仿宋" w:hAnsi="仿宋" w:eastAsia="仿宋" w:cs="仿宋"/>
          <w:spacing w:val="-3"/>
          <w:sz w:val="28"/>
          <w:szCs w:val="28"/>
        </w:rPr>
        <w:t>利用曲靖的区位和交通优势，引</w:t>
      </w:r>
      <w:r>
        <w:rPr>
          <w:rFonts w:ascii="仿宋" w:hAnsi="仿宋" w:eastAsia="仿宋" w:cs="仿宋"/>
          <w:spacing w:val="-4"/>
          <w:sz w:val="28"/>
          <w:szCs w:val="28"/>
        </w:rPr>
        <w:t>导邮政和快递企业加强</w:t>
      </w:r>
      <w:r>
        <w:rPr>
          <w:rFonts w:ascii="仿宋" w:hAnsi="仿宋" w:eastAsia="仿宋" w:cs="仿宋"/>
          <w:spacing w:val="-2"/>
          <w:sz w:val="28"/>
          <w:szCs w:val="28"/>
        </w:rPr>
        <w:t>“快件绿色通道”建设、实施“上机上铁”工程，以提升邮件、快件运输的速度。推动邮政、快递企业入驻县级客运站，拓展乡镇客运站邮政快递中转</w:t>
      </w:r>
      <w:r>
        <w:rPr>
          <w:rFonts w:ascii="仿宋" w:hAnsi="仿宋" w:eastAsia="仿宋" w:cs="仿宋"/>
          <w:spacing w:val="-1"/>
          <w:sz w:val="28"/>
          <w:szCs w:val="28"/>
        </w:rPr>
        <w:t>及收投服务功能，推广农村客运车辆代运邮件快件。</w:t>
      </w:r>
    </w:p>
    <w:p w14:paraId="6DB6D423">
      <w:pPr>
        <w:spacing w:before="3" w:line="218" w:lineRule="auto"/>
        <w:ind w:left="560"/>
        <w:rPr>
          <w:rFonts w:ascii="仿宋" w:hAnsi="仿宋" w:eastAsia="仿宋" w:cs="仿宋"/>
          <w:sz w:val="28"/>
          <w:szCs w:val="28"/>
        </w:rPr>
      </w:pPr>
      <w:r>
        <w:rPr>
          <w:rFonts w:ascii="仿宋" w:hAnsi="仿宋" w:eastAsia="仿宋" w:cs="仿宋"/>
          <w:b/>
          <w:bCs/>
          <w:spacing w:val="-8"/>
          <w:sz w:val="28"/>
          <w:szCs w:val="28"/>
        </w:rPr>
        <w:t>（</w:t>
      </w:r>
      <w:r>
        <w:rPr>
          <w:rFonts w:ascii="仿宋" w:hAnsi="仿宋" w:eastAsia="仿宋" w:cs="仿宋"/>
          <w:spacing w:val="-74"/>
          <w:sz w:val="28"/>
          <w:szCs w:val="28"/>
        </w:rPr>
        <w:t xml:space="preserve"> </w:t>
      </w:r>
      <w:r>
        <w:rPr>
          <w:rFonts w:ascii="仿宋" w:hAnsi="仿宋" w:eastAsia="仿宋" w:cs="仿宋"/>
          <w:b/>
          <w:bCs/>
          <w:spacing w:val="-8"/>
          <w:sz w:val="28"/>
          <w:szCs w:val="28"/>
        </w:rPr>
        <w:t>2）推进服务扩容增效</w:t>
      </w:r>
    </w:p>
    <w:p w14:paraId="203A0D97">
      <w:pPr>
        <w:spacing w:before="307" w:line="342" w:lineRule="auto"/>
        <w:ind w:left="13" w:right="192" w:firstLine="543"/>
        <w:jc w:val="both"/>
        <w:rPr>
          <w:rFonts w:ascii="仿宋" w:hAnsi="仿宋" w:eastAsia="仿宋" w:cs="仿宋"/>
          <w:sz w:val="28"/>
          <w:szCs w:val="28"/>
        </w:rPr>
      </w:pPr>
      <w:r>
        <w:rPr>
          <w:rFonts w:ascii="仿宋" w:hAnsi="仿宋" w:eastAsia="仿宋" w:cs="仿宋"/>
          <w:b/>
          <w:bCs/>
          <w:spacing w:val="-3"/>
          <w:sz w:val="28"/>
          <w:szCs w:val="28"/>
        </w:rPr>
        <w:t>提升城乡服务均等化水平。</w:t>
      </w:r>
      <w:r>
        <w:rPr>
          <w:rFonts w:ascii="仿宋" w:hAnsi="仿宋" w:eastAsia="仿宋" w:cs="仿宋"/>
          <w:spacing w:val="-3"/>
          <w:sz w:val="28"/>
          <w:szCs w:val="28"/>
        </w:rPr>
        <w:t>进一步提升邮政普遍服务网络的可及性和稳</w:t>
      </w:r>
      <w:r>
        <w:rPr>
          <w:rFonts w:ascii="仿宋" w:hAnsi="仿宋" w:eastAsia="仿宋" w:cs="仿宋"/>
          <w:spacing w:val="-2"/>
          <w:sz w:val="28"/>
          <w:szCs w:val="28"/>
        </w:rPr>
        <w:t>定性。重点保障农村地区邮政普遍服务水平不降低，保障边缘山区投递</w:t>
      </w:r>
      <w:r>
        <w:rPr>
          <w:rFonts w:ascii="仿宋" w:hAnsi="仿宋" w:eastAsia="仿宋" w:cs="仿宋"/>
          <w:spacing w:val="-3"/>
          <w:sz w:val="28"/>
          <w:szCs w:val="28"/>
        </w:rPr>
        <w:t>频次</w:t>
      </w:r>
      <w:r>
        <w:rPr>
          <w:rFonts w:ascii="仿宋" w:hAnsi="仿宋" w:eastAsia="仿宋" w:cs="仿宋"/>
          <w:spacing w:val="-2"/>
          <w:sz w:val="28"/>
          <w:szCs w:val="28"/>
        </w:rPr>
        <w:t>和营业时间，保障建制村“100%”通邮不间断。确保邮政普遍服务在农村通邮水平、邮件全程时限、邮件投递频次、邮件投递深度和跟踪查询等方面达到普遍服务标准。</w:t>
      </w:r>
    </w:p>
    <w:p w14:paraId="3620EF60">
      <w:pPr>
        <w:spacing w:before="2" w:line="344" w:lineRule="auto"/>
        <w:ind w:left="6" w:right="113" w:firstLine="585"/>
        <w:jc w:val="both"/>
        <w:rPr>
          <w:rFonts w:ascii="仿宋" w:hAnsi="仿宋" w:eastAsia="仿宋" w:cs="仿宋"/>
          <w:sz w:val="28"/>
          <w:szCs w:val="28"/>
        </w:rPr>
      </w:pPr>
      <w:r>
        <w:rPr>
          <w:rFonts w:ascii="仿宋" w:hAnsi="仿宋" w:eastAsia="仿宋" w:cs="仿宋"/>
          <w:b/>
          <w:bCs/>
          <w:spacing w:val="-4"/>
          <w:sz w:val="28"/>
          <w:szCs w:val="28"/>
        </w:rPr>
        <w:t>丰富行业产品服务供给。</w:t>
      </w:r>
      <w:r>
        <w:rPr>
          <w:rFonts w:ascii="仿宋" w:hAnsi="仿宋" w:eastAsia="仿宋" w:cs="仿宋"/>
          <w:spacing w:val="-4"/>
          <w:sz w:val="28"/>
          <w:szCs w:val="28"/>
        </w:rPr>
        <w:t>引导邮政、快递企业加强服务创新、提升产品</w:t>
      </w:r>
      <w:r>
        <w:rPr>
          <w:rFonts w:ascii="仿宋" w:hAnsi="仿宋" w:eastAsia="仿宋" w:cs="仿宋"/>
          <w:spacing w:val="-8"/>
          <w:sz w:val="28"/>
          <w:szCs w:val="28"/>
        </w:rPr>
        <w:t>服务供给能力，加快发展供应链物流、冷链配送、云仓、仓配一体化等服务。</w:t>
      </w:r>
      <w:r>
        <w:rPr>
          <w:rFonts w:ascii="仿宋" w:hAnsi="仿宋" w:eastAsia="仿宋" w:cs="仿宋"/>
          <w:spacing w:val="-2"/>
          <w:sz w:val="28"/>
          <w:szCs w:val="28"/>
        </w:rPr>
        <w:t>利用邮政乡镇网络，推进农村终端服务综合体系建设。推动邮政综合服务平</w:t>
      </w:r>
    </w:p>
    <w:p w14:paraId="4769589F">
      <w:pPr>
        <w:spacing w:line="344" w:lineRule="auto"/>
        <w:rPr>
          <w:rFonts w:ascii="仿宋" w:hAnsi="仿宋" w:eastAsia="仿宋" w:cs="仿宋"/>
          <w:sz w:val="28"/>
          <w:szCs w:val="28"/>
        </w:rPr>
        <w:sectPr>
          <w:headerReference r:id="rId97" w:type="default"/>
          <w:footerReference r:id="rId98" w:type="default"/>
          <w:pgSz w:w="11906" w:h="16839"/>
          <w:pgMar w:top="1222" w:right="1390" w:bottom="1156" w:left="1134" w:header="885" w:footer="920" w:gutter="0"/>
          <w:cols w:space="720" w:num="1"/>
        </w:sectPr>
      </w:pPr>
    </w:p>
    <w:p w14:paraId="559B6C0F">
      <w:pPr>
        <w:pStyle w:val="2"/>
        <w:spacing w:line="274" w:lineRule="auto"/>
      </w:pPr>
    </w:p>
    <w:p w14:paraId="0BD67056">
      <w:pPr>
        <w:spacing w:before="91" w:line="344" w:lineRule="auto"/>
        <w:ind w:left="22" w:right="77" w:firstLine="20"/>
        <w:rPr>
          <w:rFonts w:ascii="仿宋" w:hAnsi="仿宋" w:eastAsia="仿宋" w:cs="仿宋"/>
          <w:sz w:val="28"/>
          <w:szCs w:val="28"/>
        </w:rPr>
      </w:pPr>
      <w:r>
        <w:rPr>
          <w:rFonts w:ascii="仿宋" w:hAnsi="仿宋" w:eastAsia="仿宋" w:cs="仿宋"/>
          <w:spacing w:val="-1"/>
          <w:sz w:val="28"/>
          <w:szCs w:val="28"/>
        </w:rPr>
        <w:t>台建设。深化警邮合作、税邮合作、政邮合作，进</w:t>
      </w:r>
      <w:r>
        <w:rPr>
          <w:rFonts w:ascii="仿宋" w:hAnsi="仿宋" w:eastAsia="仿宋" w:cs="仿宋"/>
          <w:spacing w:val="-2"/>
          <w:sz w:val="28"/>
          <w:szCs w:val="28"/>
        </w:rPr>
        <w:t>一步推广</w:t>
      </w:r>
      <w:r>
        <w:rPr>
          <w:rFonts w:ascii="仿宋" w:hAnsi="仿宋" w:eastAsia="仿宋" w:cs="仿宋"/>
          <w:spacing w:val="-97"/>
          <w:sz w:val="28"/>
          <w:szCs w:val="28"/>
        </w:rPr>
        <w:t xml:space="preserve"> </w:t>
      </w:r>
      <w:r>
        <w:rPr>
          <w:rFonts w:ascii="仿宋" w:hAnsi="仿宋" w:eastAsia="仿宋" w:cs="仿宋"/>
          <w:spacing w:val="-2"/>
          <w:sz w:val="28"/>
          <w:szCs w:val="28"/>
        </w:rPr>
        <w:t>“</w:t>
      </w:r>
      <w:r>
        <w:rPr>
          <w:rFonts w:ascii="仿宋" w:hAnsi="仿宋" w:eastAsia="仿宋" w:cs="仿宋"/>
          <w:spacing w:val="-97"/>
          <w:sz w:val="28"/>
          <w:szCs w:val="28"/>
        </w:rPr>
        <w:t xml:space="preserve"> </w:t>
      </w:r>
      <w:r>
        <w:rPr>
          <w:rFonts w:ascii="仿宋" w:hAnsi="仿宋" w:eastAsia="仿宋" w:cs="仿宋"/>
          <w:spacing w:val="-2"/>
          <w:sz w:val="28"/>
          <w:szCs w:val="28"/>
        </w:rPr>
        <w:t>网上办事+线</w:t>
      </w:r>
      <w:r>
        <w:rPr>
          <w:rFonts w:ascii="仿宋" w:hAnsi="仿宋" w:eastAsia="仿宋" w:cs="仿宋"/>
          <w:spacing w:val="-4"/>
          <w:sz w:val="28"/>
          <w:szCs w:val="28"/>
        </w:rPr>
        <w:t>下寄递”服务模式，助力</w:t>
      </w:r>
      <w:r>
        <w:rPr>
          <w:rFonts w:ascii="仿宋" w:hAnsi="仿宋" w:eastAsia="仿宋" w:cs="仿宋"/>
          <w:spacing w:val="-86"/>
          <w:sz w:val="28"/>
          <w:szCs w:val="28"/>
        </w:rPr>
        <w:t xml:space="preserve"> </w:t>
      </w:r>
      <w:r>
        <w:rPr>
          <w:rFonts w:ascii="仿宋" w:hAnsi="仿宋" w:eastAsia="仿宋" w:cs="仿宋"/>
          <w:spacing w:val="-4"/>
          <w:sz w:val="28"/>
          <w:szCs w:val="28"/>
        </w:rPr>
        <w:t>“不见面”审批。</w:t>
      </w:r>
    </w:p>
    <w:p w14:paraId="4597E168">
      <w:pPr>
        <w:spacing w:before="1" w:line="343" w:lineRule="auto"/>
        <w:ind w:left="13" w:right="77" w:firstLine="558"/>
        <w:jc w:val="both"/>
        <w:rPr>
          <w:rFonts w:ascii="仿宋" w:hAnsi="仿宋" w:eastAsia="仿宋" w:cs="仿宋"/>
          <w:sz w:val="28"/>
          <w:szCs w:val="28"/>
        </w:rPr>
      </w:pPr>
      <w:r>
        <w:rPr>
          <w:rFonts w:ascii="仿宋" w:hAnsi="仿宋" w:eastAsia="仿宋" w:cs="仿宋"/>
          <w:b/>
          <w:bCs/>
          <w:spacing w:val="-5"/>
          <w:sz w:val="28"/>
          <w:szCs w:val="28"/>
        </w:rPr>
        <w:t>推进产业深度协同。</w:t>
      </w:r>
      <w:r>
        <w:rPr>
          <w:rFonts w:ascii="仿宋" w:hAnsi="仿宋" w:eastAsia="仿宋" w:cs="仿宋"/>
          <w:spacing w:val="-5"/>
          <w:sz w:val="28"/>
          <w:szCs w:val="28"/>
        </w:rPr>
        <w:t>融入“</w:t>
      </w:r>
      <w:r>
        <w:rPr>
          <w:rFonts w:ascii="仿宋" w:hAnsi="仿宋" w:eastAsia="仿宋" w:cs="仿宋"/>
          <w:spacing w:val="-78"/>
          <w:sz w:val="28"/>
          <w:szCs w:val="28"/>
        </w:rPr>
        <w:t xml:space="preserve"> </w:t>
      </w:r>
      <w:r>
        <w:rPr>
          <w:rFonts w:ascii="仿宋" w:hAnsi="仿宋" w:eastAsia="仿宋" w:cs="仿宋"/>
          <w:spacing w:val="-5"/>
          <w:sz w:val="28"/>
          <w:szCs w:val="28"/>
        </w:rPr>
        <w:t>乡村振兴”战略，发挥末端优势。深入推进</w:t>
      </w:r>
      <w:r>
        <w:rPr>
          <w:rFonts w:ascii="仿宋" w:hAnsi="仿宋" w:eastAsia="仿宋" w:cs="仿宋"/>
          <w:sz w:val="28"/>
          <w:szCs w:val="28"/>
        </w:rPr>
        <w:t>“邮政在乡”工程，推广</w:t>
      </w:r>
      <w:r>
        <w:rPr>
          <w:rFonts w:ascii="仿宋" w:hAnsi="仿宋" w:eastAsia="仿宋" w:cs="仿宋"/>
          <w:spacing w:val="-97"/>
          <w:sz w:val="28"/>
          <w:szCs w:val="28"/>
        </w:rPr>
        <w:t xml:space="preserve"> </w:t>
      </w:r>
      <w:r>
        <w:rPr>
          <w:rFonts w:ascii="仿宋" w:hAnsi="仿宋" w:eastAsia="仿宋" w:cs="仿宋"/>
          <w:sz w:val="28"/>
          <w:szCs w:val="28"/>
        </w:rPr>
        <w:t>“邮政快递+农村电商+农</w:t>
      </w:r>
      <w:r>
        <w:rPr>
          <w:rFonts w:ascii="仿宋" w:hAnsi="仿宋" w:eastAsia="仿宋" w:cs="仿宋"/>
          <w:spacing w:val="-1"/>
          <w:sz w:val="28"/>
          <w:szCs w:val="28"/>
        </w:rPr>
        <w:t>特产品+农户”</w:t>
      </w:r>
      <w:r>
        <w:rPr>
          <w:rFonts w:ascii="仿宋" w:hAnsi="仿宋" w:eastAsia="仿宋" w:cs="仿宋"/>
          <w:spacing w:val="-103"/>
          <w:sz w:val="28"/>
          <w:szCs w:val="28"/>
        </w:rPr>
        <w:t xml:space="preserve"> </w:t>
      </w:r>
      <w:r>
        <w:rPr>
          <w:rFonts w:ascii="仿宋" w:hAnsi="仿宋" w:eastAsia="仿宋" w:cs="仿宋"/>
          <w:spacing w:val="-1"/>
          <w:sz w:val="28"/>
          <w:szCs w:val="28"/>
        </w:rPr>
        <w:t>的产业脱</w:t>
      </w:r>
      <w:r>
        <w:rPr>
          <w:rFonts w:ascii="仿宋" w:hAnsi="仿宋" w:eastAsia="仿宋" w:cs="仿宋"/>
          <w:spacing w:val="-3"/>
          <w:sz w:val="28"/>
          <w:szCs w:val="28"/>
        </w:rPr>
        <w:t>贫模式，全面提升行业服务“</w:t>
      </w:r>
      <w:r>
        <w:rPr>
          <w:rFonts w:ascii="仿宋" w:hAnsi="仿宋" w:eastAsia="仿宋" w:cs="仿宋"/>
          <w:spacing w:val="-109"/>
          <w:sz w:val="28"/>
          <w:szCs w:val="28"/>
        </w:rPr>
        <w:t xml:space="preserve"> </w:t>
      </w:r>
      <w:r>
        <w:rPr>
          <w:rFonts w:ascii="仿宋" w:hAnsi="仿宋" w:eastAsia="仿宋" w:cs="仿宋"/>
          <w:spacing w:val="-3"/>
          <w:sz w:val="28"/>
          <w:szCs w:val="28"/>
        </w:rPr>
        <w:t>三农”能力。提供综合解决方案，结合</w:t>
      </w:r>
      <w:r>
        <w:rPr>
          <w:rFonts w:ascii="仿宋" w:hAnsi="仿宋" w:eastAsia="仿宋" w:cs="仿宋"/>
          <w:spacing w:val="-4"/>
          <w:sz w:val="28"/>
          <w:szCs w:val="28"/>
        </w:rPr>
        <w:t>曲靖高</w:t>
      </w:r>
      <w:r>
        <w:rPr>
          <w:rFonts w:ascii="仿宋" w:hAnsi="仿宋" w:eastAsia="仿宋" w:cs="仿宋"/>
          <w:spacing w:val="-2"/>
          <w:sz w:val="28"/>
          <w:szCs w:val="28"/>
        </w:rPr>
        <w:t>原特色农产品外销，对接服务个体微商、农村电商，拓宽产业链，丰富</w:t>
      </w:r>
      <w:r>
        <w:rPr>
          <w:rFonts w:ascii="仿宋" w:hAnsi="仿宋" w:eastAsia="仿宋" w:cs="仿宋"/>
          <w:spacing w:val="-3"/>
          <w:sz w:val="28"/>
          <w:szCs w:val="28"/>
        </w:rPr>
        <w:t>快递</w:t>
      </w:r>
      <w:r>
        <w:rPr>
          <w:rFonts w:ascii="仿宋" w:hAnsi="仿宋" w:eastAsia="仿宋" w:cs="仿宋"/>
          <w:spacing w:val="-2"/>
          <w:sz w:val="28"/>
          <w:szCs w:val="28"/>
        </w:rPr>
        <w:t>网络价值。加快储藏、包装、运输、冷链、物流信息、售后保障系统建</w:t>
      </w:r>
      <w:r>
        <w:rPr>
          <w:rFonts w:ascii="仿宋" w:hAnsi="仿宋" w:eastAsia="仿宋" w:cs="仿宋"/>
          <w:spacing w:val="-3"/>
          <w:sz w:val="28"/>
          <w:szCs w:val="28"/>
        </w:rPr>
        <w:t>设，</w:t>
      </w:r>
      <w:r>
        <w:rPr>
          <w:rFonts w:ascii="仿宋" w:hAnsi="仿宋" w:eastAsia="仿宋" w:cs="仿宋"/>
          <w:spacing w:val="-1"/>
          <w:sz w:val="28"/>
          <w:szCs w:val="28"/>
        </w:rPr>
        <w:t>打造中高端特色农产品直供通道。</w:t>
      </w:r>
    </w:p>
    <w:p w14:paraId="45C9F21D">
      <w:pPr>
        <w:spacing w:line="217" w:lineRule="auto"/>
        <w:ind w:left="561"/>
        <w:rPr>
          <w:rFonts w:ascii="仿宋" w:hAnsi="仿宋" w:eastAsia="仿宋" w:cs="仿宋"/>
          <w:sz w:val="28"/>
          <w:szCs w:val="28"/>
        </w:rPr>
      </w:pPr>
      <w:r>
        <w:rPr>
          <w:rFonts w:ascii="仿宋" w:hAnsi="仿宋" w:eastAsia="仿宋" w:cs="仿宋"/>
          <w:b/>
          <w:bCs/>
          <w:spacing w:val="-11"/>
          <w:sz w:val="28"/>
          <w:szCs w:val="28"/>
        </w:rPr>
        <w:t>（</w:t>
      </w:r>
      <w:r>
        <w:rPr>
          <w:rFonts w:ascii="仿宋" w:hAnsi="仿宋" w:eastAsia="仿宋" w:cs="仿宋"/>
          <w:spacing w:val="-59"/>
          <w:sz w:val="28"/>
          <w:szCs w:val="28"/>
        </w:rPr>
        <w:t xml:space="preserve"> </w:t>
      </w:r>
      <w:r>
        <w:rPr>
          <w:rFonts w:ascii="仿宋" w:hAnsi="仿宋" w:eastAsia="仿宋" w:cs="仿宋"/>
          <w:b/>
          <w:bCs/>
          <w:spacing w:val="-11"/>
          <w:sz w:val="28"/>
          <w:szCs w:val="28"/>
        </w:rPr>
        <w:t>3）推动</w:t>
      </w:r>
      <w:r>
        <w:rPr>
          <w:rFonts w:ascii="仿宋" w:hAnsi="仿宋" w:eastAsia="仿宋" w:cs="仿宋"/>
          <w:spacing w:val="-97"/>
          <w:sz w:val="28"/>
          <w:szCs w:val="28"/>
        </w:rPr>
        <w:t xml:space="preserve"> </w:t>
      </w:r>
      <w:r>
        <w:rPr>
          <w:rFonts w:ascii="仿宋" w:hAnsi="仿宋" w:eastAsia="仿宋" w:cs="仿宋"/>
          <w:b/>
          <w:bCs/>
          <w:spacing w:val="-11"/>
          <w:sz w:val="28"/>
          <w:szCs w:val="28"/>
        </w:rPr>
        <w:t>“数字+”邮政发展</w:t>
      </w:r>
    </w:p>
    <w:p w14:paraId="7CD93F68">
      <w:pPr>
        <w:spacing w:before="306" w:line="343" w:lineRule="auto"/>
        <w:ind w:left="8" w:right="77" w:firstLine="563"/>
        <w:jc w:val="both"/>
        <w:rPr>
          <w:rFonts w:ascii="仿宋" w:hAnsi="仿宋" w:eastAsia="仿宋" w:cs="仿宋"/>
          <w:sz w:val="28"/>
          <w:szCs w:val="28"/>
        </w:rPr>
      </w:pPr>
      <w:r>
        <w:rPr>
          <w:rFonts w:ascii="仿宋" w:hAnsi="仿宋" w:eastAsia="仿宋" w:cs="仿宋"/>
          <w:spacing w:val="-2"/>
          <w:sz w:val="28"/>
          <w:szCs w:val="28"/>
        </w:rPr>
        <w:t>推动行业提高信息化应用水平，逐步建立经营管理计算机信</w:t>
      </w:r>
      <w:r>
        <w:rPr>
          <w:rFonts w:ascii="仿宋" w:hAnsi="仿宋" w:eastAsia="仿宋" w:cs="仿宋"/>
          <w:spacing w:val="-3"/>
          <w:sz w:val="28"/>
          <w:szCs w:val="28"/>
        </w:rPr>
        <w:t>息系统，提</w:t>
      </w:r>
      <w:r>
        <w:rPr>
          <w:rFonts w:ascii="仿宋" w:hAnsi="仿宋" w:eastAsia="仿宋" w:cs="仿宋"/>
          <w:spacing w:val="-2"/>
          <w:sz w:val="28"/>
          <w:szCs w:val="28"/>
        </w:rPr>
        <w:t>高快件跟踪查询和信息反馈水平。引导邮政、快递企业提高机械化水平，到</w:t>
      </w:r>
      <w:r>
        <w:rPr>
          <w:rFonts w:ascii="仿宋" w:hAnsi="仿宋" w:eastAsia="仿宋" w:cs="仿宋"/>
          <w:spacing w:val="2"/>
          <w:sz w:val="28"/>
          <w:szCs w:val="28"/>
        </w:rPr>
        <w:t>规划期末，规模以上快递企业普遍采用手持终端（</w:t>
      </w:r>
      <w:r>
        <w:rPr>
          <w:rFonts w:ascii="仿宋" w:hAnsi="仿宋" w:eastAsia="仿宋" w:cs="仿宋"/>
          <w:sz w:val="28"/>
          <w:szCs w:val="28"/>
        </w:rPr>
        <w:t>PDA</w:t>
      </w:r>
      <w:r>
        <w:rPr>
          <w:rFonts w:ascii="仿宋" w:hAnsi="仿宋" w:eastAsia="仿宋" w:cs="仿宋"/>
          <w:spacing w:val="2"/>
          <w:sz w:val="28"/>
          <w:szCs w:val="28"/>
        </w:rPr>
        <w:t>）设备，提高快递转</w:t>
      </w:r>
      <w:r>
        <w:rPr>
          <w:rFonts w:ascii="仿宋" w:hAnsi="仿宋" w:eastAsia="仿宋" w:cs="仿宋"/>
          <w:spacing w:val="-2"/>
          <w:sz w:val="28"/>
          <w:szCs w:val="28"/>
        </w:rPr>
        <w:t>运中心自动传输设备和自动分拣设备的应用比例；提高快递送达的时限与频</w:t>
      </w:r>
      <w:r>
        <w:rPr>
          <w:rFonts w:ascii="仿宋" w:hAnsi="仿宋" w:eastAsia="仿宋" w:cs="仿宋"/>
          <w:spacing w:val="-3"/>
          <w:sz w:val="28"/>
          <w:szCs w:val="28"/>
        </w:rPr>
        <w:t>次，增加直发城区的快递班车，实现市、县、区城市间</w:t>
      </w:r>
      <w:r>
        <w:rPr>
          <w:rFonts w:ascii="仿宋" w:hAnsi="仿宋" w:eastAsia="仿宋" w:cs="仿宋"/>
          <w:spacing w:val="-106"/>
          <w:sz w:val="28"/>
          <w:szCs w:val="28"/>
        </w:rPr>
        <w:t xml:space="preserve"> </w:t>
      </w:r>
      <w:r>
        <w:rPr>
          <w:rFonts w:ascii="仿宋" w:hAnsi="仿宋" w:eastAsia="仿宋" w:cs="仿宋"/>
          <w:spacing w:val="-3"/>
          <w:sz w:val="28"/>
          <w:szCs w:val="28"/>
        </w:rPr>
        <w:t>“次日达”，强化企</w:t>
      </w:r>
      <w:r>
        <w:rPr>
          <w:rFonts w:ascii="仿宋" w:hAnsi="仿宋" w:eastAsia="仿宋" w:cs="仿宋"/>
          <w:spacing w:val="-2"/>
          <w:sz w:val="28"/>
          <w:szCs w:val="28"/>
        </w:rPr>
        <w:t>业揽收分拣运输投递等环节的信息化机械化标准化水平，在全市范围内打造</w:t>
      </w:r>
      <w:r>
        <w:rPr>
          <w:rFonts w:ascii="仿宋" w:hAnsi="仿宋" w:eastAsia="仿宋" w:cs="仿宋"/>
          <w:spacing w:val="-1"/>
          <w:sz w:val="28"/>
          <w:szCs w:val="28"/>
        </w:rPr>
        <w:t>标准化快递服务网点建设。</w:t>
      </w:r>
    </w:p>
    <w:p w14:paraId="39267ADF">
      <w:pPr>
        <w:spacing w:line="217" w:lineRule="auto"/>
        <w:ind w:left="561"/>
        <w:rPr>
          <w:rFonts w:ascii="仿宋" w:hAnsi="仿宋" w:eastAsia="仿宋" w:cs="仿宋"/>
          <w:sz w:val="28"/>
          <w:szCs w:val="28"/>
        </w:rPr>
      </w:pPr>
      <w:r>
        <w:rPr>
          <w:rFonts w:ascii="仿宋" w:hAnsi="仿宋" w:eastAsia="仿宋" w:cs="仿宋"/>
          <w:b/>
          <w:bCs/>
          <w:spacing w:val="-8"/>
          <w:sz w:val="28"/>
          <w:szCs w:val="28"/>
        </w:rPr>
        <w:t>（</w:t>
      </w:r>
      <w:r>
        <w:rPr>
          <w:rFonts w:ascii="仿宋" w:hAnsi="仿宋" w:eastAsia="仿宋" w:cs="仿宋"/>
          <w:spacing w:val="-77"/>
          <w:sz w:val="28"/>
          <w:szCs w:val="28"/>
        </w:rPr>
        <w:t xml:space="preserve"> </w:t>
      </w:r>
      <w:r>
        <w:rPr>
          <w:rFonts w:ascii="仿宋" w:hAnsi="仿宋" w:eastAsia="仿宋" w:cs="仿宋"/>
          <w:b/>
          <w:bCs/>
          <w:spacing w:val="-8"/>
          <w:sz w:val="28"/>
          <w:szCs w:val="28"/>
        </w:rPr>
        <w:t>4）推进绿色邮政建设</w:t>
      </w:r>
    </w:p>
    <w:p w14:paraId="54A9B2D4">
      <w:pPr>
        <w:spacing w:before="301" w:line="343" w:lineRule="auto"/>
        <w:ind w:left="8" w:right="72" w:firstLine="579"/>
        <w:jc w:val="both"/>
        <w:rPr>
          <w:rFonts w:ascii="仿宋" w:hAnsi="仿宋" w:eastAsia="仿宋" w:cs="仿宋"/>
          <w:sz w:val="28"/>
          <w:szCs w:val="28"/>
        </w:rPr>
      </w:pPr>
      <w:r>
        <w:rPr>
          <w:rFonts w:ascii="仿宋" w:hAnsi="仿宋" w:eastAsia="仿宋" w:cs="仿宋"/>
          <w:b/>
          <w:bCs/>
          <w:spacing w:val="-4"/>
          <w:sz w:val="28"/>
          <w:szCs w:val="28"/>
        </w:rPr>
        <w:t>治理邮政业环境污染。</w:t>
      </w:r>
      <w:r>
        <w:rPr>
          <w:rFonts w:ascii="仿宋" w:hAnsi="仿宋" w:eastAsia="仿宋" w:cs="仿宋"/>
          <w:spacing w:val="-4"/>
          <w:sz w:val="28"/>
          <w:szCs w:val="28"/>
        </w:rPr>
        <w:t>推进绿色邮政建设，贯彻《快递封装用品》《快</w:t>
      </w:r>
      <w:r>
        <w:rPr>
          <w:rFonts w:ascii="仿宋" w:hAnsi="仿宋" w:eastAsia="仿宋" w:cs="仿宋"/>
          <w:spacing w:val="-2"/>
          <w:sz w:val="28"/>
          <w:szCs w:val="28"/>
        </w:rPr>
        <w:t>递电子运单》等系列国家标准。鼓励企业推进邮件快件包装绿色化、减量化和可循环。推广应用循环周装袋、循环箱、共享快递和冷链保温箱。积极推</w:t>
      </w:r>
      <w:r>
        <w:rPr>
          <w:rFonts w:ascii="仿宋" w:hAnsi="仿宋" w:eastAsia="仿宋" w:cs="仿宋"/>
          <w:sz w:val="28"/>
          <w:szCs w:val="28"/>
        </w:rPr>
        <w:t>进绿色网点、绿色分拨中心建设。加强宣传引导</w:t>
      </w:r>
      <w:r>
        <w:rPr>
          <w:rFonts w:ascii="仿宋" w:hAnsi="仿宋" w:eastAsia="仿宋" w:cs="仿宋"/>
          <w:spacing w:val="-1"/>
          <w:sz w:val="28"/>
          <w:szCs w:val="28"/>
        </w:rPr>
        <w:t>，树立绿色用邮理念。</w:t>
      </w:r>
    </w:p>
    <w:p w14:paraId="2774ECB0">
      <w:pPr>
        <w:spacing w:before="3" w:line="342" w:lineRule="auto"/>
        <w:ind w:left="8" w:right="74" w:firstLine="563"/>
        <w:jc w:val="both"/>
        <w:rPr>
          <w:rFonts w:ascii="仿宋" w:hAnsi="仿宋" w:eastAsia="仿宋" w:cs="仿宋"/>
          <w:sz w:val="28"/>
          <w:szCs w:val="28"/>
        </w:rPr>
      </w:pPr>
      <w:r>
        <w:rPr>
          <w:rFonts w:ascii="仿宋" w:hAnsi="仿宋" w:eastAsia="仿宋" w:cs="仿宋"/>
          <w:b/>
          <w:bCs/>
          <w:spacing w:val="-3"/>
          <w:sz w:val="28"/>
          <w:szCs w:val="28"/>
        </w:rPr>
        <w:t>推广行业绿色运输。</w:t>
      </w:r>
      <w:r>
        <w:rPr>
          <w:rFonts w:ascii="仿宋" w:hAnsi="仿宋" w:eastAsia="仿宋" w:cs="仿宋"/>
          <w:spacing w:val="-3"/>
          <w:sz w:val="28"/>
          <w:szCs w:val="28"/>
        </w:rPr>
        <w:t>优化邮路干线网络，推进共同配送、多式联运、带</w:t>
      </w:r>
      <w:r>
        <w:rPr>
          <w:rFonts w:ascii="仿宋" w:hAnsi="仿宋" w:eastAsia="仿宋" w:cs="仿宋"/>
          <w:spacing w:val="-2"/>
          <w:sz w:val="28"/>
          <w:szCs w:val="28"/>
        </w:rPr>
        <w:t>托运输、甩挂运输等先进组织模式，提高运输效率。推动运输方式和网络运营模式创新，加大新能源汽车和清洁能源车辆的推广应用比例，推进快递货</w:t>
      </w:r>
      <w:r>
        <w:rPr>
          <w:rFonts w:ascii="仿宋" w:hAnsi="仿宋" w:eastAsia="仿宋" w:cs="仿宋"/>
          <w:spacing w:val="-1"/>
          <w:sz w:val="28"/>
          <w:szCs w:val="28"/>
        </w:rPr>
        <w:t>运车型标准化、专业化、厢式化、清洁化。</w:t>
      </w:r>
    </w:p>
    <w:p w14:paraId="315F82D5">
      <w:pPr>
        <w:spacing w:before="6" w:line="216" w:lineRule="auto"/>
        <w:ind w:left="561"/>
        <w:rPr>
          <w:rFonts w:ascii="仿宋" w:hAnsi="仿宋" w:eastAsia="仿宋" w:cs="仿宋"/>
          <w:sz w:val="28"/>
          <w:szCs w:val="28"/>
        </w:rPr>
      </w:pPr>
      <w:r>
        <w:rPr>
          <w:rFonts w:ascii="仿宋" w:hAnsi="仿宋" w:eastAsia="仿宋" w:cs="仿宋"/>
          <w:b/>
          <w:bCs/>
          <w:spacing w:val="-8"/>
          <w:sz w:val="28"/>
          <w:szCs w:val="28"/>
        </w:rPr>
        <w:t>（</w:t>
      </w:r>
      <w:r>
        <w:rPr>
          <w:rFonts w:ascii="仿宋" w:hAnsi="仿宋" w:eastAsia="仿宋" w:cs="仿宋"/>
          <w:spacing w:val="-77"/>
          <w:sz w:val="28"/>
          <w:szCs w:val="28"/>
        </w:rPr>
        <w:t xml:space="preserve"> </w:t>
      </w:r>
      <w:r>
        <w:rPr>
          <w:rFonts w:ascii="仿宋" w:hAnsi="仿宋" w:eastAsia="仿宋" w:cs="仿宋"/>
          <w:b/>
          <w:bCs/>
          <w:spacing w:val="-8"/>
          <w:sz w:val="28"/>
          <w:szCs w:val="28"/>
        </w:rPr>
        <w:t>5）加强行业安全监管</w:t>
      </w:r>
    </w:p>
    <w:p w14:paraId="740ABBF0">
      <w:pPr>
        <w:spacing w:line="216" w:lineRule="auto"/>
        <w:rPr>
          <w:rFonts w:ascii="仿宋" w:hAnsi="仿宋" w:eastAsia="仿宋" w:cs="仿宋"/>
          <w:sz w:val="28"/>
          <w:szCs w:val="28"/>
        </w:rPr>
        <w:sectPr>
          <w:headerReference r:id="rId99" w:type="default"/>
          <w:footerReference r:id="rId100" w:type="default"/>
          <w:pgSz w:w="11906" w:h="16839"/>
          <w:pgMar w:top="1222" w:right="1054" w:bottom="1156" w:left="1587" w:header="885" w:footer="920" w:gutter="0"/>
          <w:cols w:space="720" w:num="1"/>
        </w:sectPr>
      </w:pPr>
    </w:p>
    <w:p w14:paraId="713CDEB1">
      <w:pPr>
        <w:pStyle w:val="2"/>
        <w:spacing w:line="278" w:lineRule="auto"/>
      </w:pPr>
    </w:p>
    <w:p w14:paraId="244989B8">
      <w:pPr>
        <w:spacing w:before="91" w:line="343" w:lineRule="auto"/>
        <w:ind w:left="1" w:firstLine="568"/>
        <w:jc w:val="both"/>
        <w:rPr>
          <w:rFonts w:ascii="仿宋" w:hAnsi="仿宋" w:eastAsia="仿宋" w:cs="仿宋"/>
          <w:sz w:val="28"/>
          <w:szCs w:val="28"/>
        </w:rPr>
      </w:pPr>
      <w:r>
        <w:rPr>
          <w:rFonts w:ascii="仿宋" w:hAnsi="仿宋" w:eastAsia="仿宋" w:cs="仿宋"/>
          <w:b/>
          <w:bCs/>
          <w:sz w:val="28"/>
          <w:szCs w:val="28"/>
        </w:rPr>
        <w:t>提高行业</w:t>
      </w:r>
      <w:r>
        <w:rPr>
          <w:rFonts w:ascii="仿宋" w:hAnsi="仿宋" w:eastAsia="仿宋" w:cs="仿宋"/>
          <w:spacing w:val="-97"/>
          <w:sz w:val="28"/>
          <w:szCs w:val="28"/>
        </w:rPr>
        <w:t xml:space="preserve"> </w:t>
      </w:r>
      <w:r>
        <w:rPr>
          <w:rFonts w:ascii="仿宋" w:hAnsi="仿宋" w:eastAsia="仿宋" w:cs="仿宋"/>
          <w:b/>
          <w:bCs/>
          <w:sz w:val="28"/>
          <w:szCs w:val="28"/>
        </w:rPr>
        <w:t>“智能+”监管水平。</w:t>
      </w:r>
      <w:r>
        <w:rPr>
          <w:rFonts w:ascii="仿宋" w:hAnsi="仿宋" w:eastAsia="仿宋" w:cs="仿宋"/>
          <w:sz w:val="28"/>
          <w:szCs w:val="28"/>
        </w:rPr>
        <w:t>提升监管信息化数</w:t>
      </w:r>
      <w:r>
        <w:rPr>
          <w:rFonts w:ascii="仿宋" w:hAnsi="仿宋" w:eastAsia="仿宋" w:cs="仿宋"/>
          <w:spacing w:val="-1"/>
          <w:sz w:val="28"/>
          <w:szCs w:val="28"/>
        </w:rPr>
        <w:t>字化水平，推进邮政</w:t>
      </w:r>
      <w:r>
        <w:rPr>
          <w:rFonts w:ascii="仿宋" w:hAnsi="仿宋" w:eastAsia="仿宋" w:cs="仿宋"/>
          <w:spacing w:val="-2"/>
          <w:sz w:val="28"/>
          <w:szCs w:val="28"/>
        </w:rPr>
        <w:t>业大数据监管系统项目建设。配合做好“绿盾”工程信息化系统建设。通过</w:t>
      </w:r>
      <w:r>
        <w:rPr>
          <w:rFonts w:ascii="仿宋" w:hAnsi="仿宋" w:eastAsia="仿宋" w:cs="仿宋"/>
          <w:spacing w:val="-8"/>
          <w:sz w:val="28"/>
          <w:szCs w:val="28"/>
        </w:rPr>
        <w:t>信息化手段全面落实收寄验视、实名收寄、过机安检三项安全生产制度执行。</w:t>
      </w:r>
    </w:p>
    <w:p w14:paraId="7AD1A463">
      <w:pPr>
        <w:spacing w:before="11" w:line="342" w:lineRule="auto"/>
        <w:ind w:left="10" w:right="81" w:firstLine="555"/>
        <w:jc w:val="both"/>
        <w:rPr>
          <w:rFonts w:ascii="仿宋" w:hAnsi="仿宋" w:eastAsia="仿宋" w:cs="仿宋"/>
          <w:sz w:val="28"/>
          <w:szCs w:val="28"/>
        </w:rPr>
      </w:pPr>
      <w:r>
        <w:rPr>
          <w:rFonts w:ascii="仿宋" w:hAnsi="仿宋" w:eastAsia="仿宋" w:cs="仿宋"/>
          <w:b/>
          <w:bCs/>
          <w:spacing w:val="-3"/>
          <w:sz w:val="28"/>
          <w:szCs w:val="28"/>
        </w:rPr>
        <w:t>健全行业安全监管体制机制。</w:t>
      </w:r>
      <w:r>
        <w:rPr>
          <w:rFonts w:ascii="仿宋" w:hAnsi="仿宋" w:eastAsia="仿宋" w:cs="仿宋"/>
          <w:spacing w:val="-3"/>
          <w:sz w:val="28"/>
          <w:szCs w:val="28"/>
        </w:rPr>
        <w:t>落实地方邮政行业财政事</w:t>
      </w:r>
      <w:r>
        <w:rPr>
          <w:rFonts w:ascii="仿宋" w:hAnsi="仿宋" w:eastAsia="仿宋" w:cs="仿宋"/>
          <w:spacing w:val="-4"/>
          <w:sz w:val="28"/>
          <w:szCs w:val="28"/>
        </w:rPr>
        <w:t>权支出责任和地</w:t>
      </w:r>
      <w:r>
        <w:rPr>
          <w:rFonts w:ascii="仿宋" w:hAnsi="仿宋" w:eastAsia="仿宋" w:cs="仿宋"/>
          <w:sz w:val="28"/>
          <w:szCs w:val="28"/>
        </w:rPr>
        <w:t>方安全监管共同事权,构建邮政业安全发展中心体系</w:t>
      </w:r>
      <w:r>
        <w:rPr>
          <w:rFonts w:ascii="仿宋" w:hAnsi="仿宋" w:eastAsia="仿宋" w:cs="仿宋"/>
          <w:spacing w:val="-1"/>
          <w:sz w:val="28"/>
          <w:szCs w:val="28"/>
        </w:rPr>
        <w:t>。完善寄递渠道安全监</w:t>
      </w:r>
      <w:r>
        <w:rPr>
          <w:rFonts w:ascii="仿宋" w:hAnsi="仿宋" w:eastAsia="仿宋" w:cs="仿宋"/>
          <w:spacing w:val="-2"/>
          <w:sz w:val="28"/>
          <w:szCs w:val="28"/>
        </w:rPr>
        <w:t>管业务机制和标准规范和保障监督机制。与公安、交通等相关部门的建立完善安全防范联合工作机制，联合公安部门开展寄递渠道禁毒培训，提高企业</w:t>
      </w:r>
      <w:r>
        <w:rPr>
          <w:rFonts w:ascii="仿宋" w:hAnsi="仿宋" w:eastAsia="仿宋" w:cs="仿宋"/>
          <w:sz w:val="28"/>
          <w:szCs w:val="28"/>
        </w:rPr>
        <w:t>识毒、辨毒查缉能力。推进寄递风险综合防控</w:t>
      </w:r>
      <w:r>
        <w:rPr>
          <w:rFonts w:ascii="仿宋" w:hAnsi="仿宋" w:eastAsia="仿宋" w:cs="仿宋"/>
          <w:spacing w:val="-1"/>
          <w:sz w:val="28"/>
          <w:szCs w:val="28"/>
        </w:rPr>
        <w:t>信息平台建设,推进实名收寄</w:t>
      </w:r>
      <w:r>
        <w:rPr>
          <w:rFonts w:ascii="仿宋" w:hAnsi="仿宋" w:eastAsia="仿宋" w:cs="仿宋"/>
          <w:spacing w:val="-2"/>
          <w:sz w:val="28"/>
          <w:szCs w:val="28"/>
        </w:rPr>
        <w:t>人脸核验试点、身份认证工作，加快推广应用智能安检设备。加强突发事件应急管理，督导企业建立内部应急处置预案和专项内容应急预案，提升应对突发事件的能力。</w:t>
      </w:r>
    </w:p>
    <w:p w14:paraId="53ABC5DE">
      <w:pPr>
        <w:spacing w:line="216" w:lineRule="auto"/>
        <w:ind w:left="560"/>
        <w:rPr>
          <w:rFonts w:ascii="仿宋" w:hAnsi="仿宋" w:eastAsia="仿宋" w:cs="仿宋"/>
          <w:sz w:val="28"/>
          <w:szCs w:val="28"/>
        </w:rPr>
      </w:pPr>
      <w:r>
        <w:rPr>
          <w:rFonts w:ascii="仿宋" w:hAnsi="仿宋" w:eastAsia="仿宋" w:cs="仿宋"/>
          <w:b/>
          <w:bCs/>
          <w:spacing w:val="-8"/>
          <w:sz w:val="28"/>
          <w:szCs w:val="28"/>
        </w:rPr>
        <w:t>（</w:t>
      </w:r>
      <w:r>
        <w:rPr>
          <w:rFonts w:ascii="仿宋" w:hAnsi="仿宋" w:eastAsia="仿宋" w:cs="仿宋"/>
          <w:spacing w:val="-74"/>
          <w:sz w:val="28"/>
          <w:szCs w:val="28"/>
        </w:rPr>
        <w:t xml:space="preserve"> </w:t>
      </w:r>
      <w:r>
        <w:rPr>
          <w:rFonts w:ascii="仿宋" w:hAnsi="仿宋" w:eastAsia="仿宋" w:cs="仿宋"/>
          <w:b/>
          <w:bCs/>
          <w:spacing w:val="-8"/>
          <w:sz w:val="28"/>
          <w:szCs w:val="28"/>
        </w:rPr>
        <w:t>6）提升行业治理水平</w:t>
      </w:r>
    </w:p>
    <w:p w14:paraId="1DC4CF17">
      <w:pPr>
        <w:spacing w:before="304" w:line="341" w:lineRule="auto"/>
        <w:ind w:left="6" w:right="6" w:firstLine="564"/>
        <w:jc w:val="both"/>
        <w:rPr>
          <w:rFonts w:ascii="仿宋" w:hAnsi="仿宋" w:eastAsia="仿宋" w:cs="仿宋"/>
          <w:sz w:val="28"/>
          <w:szCs w:val="28"/>
        </w:rPr>
      </w:pPr>
      <w:r>
        <w:rPr>
          <w:rFonts w:ascii="仿宋" w:hAnsi="仿宋" w:eastAsia="仿宋" w:cs="仿宋"/>
          <w:spacing w:val="-2"/>
          <w:sz w:val="28"/>
          <w:szCs w:val="28"/>
        </w:rPr>
        <w:t>加强与公安、交通、市场监管等部门联动，构建齐抓共管、</w:t>
      </w:r>
      <w:r>
        <w:rPr>
          <w:rFonts w:ascii="仿宋" w:hAnsi="仿宋" w:eastAsia="仿宋" w:cs="仿宋"/>
          <w:spacing w:val="-3"/>
          <w:sz w:val="28"/>
          <w:szCs w:val="28"/>
        </w:rPr>
        <w:t>协同高效的</w:t>
      </w:r>
      <w:r>
        <w:rPr>
          <w:rFonts w:ascii="仿宋" w:hAnsi="仿宋" w:eastAsia="仿宋" w:cs="仿宋"/>
          <w:spacing w:val="-2"/>
          <w:sz w:val="28"/>
          <w:szCs w:val="28"/>
        </w:rPr>
        <w:t>监管机制。引导行业协会发挥桥梁纽带作用，搭建管理部门、行业协会、企业等多方参与的协商平台，广泛参与相关立法、政府规划、公共政策、行业</w:t>
      </w:r>
      <w:r>
        <w:rPr>
          <w:rFonts w:ascii="仿宋" w:hAnsi="仿宋" w:eastAsia="仿宋" w:cs="仿宋"/>
          <w:spacing w:val="-8"/>
          <w:sz w:val="28"/>
          <w:szCs w:val="28"/>
        </w:rPr>
        <w:t>标准和数据统计等事务。拓展社会公众参与的渠道方式，建立意见受理平台，</w:t>
      </w:r>
      <w:r>
        <w:rPr>
          <w:rFonts w:ascii="仿宋" w:hAnsi="仿宋" w:eastAsia="仿宋" w:cs="仿宋"/>
          <w:spacing w:val="-2"/>
          <w:sz w:val="28"/>
          <w:szCs w:val="28"/>
        </w:rPr>
        <w:t>及时掌握行业发展情况，建立互动式、追踪式处理机制。更好发挥社会监督员作用。</w:t>
      </w: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6DE31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6" w:hRule="atLeast"/>
        </w:trPr>
        <w:tc>
          <w:tcPr>
            <w:tcW w:w="8719" w:type="dxa"/>
            <w:vAlign w:val="top"/>
          </w:tcPr>
          <w:p w14:paraId="0F0F3E10">
            <w:pPr>
              <w:pStyle w:val="6"/>
              <w:spacing w:before="138" w:line="229" w:lineRule="auto"/>
              <w:ind w:left="2208"/>
              <w:rPr>
                <w:rFonts w:ascii="宋体" w:hAnsi="宋体" w:eastAsia="宋体" w:cs="宋体"/>
              </w:rPr>
            </w:pPr>
            <w:r>
              <w:rPr>
                <w:rFonts w:ascii="宋体" w:hAnsi="宋体" w:eastAsia="宋体" w:cs="宋体"/>
                <w:b/>
                <w:bCs/>
                <w:spacing w:val="11"/>
              </w:rPr>
              <w:t>专栏</w:t>
            </w:r>
            <w:r>
              <w:rPr>
                <w:rFonts w:ascii="宋体" w:hAnsi="宋体" w:eastAsia="宋体" w:cs="宋体"/>
                <w:spacing w:val="-13"/>
              </w:rPr>
              <w:t xml:space="preserve"> </w:t>
            </w:r>
            <w:r>
              <w:rPr>
                <w:b/>
                <w:bCs/>
                <w:spacing w:val="11"/>
              </w:rPr>
              <w:t xml:space="preserve">9    </w:t>
            </w:r>
            <w:r>
              <w:rPr>
                <w:rFonts w:ascii="宋体" w:hAnsi="宋体" w:eastAsia="宋体" w:cs="宋体"/>
                <w:b/>
                <w:bCs/>
                <w:spacing w:val="11"/>
              </w:rPr>
              <w:t>“十四五</w:t>
            </w:r>
            <w:r>
              <w:rPr>
                <w:rFonts w:ascii="宋体" w:hAnsi="宋体" w:eastAsia="宋体" w:cs="宋体"/>
                <w:spacing w:val="-60"/>
              </w:rPr>
              <w:t xml:space="preserve"> </w:t>
            </w:r>
            <w:r>
              <w:rPr>
                <w:rFonts w:ascii="宋体" w:hAnsi="宋体" w:eastAsia="宋体" w:cs="宋体"/>
                <w:b/>
                <w:bCs/>
                <w:spacing w:val="11"/>
              </w:rPr>
              <w:t>”期间邮政快递业发展重点工程</w:t>
            </w:r>
          </w:p>
        </w:tc>
      </w:tr>
      <w:tr w14:paraId="1E3CA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44" w:hRule="atLeast"/>
        </w:trPr>
        <w:tc>
          <w:tcPr>
            <w:tcW w:w="8719" w:type="dxa"/>
            <w:vAlign w:val="top"/>
          </w:tcPr>
          <w:p w14:paraId="2D04F248">
            <w:pPr>
              <w:pStyle w:val="6"/>
              <w:spacing w:before="103" w:line="274" w:lineRule="exact"/>
              <w:ind w:left="568"/>
              <w:rPr>
                <w:rFonts w:ascii="宋体" w:hAnsi="宋体" w:eastAsia="宋体" w:cs="宋体"/>
              </w:rPr>
            </w:pPr>
            <w:r>
              <w:rPr>
                <w:spacing w:val="12"/>
                <w:position w:val="1"/>
              </w:rPr>
              <w:t>1.</w:t>
            </w:r>
            <w:r>
              <w:rPr>
                <w:spacing w:val="20"/>
                <w:w w:val="101"/>
                <w:position w:val="1"/>
              </w:rPr>
              <w:t xml:space="preserve">  </w:t>
            </w:r>
            <w:r>
              <w:rPr>
                <w:rFonts w:ascii="宋体" w:hAnsi="宋体" w:eastAsia="宋体" w:cs="宋体"/>
                <w:spacing w:val="12"/>
                <w:position w:val="1"/>
              </w:rPr>
              <w:t>邮政基础设施能力提升工程</w:t>
            </w:r>
          </w:p>
          <w:p w14:paraId="6A597901">
            <w:pPr>
              <w:spacing w:before="239" w:line="358" w:lineRule="auto"/>
              <w:ind w:left="114" w:right="115" w:firstLine="439"/>
              <w:rPr>
                <w:rFonts w:ascii="宋体" w:hAnsi="宋体" w:eastAsia="宋体" w:cs="宋体"/>
                <w:sz w:val="20"/>
                <w:szCs w:val="20"/>
              </w:rPr>
            </w:pPr>
            <w:r>
              <w:rPr>
                <w:rFonts w:ascii="宋体" w:hAnsi="宋体" w:eastAsia="宋体" w:cs="宋体"/>
                <w:spacing w:val="17"/>
                <w:sz w:val="20"/>
                <w:szCs w:val="20"/>
              </w:rPr>
              <w:t>分期分批对邮政网点、邮件处理中心进行升级改造，更新设施设备，优化工艺流程。更新和新增干线邮运车辆和投递专用汽车。加快推进</w:t>
            </w:r>
            <w:r>
              <w:rPr>
                <w:rFonts w:ascii="宋体" w:hAnsi="宋体" w:eastAsia="宋体" w:cs="宋体"/>
                <w:spacing w:val="16"/>
                <w:sz w:val="20"/>
                <w:szCs w:val="20"/>
              </w:rPr>
              <w:t>“村邮站</w:t>
            </w:r>
            <w:r>
              <w:rPr>
                <w:rFonts w:ascii="宋体" w:hAnsi="宋体" w:eastAsia="宋体" w:cs="宋体"/>
                <w:spacing w:val="-65"/>
                <w:sz w:val="20"/>
                <w:szCs w:val="20"/>
              </w:rPr>
              <w:t xml:space="preserve"> </w:t>
            </w:r>
            <w:r>
              <w:rPr>
                <w:rFonts w:ascii="宋体" w:hAnsi="宋体" w:eastAsia="宋体" w:cs="宋体"/>
                <w:spacing w:val="16"/>
                <w:sz w:val="20"/>
                <w:szCs w:val="20"/>
              </w:rPr>
              <w:t>”建设步伐，加强对建制村</w:t>
            </w:r>
            <w:r>
              <w:rPr>
                <w:rFonts w:ascii="宋体" w:hAnsi="宋体" w:eastAsia="宋体" w:cs="宋体"/>
                <w:spacing w:val="13"/>
                <w:sz w:val="20"/>
                <w:szCs w:val="20"/>
              </w:rPr>
              <w:t>通邮的监督保障。</w:t>
            </w:r>
          </w:p>
          <w:p w14:paraId="48E1AC8A">
            <w:pPr>
              <w:pStyle w:val="6"/>
              <w:spacing w:line="274" w:lineRule="exact"/>
              <w:ind w:left="547"/>
              <w:rPr>
                <w:rFonts w:ascii="宋体" w:hAnsi="宋体" w:eastAsia="宋体" w:cs="宋体"/>
              </w:rPr>
            </w:pPr>
            <w:r>
              <w:rPr>
                <w:spacing w:val="13"/>
                <w:position w:val="1"/>
              </w:rPr>
              <w:t xml:space="preserve">2.  </w:t>
            </w:r>
            <w:r>
              <w:rPr>
                <w:rFonts w:ascii="宋体" w:hAnsi="宋体" w:eastAsia="宋体" w:cs="宋体"/>
                <w:spacing w:val="13"/>
                <w:position w:val="1"/>
              </w:rPr>
              <w:t>快递物流园区建设工程</w:t>
            </w:r>
          </w:p>
          <w:p w14:paraId="29A3EEBC">
            <w:pPr>
              <w:pStyle w:val="6"/>
              <w:spacing w:before="207" w:line="362" w:lineRule="auto"/>
              <w:ind w:left="114" w:right="111" w:firstLine="461"/>
              <w:rPr>
                <w:rFonts w:ascii="宋体" w:hAnsi="宋体" w:eastAsia="宋体" w:cs="宋体"/>
              </w:rPr>
            </w:pPr>
            <w:r>
              <w:rPr>
                <w:rFonts w:ascii="宋体" w:hAnsi="宋体" w:eastAsia="宋体" w:cs="宋体"/>
                <w:spacing w:val="9"/>
              </w:rPr>
              <w:t>曲靖市建成</w:t>
            </w:r>
            <w:r>
              <w:rPr>
                <w:rFonts w:ascii="宋体" w:hAnsi="宋体" w:eastAsia="宋体" w:cs="宋体"/>
                <w:spacing w:val="-7"/>
              </w:rPr>
              <w:t xml:space="preserve"> </w:t>
            </w:r>
            <w:r>
              <w:rPr>
                <w:spacing w:val="9"/>
              </w:rPr>
              <w:t>1</w:t>
            </w:r>
            <w:r>
              <w:rPr>
                <w:spacing w:val="16"/>
                <w:w w:val="101"/>
              </w:rPr>
              <w:t xml:space="preserve"> </w:t>
            </w:r>
            <w:r>
              <w:rPr>
                <w:rFonts w:ascii="宋体" w:hAnsi="宋体" w:eastAsia="宋体" w:cs="宋体"/>
                <w:spacing w:val="9"/>
              </w:rPr>
              <w:t xml:space="preserve">个辐射 </w:t>
            </w:r>
            <w:r>
              <w:rPr>
                <w:spacing w:val="9"/>
              </w:rPr>
              <w:t>1</w:t>
            </w:r>
            <w:r>
              <w:rPr>
                <w:spacing w:val="22"/>
                <w:w w:val="101"/>
              </w:rPr>
              <w:t xml:space="preserve"> </w:t>
            </w:r>
            <w:r>
              <w:rPr>
                <w:rFonts w:ascii="宋体" w:hAnsi="宋体" w:eastAsia="宋体" w:cs="宋体"/>
                <w:spacing w:val="9"/>
              </w:rPr>
              <w:t>市</w:t>
            </w:r>
            <w:r>
              <w:rPr>
                <w:rFonts w:ascii="宋体" w:hAnsi="宋体" w:eastAsia="宋体" w:cs="宋体"/>
                <w:spacing w:val="-27"/>
              </w:rPr>
              <w:t xml:space="preserve"> </w:t>
            </w:r>
            <w:r>
              <w:rPr>
                <w:spacing w:val="9"/>
              </w:rPr>
              <w:t>3</w:t>
            </w:r>
            <w:r>
              <w:rPr>
                <w:spacing w:val="32"/>
                <w:w w:val="101"/>
              </w:rPr>
              <w:t xml:space="preserve"> </w:t>
            </w:r>
            <w:r>
              <w:rPr>
                <w:rFonts w:ascii="宋体" w:hAnsi="宋体" w:eastAsia="宋体" w:cs="宋体"/>
                <w:spacing w:val="9"/>
              </w:rPr>
              <w:t>区</w:t>
            </w:r>
            <w:r>
              <w:rPr>
                <w:rFonts w:ascii="宋体" w:hAnsi="宋体" w:eastAsia="宋体" w:cs="宋体"/>
                <w:spacing w:val="-28"/>
              </w:rPr>
              <w:t xml:space="preserve"> </w:t>
            </w:r>
            <w:r>
              <w:rPr>
                <w:spacing w:val="9"/>
              </w:rPr>
              <w:t>5</w:t>
            </w:r>
            <w:r>
              <w:rPr>
                <w:spacing w:val="20"/>
                <w:w w:val="101"/>
              </w:rPr>
              <w:t xml:space="preserve"> </w:t>
            </w:r>
            <w:r>
              <w:rPr>
                <w:rFonts w:ascii="宋体" w:hAnsi="宋体" w:eastAsia="宋体" w:cs="宋体"/>
                <w:spacing w:val="9"/>
              </w:rPr>
              <w:t>县的快递类物流园区，各县（市、区）建成</w:t>
            </w:r>
            <w:r>
              <w:rPr>
                <w:rFonts w:ascii="宋体" w:hAnsi="宋体" w:eastAsia="宋体" w:cs="宋体"/>
                <w:spacing w:val="-14"/>
              </w:rPr>
              <w:t xml:space="preserve"> </w:t>
            </w:r>
            <w:r>
              <w:rPr>
                <w:spacing w:val="9"/>
              </w:rPr>
              <w:t>1</w:t>
            </w:r>
            <w:r>
              <w:rPr>
                <w:spacing w:val="17"/>
                <w:w w:val="101"/>
              </w:rPr>
              <w:t xml:space="preserve"> </w:t>
            </w:r>
            <w:r>
              <w:rPr>
                <w:rFonts w:ascii="宋体" w:hAnsi="宋体" w:eastAsia="宋体" w:cs="宋体"/>
                <w:spacing w:val="9"/>
              </w:rPr>
              <w:t>个具备</w:t>
            </w:r>
            <w:r>
              <w:rPr>
                <w:rFonts w:ascii="宋体" w:hAnsi="宋体" w:eastAsia="宋体" w:cs="宋体"/>
                <w:spacing w:val="16"/>
              </w:rPr>
              <w:t>集中仓储、分拣处理、快速集散、统一配送的分拨中心。</w:t>
            </w:r>
          </w:p>
          <w:p w14:paraId="512E3DB9">
            <w:pPr>
              <w:pStyle w:val="6"/>
              <w:spacing w:before="11" w:line="274" w:lineRule="exact"/>
              <w:ind w:left="552"/>
              <w:rPr>
                <w:rFonts w:ascii="宋体" w:hAnsi="宋体" w:eastAsia="宋体" w:cs="宋体"/>
              </w:rPr>
            </w:pPr>
            <w:r>
              <w:rPr>
                <w:spacing w:val="11"/>
                <w:position w:val="1"/>
              </w:rPr>
              <w:t>3.</w:t>
            </w:r>
            <w:r>
              <w:rPr>
                <w:spacing w:val="28"/>
                <w:position w:val="1"/>
              </w:rPr>
              <w:t xml:space="preserve">  </w:t>
            </w:r>
            <w:r>
              <w:rPr>
                <w:rFonts w:ascii="宋体" w:hAnsi="宋体" w:eastAsia="宋体" w:cs="宋体"/>
                <w:spacing w:val="11"/>
                <w:position w:val="1"/>
              </w:rPr>
              <w:t>邮政快递“上动车、上飞机</w:t>
            </w:r>
            <w:r>
              <w:rPr>
                <w:rFonts w:ascii="宋体" w:hAnsi="宋体" w:eastAsia="宋体" w:cs="宋体"/>
                <w:spacing w:val="-63"/>
                <w:position w:val="1"/>
              </w:rPr>
              <w:t xml:space="preserve"> </w:t>
            </w:r>
            <w:r>
              <w:rPr>
                <w:rFonts w:ascii="宋体" w:hAnsi="宋体" w:eastAsia="宋体" w:cs="宋体"/>
                <w:spacing w:val="11"/>
                <w:position w:val="1"/>
              </w:rPr>
              <w:t>”工程</w:t>
            </w:r>
          </w:p>
          <w:p w14:paraId="268BA7AC">
            <w:pPr>
              <w:spacing w:before="241" w:line="228" w:lineRule="auto"/>
              <w:ind w:left="552"/>
              <w:rPr>
                <w:rFonts w:ascii="宋体" w:hAnsi="宋体" w:eastAsia="宋体" w:cs="宋体"/>
                <w:sz w:val="20"/>
                <w:szCs w:val="20"/>
              </w:rPr>
            </w:pPr>
            <w:r>
              <w:rPr>
                <w:rFonts w:ascii="宋体" w:hAnsi="宋体" w:eastAsia="宋体" w:cs="宋体"/>
                <w:spacing w:val="18"/>
                <w:sz w:val="20"/>
                <w:szCs w:val="20"/>
              </w:rPr>
              <w:t>支持快递企业加强与民航、铁路部门的合作</w:t>
            </w:r>
            <w:r>
              <w:rPr>
                <w:rFonts w:ascii="宋体" w:hAnsi="宋体" w:eastAsia="宋体" w:cs="宋体"/>
                <w:spacing w:val="17"/>
                <w:sz w:val="20"/>
                <w:szCs w:val="20"/>
              </w:rPr>
              <w:t>，在机场、火车站建立快递服务网点，强</w:t>
            </w:r>
          </w:p>
        </w:tc>
      </w:tr>
    </w:tbl>
    <w:p w14:paraId="43D4B82A">
      <w:pPr>
        <w:pStyle w:val="2"/>
      </w:pPr>
    </w:p>
    <w:p w14:paraId="261D716F">
      <w:pPr>
        <w:sectPr>
          <w:headerReference r:id="rId101" w:type="default"/>
          <w:footerReference r:id="rId102" w:type="default"/>
          <w:pgSz w:w="11906" w:h="16839"/>
          <w:pgMar w:top="1222" w:right="1504" w:bottom="1156" w:left="1134" w:header="885" w:footer="920" w:gutter="0"/>
          <w:cols w:space="720" w:num="1"/>
        </w:sectPr>
      </w:pPr>
    </w:p>
    <w:p w14:paraId="62B8A709">
      <w:pPr>
        <w:spacing w:line="194" w:lineRule="exact"/>
      </w:pPr>
    </w:p>
    <w:tbl>
      <w:tblPr>
        <w:tblStyle w:val="5"/>
        <w:tblW w:w="8719" w:type="dxa"/>
        <w:tblInd w:w="23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19"/>
      </w:tblGrid>
      <w:tr w14:paraId="03D9403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7040" w:hRule="atLeast"/>
        </w:trPr>
        <w:tc>
          <w:tcPr>
            <w:tcW w:w="8719" w:type="dxa"/>
            <w:vAlign w:val="top"/>
          </w:tcPr>
          <w:p w14:paraId="2EE4D4C7">
            <w:pPr>
              <w:spacing w:before="145" w:line="358" w:lineRule="auto"/>
              <w:ind w:left="116" w:right="112"/>
              <w:jc w:val="both"/>
              <w:rPr>
                <w:rFonts w:ascii="宋体" w:hAnsi="宋体" w:eastAsia="宋体" w:cs="宋体"/>
                <w:sz w:val="20"/>
                <w:szCs w:val="20"/>
              </w:rPr>
            </w:pPr>
            <w:r>
              <w:rPr>
                <w:rFonts w:ascii="宋体" w:hAnsi="宋体" w:eastAsia="宋体" w:cs="宋体"/>
                <w:spacing w:val="17"/>
                <w:sz w:val="20"/>
                <w:szCs w:val="20"/>
              </w:rPr>
              <w:t>化邮政、快递企业与机场、车站间的安检合作，加强禁寄禁运物品范围的有效衔接。引导</w:t>
            </w:r>
            <w:r>
              <w:rPr>
                <w:rFonts w:ascii="宋体" w:hAnsi="宋体" w:eastAsia="宋体" w:cs="宋体"/>
                <w:spacing w:val="16"/>
                <w:sz w:val="20"/>
                <w:szCs w:val="20"/>
              </w:rPr>
              <w:t>邮政和快递企业加强“快件绿色通道</w:t>
            </w:r>
            <w:r>
              <w:rPr>
                <w:rFonts w:ascii="宋体" w:hAnsi="宋体" w:eastAsia="宋体" w:cs="宋体"/>
                <w:spacing w:val="-61"/>
                <w:sz w:val="20"/>
                <w:szCs w:val="20"/>
              </w:rPr>
              <w:t xml:space="preserve"> </w:t>
            </w:r>
            <w:r>
              <w:rPr>
                <w:rFonts w:ascii="宋体" w:hAnsi="宋体" w:eastAsia="宋体" w:cs="宋体"/>
                <w:spacing w:val="16"/>
                <w:sz w:val="20"/>
                <w:szCs w:val="20"/>
              </w:rPr>
              <w:t>”建设、实</w:t>
            </w:r>
            <w:r>
              <w:rPr>
                <w:rFonts w:ascii="宋体" w:hAnsi="宋体" w:eastAsia="宋体" w:cs="宋体"/>
                <w:spacing w:val="15"/>
                <w:sz w:val="20"/>
                <w:szCs w:val="20"/>
              </w:rPr>
              <w:t>施“上机上铁</w:t>
            </w:r>
            <w:r>
              <w:rPr>
                <w:rFonts w:ascii="宋体" w:hAnsi="宋体" w:eastAsia="宋体" w:cs="宋体"/>
                <w:spacing w:val="-63"/>
                <w:sz w:val="20"/>
                <w:szCs w:val="20"/>
              </w:rPr>
              <w:t xml:space="preserve"> </w:t>
            </w:r>
            <w:r>
              <w:rPr>
                <w:rFonts w:ascii="宋体" w:hAnsi="宋体" w:eastAsia="宋体" w:cs="宋体"/>
                <w:spacing w:val="15"/>
                <w:sz w:val="20"/>
                <w:szCs w:val="20"/>
              </w:rPr>
              <w:t>”工程，发展电商班列，提</w:t>
            </w:r>
            <w:r>
              <w:rPr>
                <w:rFonts w:ascii="宋体" w:hAnsi="宋体" w:eastAsia="宋体" w:cs="宋体"/>
                <w:spacing w:val="14"/>
                <w:sz w:val="20"/>
                <w:szCs w:val="20"/>
              </w:rPr>
              <w:t>升邮件、快件运输的速度。</w:t>
            </w:r>
          </w:p>
          <w:p w14:paraId="61C94FCB">
            <w:pPr>
              <w:pStyle w:val="6"/>
              <w:spacing w:line="274" w:lineRule="exact"/>
              <w:ind w:left="547"/>
              <w:rPr>
                <w:rFonts w:ascii="宋体" w:hAnsi="宋体" w:eastAsia="宋体" w:cs="宋体"/>
              </w:rPr>
            </w:pPr>
            <w:r>
              <w:rPr>
                <w:spacing w:val="11"/>
                <w:position w:val="1"/>
              </w:rPr>
              <w:t>4.</w:t>
            </w:r>
            <w:r>
              <w:rPr>
                <w:spacing w:val="17"/>
                <w:position w:val="1"/>
              </w:rPr>
              <w:t xml:space="preserve">  </w:t>
            </w:r>
            <w:r>
              <w:rPr>
                <w:rFonts w:ascii="宋体" w:hAnsi="宋体" w:eastAsia="宋体" w:cs="宋体"/>
                <w:spacing w:val="11"/>
                <w:position w:val="1"/>
              </w:rPr>
              <w:t>数字邮政工程</w:t>
            </w:r>
          </w:p>
          <w:p w14:paraId="7EB532A3">
            <w:pPr>
              <w:spacing w:before="237" w:line="368" w:lineRule="auto"/>
              <w:ind w:left="115" w:right="42" w:firstLine="439"/>
              <w:rPr>
                <w:rFonts w:ascii="宋体" w:hAnsi="宋体" w:eastAsia="宋体" w:cs="宋体"/>
                <w:sz w:val="20"/>
                <w:szCs w:val="20"/>
              </w:rPr>
            </w:pPr>
            <w:r>
              <w:rPr>
                <w:rFonts w:ascii="宋体" w:hAnsi="宋体" w:eastAsia="宋体" w:cs="宋体"/>
                <w:spacing w:val="13"/>
                <w:sz w:val="20"/>
                <w:szCs w:val="20"/>
              </w:rPr>
              <w:t>建设“数字邮管</w:t>
            </w:r>
            <w:r>
              <w:rPr>
                <w:rFonts w:ascii="宋体" w:hAnsi="宋体" w:eastAsia="宋体" w:cs="宋体"/>
                <w:spacing w:val="-62"/>
                <w:sz w:val="20"/>
                <w:szCs w:val="20"/>
              </w:rPr>
              <w:t xml:space="preserve"> </w:t>
            </w:r>
            <w:r>
              <w:rPr>
                <w:rFonts w:ascii="宋体" w:hAnsi="宋体" w:eastAsia="宋体" w:cs="宋体"/>
                <w:spacing w:val="13"/>
                <w:sz w:val="20"/>
                <w:szCs w:val="20"/>
              </w:rPr>
              <w:t>”综合信息服务系统，各快递企业</w:t>
            </w:r>
            <w:r>
              <w:rPr>
                <w:rFonts w:ascii="宋体" w:hAnsi="宋体" w:eastAsia="宋体" w:cs="宋体"/>
                <w:spacing w:val="12"/>
                <w:sz w:val="20"/>
                <w:szCs w:val="20"/>
              </w:rPr>
              <w:t>、分拨中心、电子门牌、快递车辆、</w:t>
            </w:r>
            <w:r>
              <w:rPr>
                <w:rFonts w:ascii="宋体" w:hAnsi="宋体" w:eastAsia="宋体" w:cs="宋体"/>
                <w:spacing w:val="18"/>
                <w:sz w:val="20"/>
                <w:szCs w:val="20"/>
              </w:rPr>
              <w:t>人员、包裹等信息的集中化管理；接入快递</w:t>
            </w:r>
            <w:r>
              <w:rPr>
                <w:rFonts w:ascii="宋体" w:hAnsi="宋体" w:eastAsia="宋体" w:cs="宋体"/>
                <w:spacing w:val="17"/>
                <w:sz w:val="20"/>
                <w:szCs w:val="20"/>
              </w:rPr>
              <w:t>网点和分拨中心监控视频；加强寄递渠道安全</w:t>
            </w:r>
            <w:r>
              <w:rPr>
                <w:rFonts w:ascii="宋体" w:hAnsi="宋体" w:eastAsia="宋体" w:cs="宋体"/>
                <w:spacing w:val="18"/>
                <w:sz w:val="20"/>
                <w:szCs w:val="20"/>
              </w:rPr>
              <w:t>监管和安全监管信息平台建设，加快建设邮</w:t>
            </w:r>
            <w:r>
              <w:rPr>
                <w:rFonts w:ascii="宋体" w:hAnsi="宋体" w:eastAsia="宋体" w:cs="宋体"/>
                <w:spacing w:val="17"/>
                <w:sz w:val="20"/>
                <w:szCs w:val="20"/>
              </w:rPr>
              <w:t>政业视频监控体系并将其纳入社会治安网格化</w:t>
            </w:r>
            <w:r>
              <w:rPr>
                <w:rFonts w:ascii="宋体" w:hAnsi="宋体" w:eastAsia="宋体" w:cs="宋体"/>
                <w:spacing w:val="16"/>
                <w:sz w:val="20"/>
                <w:szCs w:val="20"/>
              </w:rPr>
              <w:t>信息系统平台，探索与公安机关情报信息系统的衔接。</w:t>
            </w:r>
          </w:p>
          <w:p w14:paraId="087DBB81">
            <w:pPr>
              <w:pStyle w:val="6"/>
              <w:spacing w:line="228" w:lineRule="auto"/>
              <w:ind w:left="554"/>
              <w:rPr>
                <w:rFonts w:ascii="宋体" w:hAnsi="宋体" w:eastAsia="宋体" w:cs="宋体"/>
              </w:rPr>
            </w:pPr>
            <w:r>
              <w:rPr>
                <w:spacing w:val="12"/>
              </w:rPr>
              <w:t>5.</w:t>
            </w:r>
            <w:r>
              <w:rPr>
                <w:spacing w:val="21"/>
                <w:w w:val="101"/>
              </w:rPr>
              <w:t xml:space="preserve">  </w:t>
            </w:r>
            <w:r>
              <w:rPr>
                <w:rFonts w:ascii="宋体" w:hAnsi="宋体" w:eastAsia="宋体" w:cs="宋体"/>
                <w:spacing w:val="12"/>
              </w:rPr>
              <w:t>邮政业大数据中心工程</w:t>
            </w:r>
          </w:p>
          <w:p w14:paraId="33ADDB10">
            <w:pPr>
              <w:spacing w:before="235" w:line="358" w:lineRule="auto"/>
              <w:ind w:left="114" w:right="115" w:firstLine="437"/>
              <w:jc w:val="both"/>
              <w:rPr>
                <w:rFonts w:ascii="宋体" w:hAnsi="宋体" w:eastAsia="宋体" w:cs="宋体"/>
                <w:sz w:val="20"/>
                <w:szCs w:val="20"/>
              </w:rPr>
            </w:pPr>
            <w:r>
              <w:rPr>
                <w:rFonts w:ascii="宋体" w:hAnsi="宋体" w:eastAsia="宋体" w:cs="宋体"/>
                <w:spacing w:val="16"/>
                <w:sz w:val="20"/>
                <w:szCs w:val="20"/>
              </w:rPr>
              <w:t>推动市邮政行业的数字资源共享交换，实现邮政服务数据资源融合</w:t>
            </w:r>
            <w:r>
              <w:rPr>
                <w:rFonts w:ascii="宋体" w:hAnsi="宋体" w:eastAsia="宋体" w:cs="宋体"/>
                <w:spacing w:val="-47"/>
                <w:sz w:val="20"/>
                <w:szCs w:val="20"/>
              </w:rPr>
              <w:t xml:space="preserve"> </w:t>
            </w:r>
            <w:r>
              <w:rPr>
                <w:rFonts w:ascii="宋体" w:hAnsi="宋体" w:eastAsia="宋体" w:cs="宋体"/>
                <w:spacing w:val="16"/>
                <w:sz w:val="20"/>
                <w:szCs w:val="20"/>
              </w:rPr>
              <w:t>。通过综合交通运</w:t>
            </w:r>
            <w:r>
              <w:rPr>
                <w:rFonts w:ascii="宋体" w:hAnsi="宋体" w:eastAsia="宋体" w:cs="宋体"/>
                <w:spacing w:val="17"/>
                <w:sz w:val="20"/>
                <w:szCs w:val="20"/>
              </w:rPr>
              <w:t>输监管平台，建设邮政业监管系统，将邮政业重点建设项目纳入数字化监管，实现运行状</w:t>
            </w:r>
            <w:r>
              <w:rPr>
                <w:rFonts w:ascii="宋体" w:hAnsi="宋体" w:eastAsia="宋体" w:cs="宋体"/>
                <w:spacing w:val="14"/>
                <w:sz w:val="20"/>
                <w:szCs w:val="20"/>
              </w:rPr>
              <w:t>态数字化动态监测。</w:t>
            </w:r>
          </w:p>
          <w:p w14:paraId="22E5726D">
            <w:pPr>
              <w:pStyle w:val="6"/>
              <w:spacing w:line="274" w:lineRule="exact"/>
              <w:ind w:left="553"/>
              <w:rPr>
                <w:rFonts w:ascii="宋体" w:hAnsi="宋体" w:eastAsia="宋体" w:cs="宋体"/>
              </w:rPr>
            </w:pPr>
            <w:r>
              <w:rPr>
                <w:spacing w:val="11"/>
                <w:position w:val="1"/>
              </w:rPr>
              <w:t xml:space="preserve">6.  </w:t>
            </w:r>
            <w:r>
              <w:rPr>
                <w:rFonts w:ascii="宋体" w:hAnsi="宋体" w:eastAsia="宋体" w:cs="宋体"/>
                <w:spacing w:val="11"/>
                <w:position w:val="1"/>
              </w:rPr>
              <w:t>快递“进厂、进村</w:t>
            </w:r>
            <w:r>
              <w:rPr>
                <w:rFonts w:ascii="宋体" w:hAnsi="宋体" w:eastAsia="宋体" w:cs="宋体"/>
                <w:spacing w:val="-59"/>
                <w:position w:val="1"/>
              </w:rPr>
              <w:t xml:space="preserve"> </w:t>
            </w:r>
            <w:r>
              <w:rPr>
                <w:rFonts w:ascii="宋体" w:hAnsi="宋体" w:eastAsia="宋体" w:cs="宋体"/>
                <w:spacing w:val="11"/>
                <w:position w:val="1"/>
              </w:rPr>
              <w:t>”工程</w:t>
            </w:r>
          </w:p>
          <w:p w14:paraId="7B7C6748">
            <w:pPr>
              <w:spacing w:before="238" w:line="336" w:lineRule="auto"/>
              <w:ind w:left="113" w:right="112" w:firstLine="438"/>
              <w:rPr>
                <w:rFonts w:ascii="宋体" w:hAnsi="宋体" w:eastAsia="宋体" w:cs="宋体"/>
                <w:sz w:val="20"/>
                <w:szCs w:val="20"/>
              </w:rPr>
            </w:pPr>
            <w:r>
              <w:rPr>
                <w:rFonts w:ascii="宋体" w:hAnsi="宋体" w:eastAsia="宋体" w:cs="宋体"/>
                <w:spacing w:val="17"/>
                <w:sz w:val="20"/>
                <w:szCs w:val="20"/>
              </w:rPr>
              <w:t>推进邮政快递企业与先进制造业融合，开发一企一策的定制化服务，提供在特定时间</w:t>
            </w:r>
            <w:r>
              <w:rPr>
                <w:rFonts w:ascii="宋体" w:hAnsi="宋体" w:eastAsia="宋体" w:cs="宋体"/>
                <w:spacing w:val="16"/>
                <w:sz w:val="20"/>
                <w:szCs w:val="20"/>
              </w:rPr>
              <w:t>将特定物品送到特定地点的柔性服务，创设制造业“移动仓</w:t>
            </w:r>
            <w:r>
              <w:rPr>
                <w:rFonts w:ascii="宋体" w:hAnsi="宋体" w:eastAsia="宋体" w:cs="宋体"/>
                <w:spacing w:val="-62"/>
                <w:sz w:val="20"/>
                <w:szCs w:val="20"/>
              </w:rPr>
              <w:t xml:space="preserve"> </w:t>
            </w:r>
            <w:r>
              <w:rPr>
                <w:rFonts w:ascii="宋体" w:hAnsi="宋体" w:eastAsia="宋体" w:cs="宋体"/>
                <w:spacing w:val="15"/>
                <w:sz w:val="20"/>
                <w:szCs w:val="20"/>
              </w:rPr>
              <w:t>”和“移动工厂</w:t>
            </w:r>
            <w:r>
              <w:rPr>
                <w:rFonts w:ascii="宋体" w:hAnsi="宋体" w:eastAsia="宋体" w:cs="宋体"/>
                <w:spacing w:val="-63"/>
                <w:sz w:val="20"/>
                <w:szCs w:val="20"/>
              </w:rPr>
              <w:t xml:space="preserve"> </w:t>
            </w:r>
            <w:r>
              <w:rPr>
                <w:rFonts w:ascii="宋体" w:hAnsi="宋体" w:eastAsia="宋体" w:cs="宋体"/>
                <w:spacing w:val="15"/>
                <w:sz w:val="20"/>
                <w:szCs w:val="20"/>
              </w:rPr>
              <w:t>”。推动快递</w:t>
            </w:r>
            <w:r>
              <w:rPr>
                <w:rFonts w:ascii="宋体" w:hAnsi="宋体" w:eastAsia="宋体" w:cs="宋体"/>
                <w:spacing w:val="18"/>
                <w:sz w:val="20"/>
                <w:szCs w:val="20"/>
              </w:rPr>
              <w:t>末端网点下沉到农村，综合采用单独建设、联</w:t>
            </w:r>
            <w:r>
              <w:rPr>
                <w:rFonts w:ascii="宋体" w:hAnsi="宋体" w:eastAsia="宋体" w:cs="宋体"/>
                <w:spacing w:val="17"/>
                <w:sz w:val="20"/>
                <w:szCs w:val="20"/>
              </w:rPr>
              <w:t>合建设、邮政快递企业共用村邮站等多种形</w:t>
            </w:r>
            <w:r>
              <w:rPr>
                <w:rFonts w:ascii="宋体" w:hAnsi="宋体" w:eastAsia="宋体" w:cs="宋体"/>
                <w:spacing w:val="15"/>
                <w:sz w:val="20"/>
                <w:szCs w:val="20"/>
              </w:rPr>
              <w:t>式，实现要素资源的流动共享。</w:t>
            </w:r>
          </w:p>
        </w:tc>
      </w:tr>
    </w:tbl>
    <w:p w14:paraId="2CA716A0">
      <w:pPr>
        <w:pStyle w:val="2"/>
        <w:spacing w:line="471" w:lineRule="auto"/>
      </w:pPr>
    </w:p>
    <w:p w14:paraId="56C0988F">
      <w:pPr>
        <w:spacing w:before="91" w:line="214" w:lineRule="auto"/>
        <w:ind w:left="564"/>
        <w:outlineLvl w:val="1"/>
        <w:rPr>
          <w:rFonts w:ascii="黑体" w:hAnsi="黑体" w:eastAsia="黑体" w:cs="黑体"/>
          <w:sz w:val="28"/>
          <w:szCs w:val="28"/>
        </w:rPr>
      </w:pPr>
      <w:bookmarkStart w:id="44" w:name="bookmark36"/>
      <w:bookmarkEnd w:id="44"/>
      <w:r>
        <w:rPr>
          <w:rFonts w:ascii="黑体" w:hAnsi="黑体" w:eastAsia="黑体" w:cs="黑体"/>
          <w:spacing w:val="-1"/>
          <w:sz w:val="28"/>
          <w:szCs w:val="28"/>
        </w:rPr>
        <w:t>4. 探索发展新业态新模式，促进运输行业升级</w:t>
      </w:r>
    </w:p>
    <w:p w14:paraId="1F0436A5">
      <w:pPr>
        <w:spacing w:before="300" w:line="343" w:lineRule="auto"/>
        <w:ind w:left="3" w:right="7" w:firstLine="592"/>
        <w:jc w:val="both"/>
        <w:rPr>
          <w:rFonts w:ascii="仿宋" w:hAnsi="仿宋" w:eastAsia="仿宋" w:cs="仿宋"/>
          <w:sz w:val="28"/>
          <w:szCs w:val="28"/>
        </w:rPr>
      </w:pPr>
      <w:r>
        <w:rPr>
          <w:rFonts w:ascii="仿宋" w:hAnsi="仿宋" w:eastAsia="仿宋" w:cs="仿宋"/>
          <w:b/>
          <w:bCs/>
          <w:spacing w:val="14"/>
          <w:sz w:val="28"/>
          <w:szCs w:val="28"/>
        </w:rPr>
        <w:t>推动交通运输与旅游深度融合。</w:t>
      </w:r>
      <w:r>
        <w:rPr>
          <w:rFonts w:ascii="仿宋" w:hAnsi="仿宋" w:eastAsia="仿宋" w:cs="仿宋"/>
          <w:spacing w:val="14"/>
          <w:sz w:val="28"/>
          <w:szCs w:val="28"/>
        </w:rPr>
        <w:t>拓展火车站、汽车站等客运枢纽旅游服务功能，</w:t>
      </w:r>
      <w:r>
        <w:rPr>
          <w:rFonts w:ascii="仿宋" w:hAnsi="仿宋" w:eastAsia="仿宋" w:cs="仿宋"/>
          <w:spacing w:val="-79"/>
          <w:sz w:val="28"/>
          <w:szCs w:val="28"/>
        </w:rPr>
        <w:t xml:space="preserve"> </w:t>
      </w:r>
      <w:r>
        <w:rPr>
          <w:rFonts w:ascii="仿宋" w:hAnsi="仿宋" w:eastAsia="仿宋" w:cs="仿宋"/>
          <w:spacing w:val="14"/>
          <w:sz w:val="28"/>
          <w:szCs w:val="28"/>
        </w:rPr>
        <w:t>改造升级枢纽站内旅游信息服务系统、标识</w:t>
      </w:r>
      <w:r>
        <w:rPr>
          <w:rFonts w:ascii="仿宋" w:hAnsi="仿宋" w:eastAsia="仿宋" w:cs="仿宋"/>
          <w:spacing w:val="13"/>
          <w:sz w:val="28"/>
          <w:szCs w:val="28"/>
        </w:rPr>
        <w:t>引导系统等设</w:t>
      </w:r>
      <w:r>
        <w:rPr>
          <w:rFonts w:ascii="仿宋" w:hAnsi="仿宋" w:eastAsia="仿宋" w:cs="仿宋"/>
          <w:spacing w:val="9"/>
          <w:sz w:val="28"/>
          <w:szCs w:val="28"/>
        </w:rPr>
        <w:t>施。鼓励传统高速服务区向复合功能型、生态旅游型、主题园区型转型，</w:t>
      </w:r>
      <w:r>
        <w:rPr>
          <w:rFonts w:ascii="仿宋" w:hAnsi="仿宋" w:eastAsia="仿宋" w:cs="仿宋"/>
          <w:spacing w:val="16"/>
          <w:sz w:val="28"/>
          <w:szCs w:val="28"/>
        </w:rPr>
        <w:t>支撑全域旅游发展。加快推动车、站、路景观一体</w:t>
      </w:r>
      <w:r>
        <w:rPr>
          <w:rFonts w:ascii="仿宋" w:hAnsi="仿宋" w:eastAsia="仿宋" w:cs="仿宋"/>
          <w:spacing w:val="15"/>
          <w:sz w:val="28"/>
          <w:szCs w:val="28"/>
        </w:rPr>
        <w:t>化设计，推进美丽公</w:t>
      </w:r>
      <w:r>
        <w:rPr>
          <w:rFonts w:ascii="仿宋" w:hAnsi="仿宋" w:eastAsia="仿宋" w:cs="仿宋"/>
          <w:spacing w:val="16"/>
          <w:sz w:val="28"/>
          <w:szCs w:val="28"/>
        </w:rPr>
        <w:t>路建设，鼓励在普通国省道路侧空间富裕路段设置</w:t>
      </w:r>
      <w:r>
        <w:rPr>
          <w:rFonts w:ascii="仿宋" w:hAnsi="仿宋" w:eastAsia="仿宋" w:cs="仿宋"/>
          <w:spacing w:val="15"/>
          <w:sz w:val="28"/>
          <w:szCs w:val="28"/>
        </w:rPr>
        <w:t>驿站、简易自驾车房</w:t>
      </w:r>
      <w:r>
        <w:rPr>
          <w:rFonts w:ascii="仿宋" w:hAnsi="仿宋" w:eastAsia="仿宋" w:cs="仿宋"/>
          <w:spacing w:val="16"/>
          <w:sz w:val="28"/>
          <w:szCs w:val="28"/>
        </w:rPr>
        <w:t>车营地、观景台、厕所等设施，完善公路旅游服务功能</w:t>
      </w:r>
      <w:r>
        <w:rPr>
          <w:rFonts w:ascii="仿宋" w:hAnsi="仿宋" w:eastAsia="仿宋" w:cs="仿宋"/>
          <w:spacing w:val="15"/>
          <w:sz w:val="28"/>
          <w:szCs w:val="28"/>
        </w:rPr>
        <w:t>。进一步完善金</w:t>
      </w:r>
      <w:r>
        <w:rPr>
          <w:rFonts w:ascii="仿宋" w:hAnsi="仿宋" w:eastAsia="仿宋" w:cs="仿宋"/>
          <w:spacing w:val="16"/>
          <w:sz w:val="28"/>
          <w:szCs w:val="28"/>
        </w:rPr>
        <w:t>沙江、南盘江等库湖区以及便民渡口基础设施，积极发</w:t>
      </w:r>
      <w:r>
        <w:rPr>
          <w:rFonts w:ascii="仿宋" w:hAnsi="仿宋" w:eastAsia="仿宋" w:cs="仿宋"/>
          <w:spacing w:val="15"/>
          <w:sz w:val="28"/>
          <w:szCs w:val="28"/>
        </w:rPr>
        <w:t>展库湖区生态休</w:t>
      </w:r>
      <w:r>
        <w:rPr>
          <w:rFonts w:ascii="仿宋" w:hAnsi="仿宋" w:eastAsia="仿宋" w:cs="仿宋"/>
          <w:spacing w:val="16"/>
          <w:sz w:val="28"/>
          <w:szCs w:val="28"/>
        </w:rPr>
        <w:t>闲旅游客运。鼓励开通至景区景点的旅游直通车，</w:t>
      </w:r>
      <w:r>
        <w:rPr>
          <w:rFonts w:ascii="仿宋" w:hAnsi="仿宋" w:eastAsia="仿宋" w:cs="仿宋"/>
          <w:spacing w:val="15"/>
          <w:sz w:val="28"/>
          <w:szCs w:val="28"/>
        </w:rPr>
        <w:t>鼓励在黄金周、小长</w:t>
      </w:r>
      <w:r>
        <w:rPr>
          <w:rFonts w:ascii="仿宋" w:hAnsi="仿宋" w:eastAsia="仿宋" w:cs="仿宋"/>
          <w:spacing w:val="16"/>
          <w:sz w:val="28"/>
          <w:szCs w:val="28"/>
        </w:rPr>
        <w:t>假等重大节假日期间开通定制旅游线路；增强城乡</w:t>
      </w:r>
      <w:r>
        <w:rPr>
          <w:rFonts w:ascii="仿宋" w:hAnsi="仿宋" w:eastAsia="仿宋" w:cs="仿宋"/>
          <w:spacing w:val="15"/>
          <w:sz w:val="28"/>
          <w:szCs w:val="28"/>
        </w:rPr>
        <w:t>客运线路服务乡村旅</w:t>
      </w:r>
      <w:r>
        <w:rPr>
          <w:rFonts w:ascii="仿宋" w:hAnsi="仿宋" w:eastAsia="仿宋" w:cs="仿宋"/>
          <w:spacing w:val="16"/>
          <w:sz w:val="28"/>
          <w:szCs w:val="28"/>
        </w:rPr>
        <w:t>游能力，鼓励有条件地区推出公交旅游观光线路。</w:t>
      </w:r>
      <w:r>
        <w:rPr>
          <w:rFonts w:ascii="仿宋" w:hAnsi="仿宋" w:eastAsia="仿宋" w:cs="仿宋"/>
          <w:spacing w:val="15"/>
          <w:sz w:val="28"/>
          <w:szCs w:val="28"/>
        </w:rPr>
        <w:t>支持传统运输企业拓</w:t>
      </w:r>
      <w:r>
        <w:rPr>
          <w:rFonts w:ascii="仿宋" w:hAnsi="仿宋" w:eastAsia="仿宋" w:cs="仿宋"/>
          <w:spacing w:val="16"/>
          <w:sz w:val="28"/>
          <w:szCs w:val="28"/>
        </w:rPr>
        <w:t>展旅游运输服务，支持运力闲置的客运班车向旅游</w:t>
      </w:r>
      <w:r>
        <w:rPr>
          <w:rFonts w:ascii="仿宋" w:hAnsi="仿宋" w:eastAsia="仿宋" w:cs="仿宋"/>
          <w:spacing w:val="15"/>
          <w:sz w:val="28"/>
          <w:szCs w:val="28"/>
        </w:rPr>
        <w:t>包车转型，探索中小</w:t>
      </w:r>
    </w:p>
    <w:p w14:paraId="243174B3">
      <w:pPr>
        <w:spacing w:line="343" w:lineRule="auto"/>
        <w:rPr>
          <w:rFonts w:ascii="仿宋" w:hAnsi="仿宋" w:eastAsia="仿宋" w:cs="仿宋"/>
          <w:sz w:val="28"/>
          <w:szCs w:val="28"/>
        </w:rPr>
        <w:sectPr>
          <w:headerReference r:id="rId103" w:type="default"/>
          <w:footerReference r:id="rId104" w:type="default"/>
          <w:pgSz w:w="11906" w:h="16839"/>
          <w:pgMar w:top="1222" w:right="1054" w:bottom="1156" w:left="1587" w:header="885" w:footer="920" w:gutter="0"/>
          <w:cols w:space="720" w:num="1"/>
        </w:sectPr>
      </w:pPr>
    </w:p>
    <w:p w14:paraId="60922C8C">
      <w:pPr>
        <w:pStyle w:val="2"/>
        <w:spacing w:line="278" w:lineRule="auto"/>
      </w:pPr>
    </w:p>
    <w:p w14:paraId="45A09285">
      <w:pPr>
        <w:spacing w:before="91" w:line="343" w:lineRule="auto"/>
        <w:ind w:left="16" w:right="88" w:firstLine="5"/>
        <w:jc w:val="both"/>
        <w:rPr>
          <w:rFonts w:ascii="仿宋" w:hAnsi="仿宋" w:eastAsia="仿宋" w:cs="仿宋"/>
          <w:sz w:val="28"/>
          <w:szCs w:val="28"/>
        </w:rPr>
      </w:pPr>
      <w:r>
        <w:rPr>
          <w:rFonts w:ascii="仿宋" w:hAnsi="仿宋" w:eastAsia="仿宋" w:cs="仿宋"/>
          <w:spacing w:val="13"/>
          <w:sz w:val="28"/>
          <w:szCs w:val="28"/>
        </w:rPr>
        <w:t>型旅游包车车型的准入。</w:t>
      </w:r>
      <w:r>
        <w:rPr>
          <w:rFonts w:ascii="仿宋" w:hAnsi="仿宋" w:eastAsia="仿宋" w:cs="仿宋"/>
          <w:spacing w:val="-72"/>
          <w:sz w:val="28"/>
          <w:szCs w:val="28"/>
        </w:rPr>
        <w:t xml:space="preserve"> </w:t>
      </w:r>
      <w:r>
        <w:rPr>
          <w:rFonts w:ascii="仿宋" w:hAnsi="仿宋" w:eastAsia="仿宋" w:cs="仿宋"/>
          <w:spacing w:val="13"/>
          <w:sz w:val="28"/>
          <w:szCs w:val="28"/>
        </w:rPr>
        <w:t>结合会泽、罗平等通用机场的建成运营，大力</w:t>
      </w:r>
      <w:r>
        <w:rPr>
          <w:rFonts w:ascii="仿宋" w:hAnsi="仿宋" w:eastAsia="仿宋" w:cs="仿宋"/>
          <w:spacing w:val="15"/>
          <w:sz w:val="28"/>
          <w:szCs w:val="28"/>
        </w:rPr>
        <w:t>支持开发低空旅游线路，鼓励开发空中游览、航空体验、航空运动等航</w:t>
      </w:r>
      <w:r>
        <w:rPr>
          <w:rFonts w:ascii="仿宋" w:hAnsi="仿宋" w:eastAsia="仿宋" w:cs="仿宋"/>
          <w:spacing w:val="5"/>
          <w:sz w:val="28"/>
          <w:szCs w:val="28"/>
        </w:rPr>
        <w:t>空旅游产品。</w:t>
      </w:r>
    </w:p>
    <w:p w14:paraId="27BADA39">
      <w:pPr>
        <w:spacing w:before="8" w:line="342" w:lineRule="auto"/>
        <w:ind w:left="9" w:firstLine="585"/>
        <w:jc w:val="both"/>
        <w:rPr>
          <w:rFonts w:ascii="仿宋" w:hAnsi="仿宋" w:eastAsia="仿宋" w:cs="仿宋"/>
          <w:sz w:val="28"/>
          <w:szCs w:val="28"/>
        </w:rPr>
      </w:pPr>
      <w:r>
        <w:rPr>
          <w:rFonts w:ascii="仿宋" w:hAnsi="仿宋" w:eastAsia="仿宋" w:cs="仿宋"/>
          <w:b/>
          <w:bCs/>
          <w:spacing w:val="14"/>
          <w:sz w:val="28"/>
          <w:szCs w:val="28"/>
        </w:rPr>
        <w:t>推进交通运输与互联网深度融合。</w:t>
      </w:r>
      <w:r>
        <w:rPr>
          <w:rFonts w:ascii="仿宋" w:hAnsi="仿宋" w:eastAsia="仿宋" w:cs="仿宋"/>
          <w:spacing w:val="14"/>
          <w:sz w:val="28"/>
          <w:szCs w:val="28"/>
        </w:rPr>
        <w:t>加强互联网、大数据等新一代信</w:t>
      </w:r>
      <w:r>
        <w:rPr>
          <w:rFonts w:ascii="仿宋" w:hAnsi="仿宋" w:eastAsia="仿宋" w:cs="仿宋"/>
          <w:spacing w:val="15"/>
          <w:sz w:val="28"/>
          <w:szCs w:val="28"/>
        </w:rPr>
        <w:t>息技术在交通运输领域广泛应用，深入推进互联网+便捷交通、互联网+高效物流的融合发展，加快培育壮大交通运输新业态、新模式。依托互联网等先进信息技术，探索推进定制公交、共享出行、共享停车等新业</w:t>
      </w:r>
      <w:r>
        <w:rPr>
          <w:rFonts w:ascii="仿宋" w:hAnsi="仿宋" w:eastAsia="仿宋" w:cs="仿宋"/>
          <w:spacing w:val="17"/>
          <w:sz w:val="28"/>
          <w:szCs w:val="28"/>
        </w:rPr>
        <w:t>态发展，满足群众高品质、差异化出行需求。优化</w:t>
      </w:r>
      <w:r>
        <w:rPr>
          <w:rFonts w:ascii="仿宋" w:hAnsi="仿宋" w:eastAsia="仿宋" w:cs="仿宋"/>
          <w:spacing w:val="16"/>
          <w:sz w:val="28"/>
          <w:szCs w:val="28"/>
        </w:rPr>
        <w:t>旅客运输组织方式，</w:t>
      </w:r>
      <w:r>
        <w:rPr>
          <w:rFonts w:ascii="仿宋" w:hAnsi="仿宋" w:eastAsia="仿宋" w:cs="仿宋"/>
          <w:spacing w:val="11"/>
          <w:sz w:val="28"/>
          <w:szCs w:val="28"/>
        </w:rPr>
        <w:t>积极发展</w:t>
      </w:r>
      <w:r>
        <w:rPr>
          <w:rFonts w:ascii="仿宋" w:hAnsi="仿宋" w:eastAsia="仿宋" w:cs="仿宋"/>
          <w:spacing w:val="-73"/>
          <w:sz w:val="28"/>
          <w:szCs w:val="28"/>
        </w:rPr>
        <w:t xml:space="preserve"> </w:t>
      </w:r>
      <w:r>
        <w:rPr>
          <w:rFonts w:ascii="仿宋" w:hAnsi="仿宋" w:eastAsia="仿宋" w:cs="仿宋"/>
          <w:spacing w:val="11"/>
          <w:sz w:val="28"/>
          <w:szCs w:val="28"/>
        </w:rPr>
        <w:t>“</w:t>
      </w:r>
      <w:r>
        <w:rPr>
          <w:rFonts w:ascii="仿宋" w:hAnsi="仿宋" w:eastAsia="仿宋" w:cs="仿宋"/>
          <w:spacing w:val="-78"/>
          <w:sz w:val="28"/>
          <w:szCs w:val="28"/>
        </w:rPr>
        <w:t xml:space="preserve"> </w:t>
      </w:r>
      <w:r>
        <w:rPr>
          <w:rFonts w:ascii="仿宋" w:hAnsi="仿宋" w:eastAsia="仿宋" w:cs="仿宋"/>
          <w:spacing w:val="11"/>
          <w:sz w:val="28"/>
          <w:szCs w:val="28"/>
        </w:rPr>
        <w:t>出行即服务</w:t>
      </w:r>
      <w:r>
        <w:rPr>
          <w:rFonts w:ascii="仿宋" w:hAnsi="仿宋" w:eastAsia="仿宋" w:cs="仿宋"/>
          <w:spacing w:val="-105"/>
          <w:sz w:val="28"/>
          <w:szCs w:val="28"/>
        </w:rPr>
        <w:t xml:space="preserve"> </w:t>
      </w:r>
      <w:r>
        <w:rPr>
          <w:rFonts w:ascii="仿宋" w:hAnsi="仿宋" w:eastAsia="仿宋" w:cs="仿宋"/>
          <w:spacing w:val="11"/>
          <w:sz w:val="28"/>
          <w:szCs w:val="28"/>
        </w:rPr>
        <w:t>”（</w:t>
      </w:r>
      <w:r>
        <w:rPr>
          <w:rFonts w:ascii="仿宋" w:hAnsi="仿宋" w:eastAsia="仿宋" w:cs="仿宋"/>
          <w:sz w:val="28"/>
          <w:szCs w:val="28"/>
        </w:rPr>
        <w:t>MAAS</w:t>
      </w:r>
      <w:r>
        <w:rPr>
          <w:rFonts w:ascii="仿宋" w:hAnsi="仿宋" w:eastAsia="仿宋" w:cs="仿宋"/>
          <w:spacing w:val="11"/>
          <w:sz w:val="28"/>
          <w:szCs w:val="28"/>
        </w:rPr>
        <w:t>）组织模式。优化物流组织方式，创新</w:t>
      </w:r>
      <w:r>
        <w:rPr>
          <w:rFonts w:ascii="仿宋" w:hAnsi="仿宋" w:eastAsia="仿宋" w:cs="仿宋"/>
          <w:spacing w:val="15"/>
          <w:sz w:val="28"/>
          <w:szCs w:val="28"/>
        </w:rPr>
        <w:t>企业经营模式，将各种运输、仓储等物流资源在更大平台进行整合和优</w:t>
      </w:r>
      <w:r>
        <w:rPr>
          <w:rFonts w:ascii="仿宋" w:hAnsi="仿宋" w:eastAsia="仿宋" w:cs="仿宋"/>
          <w:spacing w:val="9"/>
          <w:sz w:val="28"/>
          <w:szCs w:val="28"/>
        </w:rPr>
        <w:t>化，扩大资源配置范围，提高资源配置有效性，全面提升社会物流效率。</w:t>
      </w:r>
    </w:p>
    <w:p w14:paraId="402B0412">
      <w:pPr>
        <w:spacing w:before="1" w:line="343" w:lineRule="auto"/>
        <w:ind w:left="9" w:right="6" w:firstLine="594"/>
        <w:jc w:val="both"/>
        <w:rPr>
          <w:rFonts w:ascii="仿宋" w:hAnsi="仿宋" w:eastAsia="仿宋" w:cs="仿宋"/>
          <w:sz w:val="28"/>
          <w:szCs w:val="28"/>
        </w:rPr>
      </w:pPr>
      <w:r>
        <w:rPr>
          <w:rFonts w:ascii="仿宋" w:hAnsi="仿宋" w:eastAsia="仿宋" w:cs="仿宋"/>
          <w:b/>
          <w:bCs/>
          <w:spacing w:val="14"/>
          <w:sz w:val="28"/>
          <w:szCs w:val="28"/>
        </w:rPr>
        <w:t>规范城市交通新业态发展。</w:t>
      </w:r>
      <w:r>
        <w:rPr>
          <w:rFonts w:ascii="仿宋" w:hAnsi="仿宋" w:eastAsia="仿宋" w:cs="仿宋"/>
          <w:spacing w:val="14"/>
          <w:sz w:val="28"/>
          <w:szCs w:val="28"/>
        </w:rPr>
        <w:t>针对网络预约出租汽车、汽车分时租赁</w:t>
      </w:r>
      <w:r>
        <w:rPr>
          <w:rFonts w:ascii="仿宋" w:hAnsi="仿宋" w:eastAsia="仿宋" w:cs="仿宋"/>
          <w:spacing w:val="17"/>
          <w:sz w:val="28"/>
          <w:szCs w:val="28"/>
        </w:rPr>
        <w:t>和互联网租赁自行车等交通新业态的快速发展，结合曲</w:t>
      </w:r>
      <w:r>
        <w:rPr>
          <w:rFonts w:ascii="仿宋" w:hAnsi="仿宋" w:eastAsia="仿宋" w:cs="仿宋"/>
          <w:spacing w:val="16"/>
          <w:sz w:val="28"/>
          <w:szCs w:val="28"/>
        </w:rPr>
        <w:t>靖市实际情况，</w:t>
      </w:r>
      <w:r>
        <w:rPr>
          <w:rFonts w:ascii="仿宋" w:hAnsi="仿宋" w:eastAsia="仿宋" w:cs="仿宋"/>
          <w:spacing w:val="15"/>
          <w:sz w:val="28"/>
          <w:szCs w:val="28"/>
        </w:rPr>
        <w:t>继续制定并完善相关政策和管理办法，纳入行业管理范畴。推动网约车合规化进程，优化网约车准入条件，规范网约车经营行为，定期开展网约车运力市场评估。建立多部门联合监管机制，加强网约车事中事后监</w:t>
      </w:r>
      <w:r>
        <w:rPr>
          <w:rFonts w:ascii="仿宋" w:hAnsi="仿宋" w:eastAsia="仿宋" w:cs="仿宋"/>
          <w:spacing w:val="9"/>
          <w:sz w:val="28"/>
          <w:szCs w:val="28"/>
        </w:rPr>
        <w:t>管。鼓励行业协会等组织建立网约车经营者和驾驶员不良记录名单</w:t>
      </w:r>
      <w:r>
        <w:rPr>
          <w:rFonts w:ascii="仿宋" w:hAnsi="仿宋" w:eastAsia="仿宋" w:cs="仿宋"/>
          <w:spacing w:val="8"/>
          <w:sz w:val="28"/>
          <w:szCs w:val="28"/>
        </w:rPr>
        <w:t>制度，</w:t>
      </w:r>
      <w:r>
        <w:rPr>
          <w:rFonts w:ascii="仿宋" w:hAnsi="仿宋" w:eastAsia="仿宋" w:cs="仿宋"/>
          <w:spacing w:val="9"/>
          <w:sz w:val="28"/>
          <w:szCs w:val="28"/>
        </w:rPr>
        <w:t>进一步加强行业自律，提升服务水平。</w:t>
      </w:r>
    </w:p>
    <w:p w14:paraId="6CB18833">
      <w:pPr>
        <w:spacing w:before="53" w:line="221" w:lineRule="auto"/>
        <w:ind w:left="635"/>
        <w:outlineLvl w:val="0"/>
        <w:rPr>
          <w:rFonts w:ascii="黑体" w:hAnsi="黑体" w:eastAsia="黑体" w:cs="黑体"/>
          <w:sz w:val="30"/>
          <w:szCs w:val="30"/>
        </w:rPr>
      </w:pPr>
      <w:bookmarkStart w:id="45" w:name="bookmark37"/>
      <w:bookmarkEnd w:id="45"/>
      <w:r>
        <w:rPr>
          <w:rFonts w:ascii="黑体" w:hAnsi="黑体" w:eastAsia="黑体" w:cs="黑体"/>
          <w:spacing w:val="-3"/>
          <w:sz w:val="30"/>
          <w:szCs w:val="30"/>
        </w:rPr>
        <w:t>（四）强化智慧交通创新引领</w:t>
      </w:r>
    </w:p>
    <w:p w14:paraId="69C342E9">
      <w:pPr>
        <w:spacing w:before="284" w:line="343" w:lineRule="auto"/>
        <w:ind w:left="22" w:right="91" w:firstLine="584"/>
        <w:jc w:val="both"/>
        <w:rPr>
          <w:rFonts w:ascii="仿宋" w:hAnsi="仿宋" w:eastAsia="仿宋" w:cs="仿宋"/>
          <w:sz w:val="28"/>
          <w:szCs w:val="28"/>
        </w:rPr>
      </w:pPr>
      <w:r>
        <w:rPr>
          <w:rFonts w:ascii="仿宋" w:hAnsi="仿宋" w:eastAsia="仿宋" w:cs="仿宋"/>
          <w:spacing w:val="11"/>
          <w:sz w:val="28"/>
          <w:szCs w:val="28"/>
        </w:rPr>
        <w:t>坚持</w:t>
      </w:r>
      <w:r>
        <w:rPr>
          <w:rFonts w:ascii="仿宋" w:hAnsi="仿宋" w:eastAsia="仿宋" w:cs="仿宋"/>
          <w:spacing w:val="-84"/>
          <w:sz w:val="28"/>
          <w:szCs w:val="28"/>
        </w:rPr>
        <w:t xml:space="preserve"> </w:t>
      </w:r>
      <w:r>
        <w:rPr>
          <w:rFonts w:ascii="仿宋" w:hAnsi="仿宋" w:eastAsia="仿宋" w:cs="仿宋"/>
          <w:spacing w:val="11"/>
          <w:sz w:val="28"/>
          <w:szCs w:val="28"/>
        </w:rPr>
        <w:t>“</w:t>
      </w:r>
      <w:r>
        <w:rPr>
          <w:rFonts w:ascii="仿宋" w:hAnsi="仿宋" w:eastAsia="仿宋" w:cs="仿宋"/>
          <w:spacing w:val="-97"/>
          <w:sz w:val="28"/>
          <w:szCs w:val="28"/>
        </w:rPr>
        <w:t xml:space="preserve"> </w:t>
      </w:r>
      <w:r>
        <w:rPr>
          <w:rFonts w:ascii="仿宋" w:hAnsi="仿宋" w:eastAsia="仿宋" w:cs="仿宋"/>
          <w:spacing w:val="11"/>
          <w:sz w:val="28"/>
          <w:szCs w:val="28"/>
        </w:rPr>
        <w:t>需求引导、统一规划、资源共享、业务</w:t>
      </w:r>
      <w:r>
        <w:rPr>
          <w:rFonts w:ascii="仿宋" w:hAnsi="仿宋" w:eastAsia="仿宋" w:cs="仿宋"/>
          <w:spacing w:val="10"/>
          <w:sz w:val="28"/>
          <w:szCs w:val="28"/>
        </w:rPr>
        <w:t>协同”</w:t>
      </w:r>
      <w:r>
        <w:rPr>
          <w:rFonts w:ascii="仿宋" w:hAnsi="仿宋" w:eastAsia="仿宋" w:cs="仿宋"/>
          <w:spacing w:val="-106"/>
          <w:sz w:val="28"/>
          <w:szCs w:val="28"/>
        </w:rPr>
        <w:t xml:space="preserve"> </w:t>
      </w:r>
      <w:r>
        <w:rPr>
          <w:rFonts w:ascii="仿宋" w:hAnsi="仿宋" w:eastAsia="仿宋" w:cs="仿宋"/>
          <w:spacing w:val="10"/>
          <w:sz w:val="28"/>
          <w:szCs w:val="28"/>
        </w:rPr>
        <w:t>的发展理念，</w:t>
      </w:r>
      <w:r>
        <w:rPr>
          <w:rFonts w:ascii="仿宋" w:hAnsi="仿宋" w:eastAsia="仿宋" w:cs="仿宋"/>
          <w:spacing w:val="15"/>
          <w:sz w:val="28"/>
          <w:szCs w:val="28"/>
        </w:rPr>
        <w:t>围绕构建数字化采集体系、智能化应用体系、健全网络和数据安全体系</w:t>
      </w:r>
      <w:r>
        <w:rPr>
          <w:rFonts w:ascii="仿宋" w:hAnsi="仿宋" w:eastAsia="仿宋" w:cs="仿宋"/>
          <w:spacing w:val="10"/>
          <w:sz w:val="28"/>
          <w:szCs w:val="28"/>
        </w:rPr>
        <w:t>等方面，逐步建成曲靖市数字交通系统，促进智慧交通发展。</w:t>
      </w:r>
    </w:p>
    <w:p w14:paraId="59C90324">
      <w:pPr>
        <w:spacing w:before="2" w:line="343" w:lineRule="auto"/>
        <w:ind w:left="9" w:right="88" w:firstLine="601"/>
        <w:jc w:val="both"/>
        <w:rPr>
          <w:rFonts w:ascii="仿宋" w:hAnsi="仿宋" w:eastAsia="仿宋" w:cs="仿宋"/>
          <w:sz w:val="28"/>
          <w:szCs w:val="28"/>
        </w:rPr>
      </w:pPr>
      <w:r>
        <w:rPr>
          <w:rFonts w:ascii="仿宋" w:hAnsi="仿宋" w:eastAsia="仿宋" w:cs="仿宋"/>
          <w:b/>
          <w:bCs/>
          <w:spacing w:val="14"/>
          <w:sz w:val="28"/>
          <w:szCs w:val="28"/>
        </w:rPr>
        <w:t>完善数字信息化采集系统。</w:t>
      </w:r>
      <w:r>
        <w:rPr>
          <w:rFonts w:ascii="仿宋" w:hAnsi="仿宋" w:eastAsia="仿宋" w:cs="仿宋"/>
          <w:spacing w:val="14"/>
          <w:sz w:val="28"/>
          <w:szCs w:val="28"/>
        </w:rPr>
        <w:t>结合全市交通运输行业发展实际，逐步</w:t>
      </w:r>
      <w:r>
        <w:rPr>
          <w:rFonts w:ascii="仿宋" w:hAnsi="仿宋" w:eastAsia="仿宋" w:cs="仿宋"/>
          <w:spacing w:val="15"/>
          <w:sz w:val="28"/>
          <w:szCs w:val="28"/>
        </w:rPr>
        <w:t>推进铁路、公路、水路领域的重点路段以及隧道、桥梁、互通枢纽等重要节点的交通感知网络覆盖；推动交通感知网络与交通基础设施同步规</w:t>
      </w:r>
      <w:r>
        <w:rPr>
          <w:rFonts w:ascii="仿宋" w:hAnsi="仿宋" w:eastAsia="仿宋" w:cs="仿宋"/>
          <w:spacing w:val="12"/>
          <w:sz w:val="28"/>
          <w:szCs w:val="28"/>
        </w:rPr>
        <w:t>划建设，让</w:t>
      </w:r>
      <w:r>
        <w:rPr>
          <w:rFonts w:ascii="仿宋" w:hAnsi="仿宋" w:eastAsia="仿宋" w:cs="仿宋"/>
          <w:spacing w:val="-67"/>
          <w:sz w:val="28"/>
          <w:szCs w:val="28"/>
        </w:rPr>
        <w:t xml:space="preserve"> </w:t>
      </w:r>
      <w:r>
        <w:rPr>
          <w:rFonts w:ascii="仿宋" w:hAnsi="仿宋" w:eastAsia="仿宋" w:cs="仿宋"/>
          <w:spacing w:val="12"/>
          <w:sz w:val="28"/>
          <w:szCs w:val="28"/>
        </w:rPr>
        <w:t>“</w:t>
      </w:r>
      <w:r>
        <w:rPr>
          <w:rFonts w:ascii="仿宋" w:hAnsi="仿宋" w:eastAsia="仿宋" w:cs="仿宋"/>
          <w:spacing w:val="-105"/>
          <w:sz w:val="28"/>
          <w:szCs w:val="28"/>
        </w:rPr>
        <w:t xml:space="preserve"> </w:t>
      </w:r>
      <w:r>
        <w:rPr>
          <w:rFonts w:ascii="仿宋" w:hAnsi="仿宋" w:eastAsia="仿宋" w:cs="仿宋"/>
          <w:spacing w:val="12"/>
          <w:sz w:val="28"/>
          <w:szCs w:val="28"/>
        </w:rPr>
        <w:t>哑设施”具备多维监测、智能网联、精准管控、协同服务</w:t>
      </w:r>
    </w:p>
    <w:p w14:paraId="72E7A0A6">
      <w:pPr>
        <w:spacing w:line="343" w:lineRule="auto"/>
        <w:rPr>
          <w:rFonts w:ascii="仿宋" w:hAnsi="仿宋" w:eastAsia="仿宋" w:cs="仿宋"/>
          <w:sz w:val="28"/>
          <w:szCs w:val="28"/>
        </w:rPr>
        <w:sectPr>
          <w:headerReference r:id="rId105" w:type="default"/>
          <w:footerReference r:id="rId106" w:type="default"/>
          <w:pgSz w:w="11906" w:h="16839"/>
          <w:pgMar w:top="1222" w:right="1508" w:bottom="1156" w:left="1134" w:header="885" w:footer="920" w:gutter="0"/>
          <w:cols w:space="720" w:num="1"/>
        </w:sectPr>
      </w:pPr>
    </w:p>
    <w:p w14:paraId="2D64FE10">
      <w:pPr>
        <w:pStyle w:val="2"/>
        <w:spacing w:line="277" w:lineRule="auto"/>
      </w:pPr>
    </w:p>
    <w:p w14:paraId="3F1D6D33">
      <w:pPr>
        <w:spacing w:before="91" w:line="343" w:lineRule="auto"/>
        <w:ind w:left="8" w:right="153" w:firstLine="26"/>
        <w:jc w:val="both"/>
        <w:rPr>
          <w:rFonts w:ascii="仿宋" w:hAnsi="仿宋" w:eastAsia="仿宋" w:cs="仿宋"/>
          <w:sz w:val="28"/>
          <w:szCs w:val="28"/>
        </w:rPr>
      </w:pPr>
      <w:r>
        <w:rPr>
          <w:rFonts w:ascii="仿宋" w:hAnsi="仿宋" w:eastAsia="仿宋" w:cs="仿宋"/>
          <w:spacing w:val="15"/>
          <w:sz w:val="28"/>
          <w:szCs w:val="28"/>
        </w:rPr>
        <w:t>能力。针对重大交通基础设施工程，实现基础设施</w:t>
      </w:r>
      <w:r>
        <w:rPr>
          <w:rFonts w:ascii="仿宋" w:hAnsi="仿宋" w:eastAsia="仿宋" w:cs="仿宋"/>
          <w:spacing w:val="14"/>
          <w:sz w:val="28"/>
          <w:szCs w:val="28"/>
        </w:rPr>
        <w:t>全生命周期健康性能</w:t>
      </w:r>
      <w:r>
        <w:rPr>
          <w:rFonts w:ascii="仿宋" w:hAnsi="仿宋" w:eastAsia="仿宋" w:cs="仿宋"/>
          <w:spacing w:val="15"/>
          <w:sz w:val="28"/>
          <w:szCs w:val="28"/>
        </w:rPr>
        <w:t>监测，逐步推广应用基于物联网的工程质量控制技术。逐步推进北斗导航在交通运输领域的应用。协同云南省构建基础设施、载运工具、通行环境互联的交通控制网基础云平台，完善交通工程等要素信息，实现对</w:t>
      </w:r>
      <w:r>
        <w:rPr>
          <w:rFonts w:ascii="仿宋" w:hAnsi="仿宋" w:eastAsia="仿宋" w:cs="仿宋"/>
          <w:spacing w:val="9"/>
          <w:sz w:val="28"/>
          <w:szCs w:val="28"/>
        </w:rPr>
        <w:t>物理设施的三维数字化呈现。</w:t>
      </w:r>
    </w:p>
    <w:p w14:paraId="310A48EF">
      <w:pPr>
        <w:spacing w:before="17" w:line="342" w:lineRule="auto"/>
        <w:ind w:left="1" w:firstLine="594"/>
        <w:jc w:val="both"/>
        <w:rPr>
          <w:rFonts w:ascii="仿宋" w:hAnsi="仿宋" w:eastAsia="仿宋" w:cs="仿宋"/>
          <w:sz w:val="28"/>
          <w:szCs w:val="28"/>
        </w:rPr>
      </w:pPr>
      <w:r>
        <w:rPr>
          <w:rFonts w:ascii="仿宋" w:hAnsi="仿宋" w:eastAsia="仿宋" w:cs="仿宋"/>
          <w:b/>
          <w:bCs/>
          <w:spacing w:val="-4"/>
          <w:sz w:val="28"/>
          <w:szCs w:val="28"/>
        </w:rPr>
        <w:t>推进“互联网+公众出行服务”建设。</w:t>
      </w:r>
      <w:r>
        <w:rPr>
          <w:rFonts w:ascii="仿宋" w:hAnsi="仿宋" w:eastAsia="仿宋" w:cs="仿宋"/>
          <w:spacing w:val="-4"/>
          <w:sz w:val="28"/>
          <w:szCs w:val="28"/>
        </w:rPr>
        <w:t>积极推广“出行即服务”</w:t>
      </w:r>
      <w:r>
        <w:rPr>
          <w:rFonts w:ascii="仿宋" w:hAnsi="仿宋" w:eastAsia="仿宋" w:cs="仿宋"/>
          <w:spacing w:val="-5"/>
          <w:sz w:val="28"/>
          <w:szCs w:val="28"/>
        </w:rPr>
        <w:t>（MAAS）</w:t>
      </w:r>
      <w:r>
        <w:rPr>
          <w:rFonts w:ascii="仿宋" w:hAnsi="仿宋" w:eastAsia="仿宋" w:cs="仿宋"/>
          <w:spacing w:val="16"/>
          <w:sz w:val="28"/>
          <w:szCs w:val="28"/>
        </w:rPr>
        <w:t>理念，加快整合各种运输方式及城市公共交通资源，发</w:t>
      </w:r>
      <w:r>
        <w:rPr>
          <w:rFonts w:ascii="仿宋" w:hAnsi="仿宋" w:eastAsia="仿宋" w:cs="仿宋"/>
          <w:spacing w:val="15"/>
          <w:sz w:val="28"/>
          <w:szCs w:val="28"/>
        </w:rPr>
        <w:t>展基于智能终端</w:t>
      </w:r>
      <w:r>
        <w:rPr>
          <w:rFonts w:ascii="仿宋" w:hAnsi="仿宋" w:eastAsia="仿宋" w:cs="仿宋"/>
          <w:spacing w:val="16"/>
          <w:sz w:val="28"/>
          <w:szCs w:val="28"/>
        </w:rPr>
        <w:t>的一站式出行服务，提供更加精准、实时、个性化的行</w:t>
      </w:r>
      <w:r>
        <w:rPr>
          <w:rFonts w:ascii="仿宋" w:hAnsi="仿宋" w:eastAsia="仿宋" w:cs="仿宋"/>
          <w:spacing w:val="15"/>
          <w:sz w:val="28"/>
          <w:szCs w:val="28"/>
        </w:rPr>
        <w:t>程规划、换乘信</w:t>
      </w:r>
      <w:r>
        <w:rPr>
          <w:rFonts w:ascii="仿宋" w:hAnsi="仿宋" w:eastAsia="仿宋" w:cs="仿宋"/>
          <w:spacing w:val="13"/>
          <w:sz w:val="28"/>
          <w:szCs w:val="28"/>
        </w:rPr>
        <w:t>息、来车预报等服务，积极探索旅客联程运输电</w:t>
      </w:r>
      <w:r>
        <w:rPr>
          <w:rFonts w:ascii="仿宋" w:hAnsi="仿宋" w:eastAsia="仿宋" w:cs="仿宋"/>
          <w:spacing w:val="12"/>
          <w:sz w:val="28"/>
          <w:szCs w:val="28"/>
        </w:rPr>
        <w:t>子客票。推动</w:t>
      </w:r>
      <w:r>
        <w:rPr>
          <w:rFonts w:ascii="仿宋" w:hAnsi="仿宋" w:eastAsia="仿宋" w:cs="仿宋"/>
          <w:spacing w:val="-84"/>
          <w:sz w:val="28"/>
          <w:szCs w:val="28"/>
        </w:rPr>
        <w:t xml:space="preserve"> </w:t>
      </w:r>
      <w:r>
        <w:rPr>
          <w:rFonts w:ascii="仿宋" w:hAnsi="仿宋" w:eastAsia="仿宋" w:cs="仿宋"/>
          <w:spacing w:val="12"/>
          <w:sz w:val="28"/>
          <w:szCs w:val="28"/>
        </w:rPr>
        <w:t>“</w:t>
      </w:r>
      <w:r>
        <w:rPr>
          <w:rFonts w:ascii="仿宋" w:hAnsi="仿宋" w:eastAsia="仿宋" w:cs="仿宋"/>
          <w:spacing w:val="-97"/>
          <w:sz w:val="28"/>
          <w:szCs w:val="28"/>
        </w:rPr>
        <w:t xml:space="preserve"> </w:t>
      </w:r>
      <w:r>
        <w:rPr>
          <w:rFonts w:ascii="仿宋" w:hAnsi="仿宋" w:eastAsia="仿宋" w:cs="仿宋"/>
          <w:spacing w:val="12"/>
          <w:sz w:val="28"/>
          <w:szCs w:val="28"/>
        </w:rPr>
        <w:t>两客一</w:t>
      </w:r>
      <w:r>
        <w:rPr>
          <w:rFonts w:ascii="仿宋" w:hAnsi="仿宋" w:eastAsia="仿宋" w:cs="仿宋"/>
          <w:spacing w:val="11"/>
          <w:sz w:val="28"/>
          <w:szCs w:val="28"/>
        </w:rPr>
        <w:t>危</w:t>
      </w:r>
      <w:r>
        <w:rPr>
          <w:rFonts w:ascii="仿宋" w:hAnsi="仿宋" w:eastAsia="仿宋" w:cs="仿宋"/>
          <w:spacing w:val="-102"/>
          <w:sz w:val="28"/>
          <w:szCs w:val="28"/>
        </w:rPr>
        <w:t xml:space="preserve"> </w:t>
      </w:r>
      <w:r>
        <w:rPr>
          <w:rFonts w:ascii="仿宋" w:hAnsi="仿宋" w:eastAsia="仿宋" w:cs="仿宋"/>
          <w:spacing w:val="11"/>
          <w:sz w:val="28"/>
          <w:szCs w:val="28"/>
        </w:rPr>
        <w:t>”</w:t>
      </w:r>
      <w:r>
        <w:rPr>
          <w:rFonts w:ascii="仿宋" w:hAnsi="仿宋" w:eastAsia="仿宋" w:cs="仿宋"/>
          <w:spacing w:val="-107"/>
          <w:sz w:val="28"/>
          <w:szCs w:val="28"/>
        </w:rPr>
        <w:t xml:space="preserve"> </w:t>
      </w:r>
      <w:r>
        <w:rPr>
          <w:rFonts w:ascii="仿宋" w:hAnsi="仿宋" w:eastAsia="仿宋" w:cs="仿宋"/>
          <w:spacing w:val="11"/>
          <w:sz w:val="28"/>
          <w:szCs w:val="28"/>
        </w:rPr>
        <w:t>、公交、</w:t>
      </w:r>
      <w:r>
        <w:rPr>
          <w:rFonts w:ascii="仿宋" w:hAnsi="仿宋" w:eastAsia="仿宋" w:cs="仿宋"/>
          <w:spacing w:val="-67"/>
          <w:sz w:val="28"/>
          <w:szCs w:val="28"/>
        </w:rPr>
        <w:t xml:space="preserve"> </w:t>
      </w:r>
      <w:r>
        <w:rPr>
          <w:rFonts w:ascii="仿宋" w:hAnsi="仿宋" w:eastAsia="仿宋" w:cs="仿宋"/>
          <w:spacing w:val="11"/>
          <w:sz w:val="28"/>
          <w:szCs w:val="28"/>
        </w:rPr>
        <w:t>出租、</w:t>
      </w:r>
      <w:r>
        <w:rPr>
          <w:rFonts w:ascii="仿宋" w:hAnsi="仿宋" w:eastAsia="仿宋" w:cs="仿宋"/>
          <w:spacing w:val="-75"/>
          <w:sz w:val="28"/>
          <w:szCs w:val="28"/>
        </w:rPr>
        <w:t xml:space="preserve"> </w:t>
      </w:r>
      <w:r>
        <w:rPr>
          <w:rFonts w:ascii="仿宋" w:hAnsi="仿宋" w:eastAsia="仿宋" w:cs="仿宋"/>
          <w:spacing w:val="11"/>
          <w:sz w:val="28"/>
          <w:szCs w:val="28"/>
        </w:rPr>
        <w:t>网约车、普货等营运车辆信息化</w:t>
      </w:r>
      <w:r>
        <w:rPr>
          <w:rFonts w:ascii="仿宋" w:hAnsi="仿宋" w:eastAsia="仿宋" w:cs="仿宋"/>
          <w:spacing w:val="10"/>
          <w:sz w:val="28"/>
          <w:szCs w:val="28"/>
        </w:rPr>
        <w:t>向</w:t>
      </w:r>
      <w:r>
        <w:rPr>
          <w:rFonts w:ascii="仿宋" w:hAnsi="仿宋" w:eastAsia="仿宋" w:cs="仿宋"/>
          <w:spacing w:val="-37"/>
          <w:sz w:val="28"/>
          <w:szCs w:val="28"/>
        </w:rPr>
        <w:t xml:space="preserve"> </w:t>
      </w:r>
      <w:r>
        <w:rPr>
          <w:rFonts w:ascii="仿宋" w:hAnsi="仿宋" w:eastAsia="仿宋" w:cs="仿宋"/>
          <w:sz w:val="28"/>
          <w:szCs w:val="28"/>
        </w:rPr>
        <w:t>GPS</w:t>
      </w:r>
      <w:r>
        <w:rPr>
          <w:rFonts w:ascii="仿宋" w:hAnsi="仿宋" w:eastAsia="仿宋" w:cs="仿宋"/>
          <w:spacing w:val="10"/>
          <w:sz w:val="28"/>
          <w:szCs w:val="28"/>
        </w:rPr>
        <w:t>+车载视频+</w:t>
      </w:r>
      <w:r>
        <w:rPr>
          <w:rFonts w:ascii="仿宋" w:hAnsi="仿宋" w:eastAsia="仿宋" w:cs="仿宋"/>
          <w:spacing w:val="16"/>
          <w:sz w:val="28"/>
          <w:szCs w:val="28"/>
        </w:rPr>
        <w:t>传感器方向发展，为行业监管、物流信息港、公众出行</w:t>
      </w:r>
      <w:r>
        <w:rPr>
          <w:rFonts w:ascii="仿宋" w:hAnsi="仿宋" w:eastAsia="仿宋" w:cs="仿宋"/>
          <w:spacing w:val="15"/>
          <w:sz w:val="28"/>
          <w:szCs w:val="28"/>
        </w:rPr>
        <w:t>提供完整数据基</w:t>
      </w:r>
      <w:r>
        <w:rPr>
          <w:rFonts w:ascii="仿宋" w:hAnsi="仿宋" w:eastAsia="仿宋" w:cs="仿宋"/>
          <w:spacing w:val="13"/>
          <w:sz w:val="28"/>
          <w:szCs w:val="28"/>
        </w:rPr>
        <w:t>础。加快拓展社会数字化应用场景，结合人工智能、云计算、</w:t>
      </w:r>
      <w:r>
        <w:rPr>
          <w:rFonts w:ascii="仿宋" w:hAnsi="仿宋" w:eastAsia="仿宋" w:cs="仿宋"/>
          <w:spacing w:val="-54"/>
          <w:sz w:val="28"/>
          <w:szCs w:val="28"/>
        </w:rPr>
        <w:t xml:space="preserve"> </w:t>
      </w:r>
      <w:r>
        <w:rPr>
          <w:rFonts w:ascii="仿宋" w:hAnsi="仿宋" w:eastAsia="仿宋" w:cs="仿宋"/>
          <w:spacing w:val="13"/>
          <w:sz w:val="28"/>
          <w:szCs w:val="28"/>
        </w:rPr>
        <w:t>区块链等</w:t>
      </w:r>
      <w:r>
        <w:rPr>
          <w:rFonts w:ascii="仿宋" w:hAnsi="仿宋" w:eastAsia="仿宋" w:cs="仿宋"/>
          <w:spacing w:val="10"/>
          <w:sz w:val="28"/>
          <w:szCs w:val="28"/>
        </w:rPr>
        <w:t>新技术，大力推进交通领域</w:t>
      </w:r>
      <w:r>
        <w:rPr>
          <w:rFonts w:ascii="仿宋" w:hAnsi="仿宋" w:eastAsia="仿宋" w:cs="仿宋"/>
          <w:spacing w:val="-72"/>
          <w:sz w:val="28"/>
          <w:szCs w:val="28"/>
        </w:rPr>
        <w:t xml:space="preserve"> </w:t>
      </w:r>
      <w:r>
        <w:rPr>
          <w:rFonts w:ascii="仿宋" w:hAnsi="仿宋" w:eastAsia="仿宋" w:cs="仿宋"/>
          <w:spacing w:val="10"/>
          <w:sz w:val="28"/>
          <w:szCs w:val="28"/>
        </w:rPr>
        <w:t>“</w:t>
      </w:r>
      <w:r>
        <w:rPr>
          <w:rFonts w:ascii="仿宋" w:hAnsi="仿宋" w:eastAsia="仿宋" w:cs="仿宋"/>
          <w:spacing w:val="-106"/>
          <w:sz w:val="28"/>
          <w:szCs w:val="28"/>
        </w:rPr>
        <w:t xml:space="preserve"> </w:t>
      </w:r>
      <w:r>
        <w:rPr>
          <w:rFonts w:ascii="仿宋" w:hAnsi="仿宋" w:eastAsia="仿宋" w:cs="仿宋"/>
          <w:spacing w:val="10"/>
          <w:sz w:val="28"/>
          <w:szCs w:val="28"/>
        </w:rPr>
        <w:t>刷脸就行”</w:t>
      </w:r>
      <w:r>
        <w:rPr>
          <w:rFonts w:ascii="仿宋" w:hAnsi="仿宋" w:eastAsia="仿宋" w:cs="仿宋"/>
          <w:spacing w:val="-100"/>
          <w:sz w:val="28"/>
          <w:szCs w:val="28"/>
        </w:rPr>
        <w:t xml:space="preserve"> </w:t>
      </w:r>
      <w:r>
        <w:rPr>
          <w:rFonts w:ascii="仿宋" w:hAnsi="仿宋" w:eastAsia="仿宋" w:cs="仿宋"/>
          <w:spacing w:val="10"/>
          <w:sz w:val="28"/>
          <w:szCs w:val="28"/>
        </w:rPr>
        <w:t>“</w:t>
      </w:r>
      <w:r>
        <w:rPr>
          <w:rFonts w:ascii="仿宋" w:hAnsi="仿宋" w:eastAsia="仿宋" w:cs="仿宋"/>
          <w:spacing w:val="-103"/>
          <w:sz w:val="28"/>
          <w:szCs w:val="28"/>
        </w:rPr>
        <w:t xml:space="preserve"> </w:t>
      </w:r>
      <w:r>
        <w:rPr>
          <w:rFonts w:ascii="仿宋" w:hAnsi="仿宋" w:eastAsia="仿宋" w:cs="仿宋"/>
          <w:spacing w:val="10"/>
          <w:sz w:val="28"/>
          <w:szCs w:val="28"/>
        </w:rPr>
        <w:t>扫码亮码”工程建设，加快</w:t>
      </w:r>
      <w:r>
        <w:rPr>
          <w:rFonts w:ascii="仿宋" w:hAnsi="仿宋" w:eastAsia="仿宋" w:cs="仿宋"/>
          <w:spacing w:val="16"/>
          <w:sz w:val="28"/>
          <w:szCs w:val="28"/>
        </w:rPr>
        <w:t>火车站、客运车站等公共交通枢纽刷脸乘车改造。继续推进和</w:t>
      </w:r>
      <w:r>
        <w:rPr>
          <w:rFonts w:ascii="仿宋" w:hAnsi="仿宋" w:eastAsia="仿宋" w:cs="仿宋"/>
          <w:spacing w:val="15"/>
          <w:sz w:val="28"/>
          <w:szCs w:val="28"/>
        </w:rPr>
        <w:t>完善公路</w:t>
      </w:r>
      <w:r>
        <w:rPr>
          <w:rFonts w:ascii="仿宋" w:hAnsi="仿宋" w:eastAsia="仿宋" w:cs="仿宋"/>
          <w:spacing w:val="13"/>
          <w:sz w:val="28"/>
          <w:szCs w:val="28"/>
        </w:rPr>
        <w:t>通行费</w:t>
      </w:r>
      <w:r>
        <w:rPr>
          <w:rFonts w:ascii="仿宋" w:hAnsi="仿宋" w:eastAsia="仿宋" w:cs="仿宋"/>
          <w:spacing w:val="-83"/>
          <w:sz w:val="28"/>
          <w:szCs w:val="28"/>
        </w:rPr>
        <w:t xml:space="preserve"> </w:t>
      </w:r>
      <w:r>
        <w:rPr>
          <w:rFonts w:ascii="仿宋" w:hAnsi="仿宋" w:eastAsia="仿宋" w:cs="仿宋"/>
          <w:spacing w:val="13"/>
          <w:sz w:val="28"/>
          <w:szCs w:val="28"/>
        </w:rPr>
        <w:t>“</w:t>
      </w:r>
      <w:r>
        <w:rPr>
          <w:rFonts w:ascii="仿宋" w:hAnsi="仿宋" w:eastAsia="仿宋" w:cs="仿宋"/>
          <w:spacing w:val="-106"/>
          <w:sz w:val="28"/>
          <w:szCs w:val="28"/>
        </w:rPr>
        <w:t xml:space="preserve"> </w:t>
      </w:r>
      <w:r>
        <w:rPr>
          <w:rFonts w:ascii="仿宋" w:hAnsi="仿宋" w:eastAsia="仿宋" w:cs="仿宋"/>
          <w:spacing w:val="13"/>
          <w:sz w:val="28"/>
          <w:szCs w:val="28"/>
        </w:rPr>
        <w:t>无感支付”系统。依托现有中心城区城市公交智能</w:t>
      </w:r>
      <w:r>
        <w:rPr>
          <w:rFonts w:ascii="仿宋" w:hAnsi="仿宋" w:eastAsia="仿宋" w:cs="仿宋"/>
          <w:spacing w:val="12"/>
          <w:sz w:val="28"/>
          <w:szCs w:val="28"/>
        </w:rPr>
        <w:t>调度系统平</w:t>
      </w:r>
      <w:r>
        <w:rPr>
          <w:rFonts w:ascii="仿宋" w:hAnsi="仿宋" w:eastAsia="仿宋" w:cs="仿宋"/>
          <w:spacing w:val="9"/>
          <w:sz w:val="28"/>
          <w:szCs w:val="28"/>
        </w:rPr>
        <w:t>台及城市</w:t>
      </w:r>
      <w:r>
        <w:rPr>
          <w:rFonts w:ascii="仿宋" w:hAnsi="仿宋" w:eastAsia="仿宋" w:cs="仿宋"/>
          <w:spacing w:val="-23"/>
          <w:sz w:val="28"/>
          <w:szCs w:val="28"/>
        </w:rPr>
        <w:t xml:space="preserve"> </w:t>
      </w:r>
      <w:r>
        <w:rPr>
          <w:rFonts w:ascii="仿宋" w:hAnsi="仿宋" w:eastAsia="仿宋" w:cs="仿宋"/>
          <w:spacing w:val="9"/>
          <w:sz w:val="28"/>
          <w:szCs w:val="28"/>
        </w:rPr>
        <w:t>5G</w:t>
      </w:r>
      <w:r>
        <w:rPr>
          <w:rFonts w:ascii="仿宋" w:hAnsi="仿宋" w:eastAsia="仿宋" w:cs="仿宋"/>
          <w:spacing w:val="-53"/>
          <w:sz w:val="28"/>
          <w:szCs w:val="28"/>
        </w:rPr>
        <w:t xml:space="preserve"> </w:t>
      </w:r>
      <w:r>
        <w:rPr>
          <w:rFonts w:ascii="仿宋" w:hAnsi="仿宋" w:eastAsia="仿宋" w:cs="仿宋"/>
          <w:spacing w:val="9"/>
          <w:sz w:val="28"/>
          <w:szCs w:val="28"/>
        </w:rPr>
        <w:t>基站建设，推进公交站点智能化改造建设，实现智能调度中</w:t>
      </w:r>
      <w:r>
        <w:rPr>
          <w:rFonts w:ascii="仿宋" w:hAnsi="仿宋" w:eastAsia="仿宋" w:cs="仿宋"/>
          <w:spacing w:val="14"/>
          <w:sz w:val="28"/>
          <w:szCs w:val="28"/>
        </w:rPr>
        <w:t>心、公交车辆、手机终端、</w:t>
      </w:r>
      <w:r>
        <w:rPr>
          <w:rFonts w:ascii="仿宋" w:hAnsi="仿宋" w:eastAsia="仿宋" w:cs="仿宋"/>
          <w:spacing w:val="-74"/>
          <w:sz w:val="28"/>
          <w:szCs w:val="28"/>
        </w:rPr>
        <w:t xml:space="preserve"> </w:t>
      </w:r>
      <w:r>
        <w:rPr>
          <w:rFonts w:ascii="仿宋" w:hAnsi="仿宋" w:eastAsia="仿宋" w:cs="仿宋"/>
          <w:spacing w:val="14"/>
          <w:sz w:val="28"/>
          <w:szCs w:val="28"/>
        </w:rPr>
        <w:t>电子站牌信息互联。促进</w:t>
      </w:r>
      <w:r>
        <w:rPr>
          <w:rFonts w:ascii="仿宋" w:hAnsi="仿宋" w:eastAsia="仿宋" w:cs="仿宋"/>
          <w:spacing w:val="13"/>
          <w:sz w:val="28"/>
          <w:szCs w:val="28"/>
        </w:rPr>
        <w:t>交通、旅游等各类</w:t>
      </w:r>
      <w:r>
        <w:rPr>
          <w:rFonts w:ascii="仿宋" w:hAnsi="仿宋" w:eastAsia="仿宋" w:cs="仿宋"/>
          <w:spacing w:val="10"/>
          <w:sz w:val="28"/>
          <w:szCs w:val="28"/>
        </w:rPr>
        <w:t>信息充分开放共享，融合发展。</w:t>
      </w:r>
    </w:p>
    <w:p w14:paraId="1B772107">
      <w:pPr>
        <w:spacing w:before="10" w:line="342" w:lineRule="auto"/>
        <w:ind w:left="1" w:right="148" w:firstLine="594"/>
        <w:jc w:val="both"/>
        <w:rPr>
          <w:rFonts w:ascii="仿宋" w:hAnsi="仿宋" w:eastAsia="仿宋" w:cs="仿宋"/>
          <w:sz w:val="28"/>
          <w:szCs w:val="28"/>
        </w:rPr>
      </w:pPr>
      <w:r>
        <w:rPr>
          <w:rFonts w:ascii="仿宋" w:hAnsi="仿宋" w:eastAsia="仿宋" w:cs="仿宋"/>
          <w:b/>
          <w:bCs/>
          <w:spacing w:val="6"/>
          <w:sz w:val="28"/>
          <w:szCs w:val="28"/>
        </w:rPr>
        <w:t>推进</w:t>
      </w:r>
      <w:r>
        <w:rPr>
          <w:rFonts w:ascii="仿宋" w:hAnsi="仿宋" w:eastAsia="仿宋" w:cs="仿宋"/>
          <w:spacing w:val="-85"/>
          <w:sz w:val="28"/>
          <w:szCs w:val="28"/>
        </w:rPr>
        <w:t xml:space="preserve"> </w:t>
      </w:r>
      <w:r>
        <w:rPr>
          <w:rFonts w:ascii="仿宋" w:hAnsi="仿宋" w:eastAsia="仿宋" w:cs="仿宋"/>
          <w:b/>
          <w:bCs/>
          <w:spacing w:val="6"/>
          <w:sz w:val="28"/>
          <w:szCs w:val="28"/>
        </w:rPr>
        <w:t>“</w:t>
      </w:r>
      <w:r>
        <w:rPr>
          <w:rFonts w:ascii="仿宋" w:hAnsi="仿宋" w:eastAsia="仿宋" w:cs="仿宋"/>
          <w:spacing w:val="-105"/>
          <w:sz w:val="28"/>
          <w:szCs w:val="28"/>
        </w:rPr>
        <w:t xml:space="preserve"> </w:t>
      </w:r>
      <w:r>
        <w:rPr>
          <w:rFonts w:ascii="仿宋" w:hAnsi="仿宋" w:eastAsia="仿宋" w:cs="仿宋"/>
          <w:b/>
          <w:bCs/>
          <w:spacing w:val="6"/>
          <w:sz w:val="28"/>
          <w:szCs w:val="28"/>
        </w:rPr>
        <w:t>互联网+货运物流服务”建设。</w:t>
      </w:r>
      <w:r>
        <w:rPr>
          <w:rFonts w:ascii="仿宋" w:hAnsi="仿宋" w:eastAsia="仿宋" w:cs="仿宋"/>
          <w:spacing w:val="6"/>
          <w:sz w:val="28"/>
          <w:szCs w:val="28"/>
        </w:rPr>
        <w:t>推进曲靖市交通运输物流公共</w:t>
      </w:r>
      <w:r>
        <w:rPr>
          <w:rFonts w:ascii="仿宋" w:hAnsi="仿宋" w:eastAsia="仿宋" w:cs="仿宋"/>
          <w:spacing w:val="13"/>
          <w:sz w:val="28"/>
          <w:szCs w:val="28"/>
        </w:rPr>
        <w:t>信息服务平台建设，实现基础数据交换和在线政务服务、</w:t>
      </w:r>
      <w:r>
        <w:rPr>
          <w:rFonts w:ascii="仿宋" w:hAnsi="仿宋" w:eastAsia="仿宋" w:cs="仿宋"/>
          <w:spacing w:val="-54"/>
          <w:sz w:val="28"/>
          <w:szCs w:val="28"/>
        </w:rPr>
        <w:t xml:space="preserve"> </w:t>
      </w:r>
      <w:r>
        <w:rPr>
          <w:rFonts w:ascii="仿宋" w:hAnsi="仿宋" w:eastAsia="仿宋" w:cs="仿宋"/>
          <w:spacing w:val="13"/>
          <w:sz w:val="28"/>
          <w:szCs w:val="28"/>
        </w:rPr>
        <w:t>电子政务、物</w:t>
      </w:r>
      <w:r>
        <w:rPr>
          <w:rFonts w:ascii="仿宋" w:hAnsi="仿宋" w:eastAsia="仿宋" w:cs="仿宋"/>
          <w:spacing w:val="4"/>
          <w:sz w:val="28"/>
          <w:szCs w:val="28"/>
        </w:rPr>
        <w:t>流交易管理服务、车辆管理服务（</w:t>
      </w:r>
      <w:r>
        <w:rPr>
          <w:rFonts w:ascii="仿宋" w:hAnsi="仿宋" w:eastAsia="仿宋" w:cs="仿宋"/>
          <w:spacing w:val="-56"/>
          <w:sz w:val="28"/>
          <w:szCs w:val="28"/>
        </w:rPr>
        <w:t xml:space="preserve"> </w:t>
      </w:r>
      <w:r>
        <w:rPr>
          <w:rFonts w:ascii="仿宋" w:hAnsi="仿宋" w:eastAsia="仿宋" w:cs="仿宋"/>
          <w:spacing w:val="4"/>
          <w:sz w:val="28"/>
          <w:szCs w:val="28"/>
        </w:rPr>
        <w:t>车联网）、电子商务等功能，并与“智</w:t>
      </w:r>
      <w:r>
        <w:rPr>
          <w:rFonts w:ascii="仿宋" w:hAnsi="仿宋" w:eastAsia="仿宋" w:cs="仿宋"/>
          <w:spacing w:val="16"/>
          <w:sz w:val="28"/>
          <w:szCs w:val="28"/>
        </w:rPr>
        <w:t>慧曲靖”互联互通，逐步实现资源共享和高效运作。鼓</w:t>
      </w:r>
      <w:r>
        <w:rPr>
          <w:rFonts w:ascii="仿宋" w:hAnsi="仿宋" w:eastAsia="仿宋" w:cs="仿宋"/>
          <w:spacing w:val="15"/>
          <w:sz w:val="28"/>
          <w:szCs w:val="28"/>
        </w:rPr>
        <w:t>励和积极发展道</w:t>
      </w:r>
      <w:r>
        <w:rPr>
          <w:rFonts w:ascii="仿宋" w:hAnsi="仿宋" w:eastAsia="仿宋" w:cs="仿宋"/>
          <w:spacing w:val="16"/>
          <w:sz w:val="28"/>
          <w:szCs w:val="28"/>
        </w:rPr>
        <w:t>路货物运输网络平台，有效整合运力、仓储、配送、技</w:t>
      </w:r>
      <w:r>
        <w:rPr>
          <w:rFonts w:ascii="仿宋" w:hAnsi="仿宋" w:eastAsia="仿宋" w:cs="仿宋"/>
          <w:spacing w:val="15"/>
          <w:sz w:val="28"/>
          <w:szCs w:val="28"/>
        </w:rPr>
        <w:t>术、人力等物流</w:t>
      </w:r>
      <w:r>
        <w:rPr>
          <w:rFonts w:ascii="仿宋" w:hAnsi="仿宋" w:eastAsia="仿宋" w:cs="仿宋"/>
          <w:spacing w:val="16"/>
          <w:sz w:val="28"/>
          <w:szCs w:val="28"/>
        </w:rPr>
        <w:t>资源，不断提升货运物流组织化水平。探索多式联运信息化</w:t>
      </w:r>
      <w:r>
        <w:rPr>
          <w:rFonts w:ascii="仿宋" w:hAnsi="仿宋" w:eastAsia="仿宋" w:cs="仿宋"/>
          <w:spacing w:val="15"/>
          <w:sz w:val="28"/>
          <w:szCs w:val="28"/>
        </w:rPr>
        <w:t>发展，逐步</w:t>
      </w:r>
      <w:r>
        <w:rPr>
          <w:rFonts w:ascii="仿宋" w:hAnsi="仿宋" w:eastAsia="仿宋" w:cs="仿宋"/>
          <w:spacing w:val="16"/>
          <w:sz w:val="28"/>
          <w:szCs w:val="28"/>
        </w:rPr>
        <w:t>推进铁路、公路等货运单证电子化和共享互认，提供全</w:t>
      </w:r>
      <w:r>
        <w:rPr>
          <w:rFonts w:ascii="仿宋" w:hAnsi="仿宋" w:eastAsia="仿宋" w:cs="仿宋"/>
          <w:spacing w:val="15"/>
          <w:sz w:val="28"/>
          <w:szCs w:val="28"/>
        </w:rPr>
        <w:t>程可监测、可追</w:t>
      </w:r>
      <w:r>
        <w:rPr>
          <w:rFonts w:ascii="仿宋" w:hAnsi="仿宋" w:eastAsia="仿宋" w:cs="仿宋"/>
          <w:spacing w:val="13"/>
          <w:sz w:val="28"/>
          <w:szCs w:val="28"/>
        </w:rPr>
        <w:t>溯的</w:t>
      </w:r>
      <w:r>
        <w:rPr>
          <w:rFonts w:ascii="仿宋" w:hAnsi="仿宋" w:eastAsia="仿宋" w:cs="仿宋"/>
          <w:spacing w:val="-85"/>
          <w:sz w:val="28"/>
          <w:szCs w:val="28"/>
        </w:rPr>
        <w:t xml:space="preserve"> </w:t>
      </w:r>
      <w:r>
        <w:rPr>
          <w:rFonts w:ascii="仿宋" w:hAnsi="仿宋" w:eastAsia="仿宋" w:cs="仿宋"/>
          <w:spacing w:val="13"/>
          <w:sz w:val="28"/>
          <w:szCs w:val="28"/>
        </w:rPr>
        <w:t>“</w:t>
      </w:r>
      <w:r>
        <w:rPr>
          <w:rFonts w:ascii="仿宋" w:hAnsi="仿宋" w:eastAsia="仿宋" w:cs="仿宋"/>
          <w:spacing w:val="-95"/>
          <w:sz w:val="28"/>
          <w:szCs w:val="28"/>
        </w:rPr>
        <w:t xml:space="preserve"> </w:t>
      </w:r>
      <w:r>
        <w:rPr>
          <w:rFonts w:ascii="仿宋" w:hAnsi="仿宋" w:eastAsia="仿宋" w:cs="仿宋"/>
          <w:spacing w:val="13"/>
          <w:sz w:val="28"/>
          <w:szCs w:val="28"/>
        </w:rPr>
        <w:t>一站式”物流服务。鼓励不同类型企</w:t>
      </w:r>
      <w:r>
        <w:rPr>
          <w:rFonts w:ascii="仿宋" w:hAnsi="仿宋" w:eastAsia="仿宋" w:cs="仿宋"/>
          <w:spacing w:val="12"/>
          <w:sz w:val="28"/>
          <w:szCs w:val="28"/>
        </w:rPr>
        <w:t>业加快物流信息平台差异化</w:t>
      </w:r>
    </w:p>
    <w:p w14:paraId="567C5BB3">
      <w:pPr>
        <w:spacing w:line="342" w:lineRule="auto"/>
        <w:rPr>
          <w:rFonts w:ascii="仿宋" w:hAnsi="仿宋" w:eastAsia="仿宋" w:cs="仿宋"/>
          <w:sz w:val="28"/>
          <w:szCs w:val="28"/>
        </w:rPr>
        <w:sectPr>
          <w:headerReference r:id="rId107" w:type="default"/>
          <w:footerReference r:id="rId108" w:type="default"/>
          <w:pgSz w:w="11906" w:h="16839"/>
          <w:pgMar w:top="1222" w:right="993" w:bottom="1156" w:left="1587" w:header="885" w:footer="920" w:gutter="0"/>
          <w:cols w:space="720" w:num="1"/>
        </w:sectPr>
      </w:pPr>
    </w:p>
    <w:p w14:paraId="4F0B6893">
      <w:pPr>
        <w:pStyle w:val="2"/>
        <w:spacing w:line="277" w:lineRule="auto"/>
      </w:pPr>
    </w:p>
    <w:p w14:paraId="12BC6F17">
      <w:pPr>
        <w:spacing w:before="91" w:line="343" w:lineRule="auto"/>
        <w:ind w:left="12" w:right="59" w:hanging="3"/>
        <w:rPr>
          <w:rFonts w:ascii="仿宋" w:hAnsi="仿宋" w:eastAsia="仿宋" w:cs="仿宋"/>
          <w:sz w:val="28"/>
          <w:szCs w:val="28"/>
        </w:rPr>
      </w:pPr>
      <w:r>
        <w:rPr>
          <w:rFonts w:ascii="仿宋" w:hAnsi="仿宋" w:eastAsia="仿宋" w:cs="仿宋"/>
          <w:spacing w:val="9"/>
          <w:sz w:val="28"/>
          <w:szCs w:val="28"/>
        </w:rPr>
        <w:t>发展，推进城市物流配送全链条信息共享，完善农村物流末端信息网络。</w:t>
      </w:r>
      <w:r>
        <w:rPr>
          <w:rFonts w:ascii="仿宋" w:hAnsi="仿宋" w:eastAsia="仿宋" w:cs="仿宋"/>
          <w:spacing w:val="10"/>
          <w:sz w:val="28"/>
          <w:szCs w:val="28"/>
        </w:rPr>
        <w:t>鼓励探索建设无人机短途货运和智慧配送实验区。</w:t>
      </w:r>
    </w:p>
    <w:p w14:paraId="31D2A005">
      <w:pPr>
        <w:spacing w:before="11" w:line="342" w:lineRule="auto"/>
        <w:ind w:left="1" w:right="143" w:firstLine="592"/>
        <w:jc w:val="both"/>
        <w:rPr>
          <w:rFonts w:ascii="仿宋" w:hAnsi="仿宋" w:eastAsia="仿宋" w:cs="仿宋"/>
          <w:sz w:val="28"/>
          <w:szCs w:val="28"/>
        </w:rPr>
      </w:pPr>
      <w:r>
        <w:rPr>
          <w:rFonts w:ascii="仿宋" w:hAnsi="仿宋" w:eastAsia="仿宋" w:cs="仿宋"/>
          <w:b/>
          <w:bCs/>
          <w:spacing w:val="6"/>
          <w:sz w:val="28"/>
          <w:szCs w:val="28"/>
        </w:rPr>
        <w:t>提升和完善</w:t>
      </w:r>
      <w:r>
        <w:rPr>
          <w:rFonts w:ascii="仿宋" w:hAnsi="仿宋" w:eastAsia="仿宋" w:cs="仿宋"/>
          <w:spacing w:val="-86"/>
          <w:sz w:val="28"/>
          <w:szCs w:val="28"/>
        </w:rPr>
        <w:t xml:space="preserve"> </w:t>
      </w:r>
      <w:r>
        <w:rPr>
          <w:rFonts w:ascii="仿宋" w:hAnsi="仿宋" w:eastAsia="仿宋" w:cs="仿宋"/>
          <w:b/>
          <w:bCs/>
          <w:spacing w:val="6"/>
          <w:sz w:val="28"/>
          <w:szCs w:val="28"/>
        </w:rPr>
        <w:t>“</w:t>
      </w:r>
      <w:r>
        <w:rPr>
          <w:rFonts w:ascii="仿宋" w:hAnsi="仿宋" w:eastAsia="仿宋" w:cs="仿宋"/>
          <w:spacing w:val="-105"/>
          <w:sz w:val="28"/>
          <w:szCs w:val="28"/>
        </w:rPr>
        <w:t xml:space="preserve"> </w:t>
      </w:r>
      <w:r>
        <w:rPr>
          <w:rFonts w:ascii="仿宋" w:hAnsi="仿宋" w:eastAsia="仿宋" w:cs="仿宋"/>
          <w:b/>
          <w:bCs/>
          <w:spacing w:val="6"/>
          <w:sz w:val="28"/>
          <w:szCs w:val="28"/>
        </w:rPr>
        <w:t>互联网+政务服务”系统。</w:t>
      </w:r>
      <w:r>
        <w:rPr>
          <w:rFonts w:ascii="仿宋" w:hAnsi="仿宋" w:eastAsia="仿宋" w:cs="仿宋"/>
          <w:spacing w:val="6"/>
          <w:sz w:val="28"/>
          <w:szCs w:val="28"/>
        </w:rPr>
        <w:t>进一步推进和完善交通运输领域</w:t>
      </w:r>
      <w:r>
        <w:rPr>
          <w:rFonts w:ascii="仿宋" w:hAnsi="仿宋" w:eastAsia="仿宋" w:cs="仿宋"/>
          <w:spacing w:val="-89"/>
          <w:sz w:val="28"/>
          <w:szCs w:val="28"/>
        </w:rPr>
        <w:t xml:space="preserve"> </w:t>
      </w:r>
      <w:r>
        <w:rPr>
          <w:rFonts w:ascii="仿宋" w:hAnsi="仿宋" w:eastAsia="仿宋" w:cs="仿宋"/>
          <w:spacing w:val="6"/>
          <w:sz w:val="28"/>
          <w:szCs w:val="28"/>
        </w:rPr>
        <w:t>“</w:t>
      </w:r>
      <w:r>
        <w:rPr>
          <w:rFonts w:ascii="仿宋" w:hAnsi="仿宋" w:eastAsia="仿宋" w:cs="仿宋"/>
          <w:spacing w:val="-105"/>
          <w:sz w:val="28"/>
          <w:szCs w:val="28"/>
        </w:rPr>
        <w:t xml:space="preserve"> </w:t>
      </w:r>
      <w:r>
        <w:rPr>
          <w:rFonts w:ascii="仿宋" w:hAnsi="仿宋" w:eastAsia="仿宋" w:cs="仿宋"/>
          <w:spacing w:val="6"/>
          <w:sz w:val="28"/>
          <w:szCs w:val="28"/>
        </w:rPr>
        <w:t>互联网+政务服务”，深入推动</w:t>
      </w:r>
      <w:r>
        <w:rPr>
          <w:rFonts w:ascii="仿宋" w:hAnsi="仿宋" w:eastAsia="仿宋" w:cs="仿宋"/>
          <w:spacing w:val="-90"/>
          <w:sz w:val="28"/>
          <w:szCs w:val="28"/>
        </w:rPr>
        <w:t xml:space="preserve"> </w:t>
      </w:r>
      <w:r>
        <w:rPr>
          <w:rFonts w:ascii="仿宋" w:hAnsi="仿宋" w:eastAsia="仿宋" w:cs="仿宋"/>
          <w:spacing w:val="6"/>
          <w:sz w:val="28"/>
          <w:szCs w:val="28"/>
        </w:rPr>
        <w:t>“</w:t>
      </w:r>
      <w:r>
        <w:rPr>
          <w:rFonts w:ascii="仿宋" w:hAnsi="仿宋" w:eastAsia="仿宋" w:cs="仿宋"/>
          <w:spacing w:val="-100"/>
          <w:sz w:val="28"/>
          <w:szCs w:val="28"/>
        </w:rPr>
        <w:t xml:space="preserve"> </w:t>
      </w:r>
      <w:r>
        <w:rPr>
          <w:rFonts w:ascii="仿宋" w:hAnsi="仿宋" w:eastAsia="仿宋" w:cs="仿宋"/>
          <w:spacing w:val="6"/>
          <w:sz w:val="28"/>
          <w:szCs w:val="28"/>
        </w:rPr>
        <w:t>一网</w:t>
      </w:r>
      <w:r>
        <w:rPr>
          <w:rFonts w:ascii="仿宋" w:hAnsi="仿宋" w:eastAsia="仿宋" w:cs="仿宋"/>
          <w:spacing w:val="5"/>
          <w:sz w:val="28"/>
          <w:szCs w:val="28"/>
        </w:rPr>
        <w:t>通办”便民政务服务。加强</w:t>
      </w:r>
      <w:r>
        <w:rPr>
          <w:rFonts w:ascii="仿宋" w:hAnsi="仿宋" w:eastAsia="仿宋" w:cs="仿宋"/>
          <w:spacing w:val="16"/>
          <w:sz w:val="28"/>
          <w:szCs w:val="28"/>
        </w:rPr>
        <w:t>行政管理和服务系统建设，建立涵盖审批、监管、执法</w:t>
      </w:r>
      <w:r>
        <w:rPr>
          <w:rFonts w:ascii="仿宋" w:hAnsi="仿宋" w:eastAsia="仿宋" w:cs="仿宋"/>
          <w:spacing w:val="15"/>
          <w:sz w:val="28"/>
          <w:szCs w:val="28"/>
        </w:rPr>
        <w:t>等功能的移动政</w:t>
      </w:r>
      <w:r>
        <w:rPr>
          <w:rFonts w:ascii="仿宋" w:hAnsi="仿宋" w:eastAsia="仿宋" w:cs="仿宋"/>
          <w:spacing w:val="10"/>
          <w:sz w:val="28"/>
          <w:szCs w:val="28"/>
        </w:rPr>
        <w:t>务服务平台，实现全行业办公自动化、网络</w:t>
      </w:r>
      <w:r>
        <w:rPr>
          <w:rFonts w:ascii="仿宋" w:hAnsi="仿宋" w:eastAsia="仿宋" w:cs="仿宋"/>
          <w:spacing w:val="9"/>
          <w:sz w:val="28"/>
          <w:szCs w:val="28"/>
        </w:rPr>
        <w:t>化，各单位</w:t>
      </w:r>
      <w:r>
        <w:rPr>
          <w:rFonts w:ascii="仿宋" w:hAnsi="仿宋" w:eastAsia="仿宋" w:cs="仿宋"/>
          <w:spacing w:val="-41"/>
          <w:sz w:val="28"/>
          <w:szCs w:val="28"/>
        </w:rPr>
        <w:t xml:space="preserve"> </w:t>
      </w:r>
      <w:r>
        <w:rPr>
          <w:rFonts w:ascii="仿宋" w:hAnsi="仿宋" w:eastAsia="仿宋" w:cs="仿宋"/>
          <w:sz w:val="28"/>
          <w:szCs w:val="28"/>
        </w:rPr>
        <w:t>OA</w:t>
      </w:r>
      <w:r>
        <w:rPr>
          <w:rFonts w:ascii="仿宋" w:hAnsi="仿宋" w:eastAsia="仿宋" w:cs="仿宋"/>
          <w:spacing w:val="-36"/>
          <w:sz w:val="28"/>
          <w:szCs w:val="28"/>
        </w:rPr>
        <w:t xml:space="preserve"> </w:t>
      </w:r>
      <w:r>
        <w:rPr>
          <w:rFonts w:ascii="仿宋" w:hAnsi="仿宋" w:eastAsia="仿宋" w:cs="仿宋"/>
          <w:spacing w:val="9"/>
          <w:sz w:val="28"/>
          <w:szCs w:val="28"/>
        </w:rPr>
        <w:t>办公系统相关</w:t>
      </w:r>
      <w:r>
        <w:rPr>
          <w:rFonts w:ascii="仿宋" w:hAnsi="仿宋" w:eastAsia="仿宋" w:cs="仿宋"/>
          <w:spacing w:val="16"/>
          <w:sz w:val="28"/>
          <w:szCs w:val="28"/>
        </w:rPr>
        <w:t>业务流程网络联动，实现对会议差旅出行率有效降低和监督。</w:t>
      </w:r>
      <w:r>
        <w:rPr>
          <w:rFonts w:ascii="仿宋" w:hAnsi="仿宋" w:eastAsia="仿宋" w:cs="仿宋"/>
          <w:spacing w:val="15"/>
          <w:sz w:val="28"/>
          <w:szCs w:val="28"/>
        </w:rPr>
        <w:t>加快完善</w:t>
      </w:r>
      <w:r>
        <w:rPr>
          <w:rFonts w:ascii="仿宋" w:hAnsi="仿宋" w:eastAsia="仿宋" w:cs="仿宋"/>
          <w:spacing w:val="16"/>
          <w:sz w:val="28"/>
          <w:szCs w:val="28"/>
        </w:rPr>
        <w:t>运政、路政、海事等政务信息系统，推进重点营运车辆联网联</w:t>
      </w:r>
      <w:r>
        <w:rPr>
          <w:rFonts w:ascii="仿宋" w:hAnsi="仿宋" w:eastAsia="仿宋" w:cs="仿宋"/>
          <w:spacing w:val="15"/>
          <w:sz w:val="28"/>
          <w:szCs w:val="28"/>
        </w:rPr>
        <w:t>控、交通</w:t>
      </w:r>
      <w:r>
        <w:rPr>
          <w:rFonts w:ascii="仿宋" w:hAnsi="仿宋" w:eastAsia="仿宋" w:cs="仿宋"/>
          <w:spacing w:val="16"/>
          <w:sz w:val="28"/>
          <w:szCs w:val="28"/>
        </w:rPr>
        <w:t>运输综合执法、治超联网等系统建设，提高执法装备智</w:t>
      </w:r>
      <w:r>
        <w:rPr>
          <w:rFonts w:ascii="仿宋" w:hAnsi="仿宋" w:eastAsia="仿宋" w:cs="仿宋"/>
          <w:spacing w:val="15"/>
          <w:sz w:val="28"/>
          <w:szCs w:val="28"/>
        </w:rPr>
        <w:t>能化水平，推进</w:t>
      </w:r>
      <w:r>
        <w:rPr>
          <w:rFonts w:ascii="仿宋" w:hAnsi="仿宋" w:eastAsia="仿宋" w:cs="仿宋"/>
          <w:spacing w:val="16"/>
          <w:sz w:val="28"/>
          <w:szCs w:val="28"/>
        </w:rPr>
        <w:t>在线识别和非现场执法。建设交通工程建设市场信用信息服</w:t>
      </w:r>
      <w:r>
        <w:rPr>
          <w:rFonts w:ascii="仿宋" w:hAnsi="仿宋" w:eastAsia="仿宋" w:cs="仿宋"/>
          <w:spacing w:val="15"/>
          <w:sz w:val="28"/>
          <w:szCs w:val="28"/>
        </w:rPr>
        <w:t>务系统、道</w:t>
      </w:r>
      <w:r>
        <w:rPr>
          <w:rFonts w:ascii="仿宋" w:hAnsi="仿宋" w:eastAsia="仿宋" w:cs="仿宋"/>
          <w:spacing w:val="11"/>
          <w:sz w:val="28"/>
          <w:szCs w:val="28"/>
        </w:rPr>
        <w:t>路运输市场诚信体系与云南省信用信息系统</w:t>
      </w:r>
      <w:r>
        <w:rPr>
          <w:rFonts w:ascii="仿宋" w:hAnsi="仿宋" w:eastAsia="仿宋" w:cs="仿宋"/>
          <w:spacing w:val="10"/>
          <w:sz w:val="28"/>
          <w:szCs w:val="28"/>
        </w:rPr>
        <w:t>的对接。</w:t>
      </w:r>
    </w:p>
    <w:p w14:paraId="721A6D40">
      <w:pPr>
        <w:spacing w:before="8" w:line="342" w:lineRule="auto"/>
        <w:ind w:left="8" w:firstLine="582"/>
        <w:rPr>
          <w:rFonts w:ascii="仿宋" w:hAnsi="仿宋" w:eastAsia="仿宋" w:cs="仿宋"/>
          <w:sz w:val="28"/>
          <w:szCs w:val="28"/>
        </w:rPr>
      </w:pPr>
      <w:r>
        <w:rPr>
          <w:rFonts w:ascii="仿宋" w:hAnsi="仿宋" w:eastAsia="仿宋" w:cs="仿宋"/>
          <w:b/>
          <w:bCs/>
          <w:spacing w:val="10"/>
          <w:sz w:val="28"/>
          <w:szCs w:val="28"/>
        </w:rPr>
        <w:t>健全网络和数据安全系统。</w:t>
      </w:r>
      <w:r>
        <w:rPr>
          <w:rFonts w:ascii="仿宋" w:hAnsi="仿宋" w:eastAsia="仿宋" w:cs="仿宋"/>
          <w:spacing w:val="10"/>
          <w:sz w:val="28"/>
          <w:szCs w:val="28"/>
        </w:rPr>
        <w:t>贯彻落实《中华人民共和国网</w:t>
      </w:r>
      <w:r>
        <w:rPr>
          <w:rFonts w:ascii="仿宋" w:hAnsi="仿宋" w:eastAsia="仿宋" w:cs="仿宋"/>
          <w:spacing w:val="9"/>
          <w:sz w:val="28"/>
          <w:szCs w:val="28"/>
        </w:rPr>
        <w:t>络安全法》</w:t>
      </w:r>
      <w:r>
        <w:rPr>
          <w:rFonts w:ascii="仿宋" w:hAnsi="仿宋" w:eastAsia="仿宋" w:cs="仿宋"/>
          <w:spacing w:val="16"/>
          <w:sz w:val="28"/>
          <w:szCs w:val="28"/>
        </w:rPr>
        <w:t>以及国家和省级关于数据安全的要求，落实</w:t>
      </w:r>
      <w:r>
        <w:rPr>
          <w:rFonts w:ascii="仿宋" w:hAnsi="仿宋" w:eastAsia="仿宋" w:cs="仿宋"/>
          <w:spacing w:val="15"/>
          <w:sz w:val="28"/>
          <w:szCs w:val="28"/>
        </w:rPr>
        <w:t>市级和县级交通运输管理部</w:t>
      </w:r>
      <w:r>
        <w:rPr>
          <w:rFonts w:ascii="仿宋" w:hAnsi="仿宋" w:eastAsia="仿宋" w:cs="仿宋"/>
          <w:spacing w:val="16"/>
          <w:sz w:val="28"/>
          <w:szCs w:val="28"/>
        </w:rPr>
        <w:t>门及相关机构的网络安全职责，健全信息通报、监测预警、应急处置、</w:t>
      </w:r>
      <w:r>
        <w:rPr>
          <w:rFonts w:ascii="仿宋" w:hAnsi="仿宋" w:eastAsia="仿宋" w:cs="仿宋"/>
          <w:spacing w:val="13"/>
          <w:sz w:val="28"/>
          <w:szCs w:val="28"/>
        </w:rPr>
        <w:t>预案管理等工作机制，建立专家库。</w:t>
      </w:r>
      <w:r>
        <w:rPr>
          <w:rFonts w:ascii="仿宋" w:hAnsi="仿宋" w:eastAsia="仿宋" w:cs="仿宋"/>
          <w:spacing w:val="-62"/>
          <w:sz w:val="28"/>
          <w:szCs w:val="28"/>
        </w:rPr>
        <w:t xml:space="preserve"> </w:t>
      </w:r>
      <w:r>
        <w:rPr>
          <w:rFonts w:ascii="仿宋" w:hAnsi="仿宋" w:eastAsia="仿宋" w:cs="仿宋"/>
          <w:spacing w:val="13"/>
          <w:sz w:val="28"/>
          <w:szCs w:val="28"/>
        </w:rPr>
        <w:t>落实网络安全等级保护制度，确保</w:t>
      </w:r>
      <w:r>
        <w:rPr>
          <w:rFonts w:ascii="仿宋" w:hAnsi="仿宋" w:eastAsia="仿宋" w:cs="仿宋"/>
          <w:spacing w:val="15"/>
          <w:sz w:val="28"/>
          <w:szCs w:val="28"/>
        </w:rPr>
        <w:t>各级安全防护合规达标。加强网络安全与信息系统同步建设，提高交通</w:t>
      </w:r>
      <w:r>
        <w:rPr>
          <w:rFonts w:ascii="仿宋" w:hAnsi="仿宋" w:eastAsia="仿宋" w:cs="仿宋"/>
          <w:spacing w:val="11"/>
          <w:sz w:val="28"/>
          <w:szCs w:val="28"/>
        </w:rPr>
        <w:t>运输关键信息基础设施和重要信息系统的网络</w:t>
      </w:r>
      <w:r>
        <w:rPr>
          <w:rFonts w:ascii="仿宋" w:hAnsi="仿宋" w:eastAsia="仿宋" w:cs="仿宋"/>
          <w:spacing w:val="10"/>
          <w:sz w:val="28"/>
          <w:szCs w:val="28"/>
        </w:rPr>
        <w:t>安全防护能力。</w:t>
      </w:r>
    </w:p>
    <w:p w14:paraId="5ECD01C3">
      <w:pPr>
        <w:spacing w:before="53" w:line="222" w:lineRule="auto"/>
        <w:ind w:left="635"/>
        <w:outlineLvl w:val="0"/>
        <w:rPr>
          <w:rFonts w:ascii="黑体" w:hAnsi="黑体" w:eastAsia="黑体" w:cs="黑体"/>
          <w:sz w:val="30"/>
          <w:szCs w:val="30"/>
        </w:rPr>
      </w:pPr>
      <w:bookmarkStart w:id="46" w:name="bookmark38"/>
      <w:bookmarkEnd w:id="46"/>
      <w:r>
        <w:rPr>
          <w:rFonts w:ascii="黑体" w:hAnsi="黑体" w:eastAsia="黑体" w:cs="黑体"/>
          <w:spacing w:val="-3"/>
          <w:sz w:val="30"/>
          <w:szCs w:val="30"/>
        </w:rPr>
        <w:t>（五）提高安全应急保障能力</w:t>
      </w:r>
    </w:p>
    <w:p w14:paraId="71C1B94E">
      <w:pPr>
        <w:spacing w:before="283" w:line="343" w:lineRule="auto"/>
        <w:ind w:left="9" w:right="136" w:firstLine="570"/>
        <w:jc w:val="both"/>
        <w:rPr>
          <w:rFonts w:ascii="仿宋" w:hAnsi="仿宋" w:eastAsia="仿宋" w:cs="仿宋"/>
          <w:sz w:val="28"/>
          <w:szCs w:val="28"/>
        </w:rPr>
      </w:pPr>
      <w:r>
        <w:rPr>
          <w:rFonts w:ascii="仿宋" w:hAnsi="仿宋" w:eastAsia="仿宋" w:cs="仿宋"/>
          <w:spacing w:val="-3"/>
          <w:sz w:val="28"/>
          <w:szCs w:val="28"/>
        </w:rPr>
        <w:t>牢固树立安全稳定是最大的民生理念，始终把安全生产放在首要位置，</w:t>
      </w:r>
      <w:r>
        <w:rPr>
          <w:rFonts w:ascii="仿宋" w:hAnsi="仿宋" w:eastAsia="仿宋" w:cs="仿宋"/>
          <w:spacing w:val="7"/>
          <w:sz w:val="28"/>
          <w:szCs w:val="28"/>
        </w:rPr>
        <w:t>进一步完善安全生产责任体系，加强交通运输安全监</w:t>
      </w:r>
      <w:r>
        <w:rPr>
          <w:rFonts w:ascii="仿宋" w:hAnsi="仿宋" w:eastAsia="仿宋" w:cs="仿宋"/>
          <w:spacing w:val="6"/>
          <w:sz w:val="28"/>
          <w:szCs w:val="28"/>
        </w:rPr>
        <w:t>管体系，强化交通运</w:t>
      </w:r>
      <w:r>
        <w:rPr>
          <w:rFonts w:ascii="仿宋" w:hAnsi="仿宋" w:eastAsia="仿宋" w:cs="仿宋"/>
          <w:spacing w:val="-2"/>
          <w:sz w:val="28"/>
          <w:szCs w:val="28"/>
        </w:rPr>
        <w:t>输应急预案体系，以建立健全综合交通运输安全应</w:t>
      </w:r>
      <w:r>
        <w:rPr>
          <w:rFonts w:ascii="仿宋" w:hAnsi="仿宋" w:eastAsia="仿宋" w:cs="仿宋"/>
          <w:spacing w:val="-3"/>
          <w:sz w:val="28"/>
          <w:szCs w:val="28"/>
        </w:rPr>
        <w:t>急管理体制机制，形成政</w:t>
      </w:r>
      <w:r>
        <w:rPr>
          <w:rFonts w:ascii="仿宋" w:hAnsi="仿宋" w:eastAsia="仿宋" w:cs="仿宋"/>
          <w:spacing w:val="7"/>
          <w:sz w:val="28"/>
          <w:szCs w:val="28"/>
        </w:rPr>
        <w:t>府主导、部门协调、全社会共同参与的安全应急管理</w:t>
      </w:r>
      <w:r>
        <w:rPr>
          <w:rFonts w:ascii="仿宋" w:hAnsi="仿宋" w:eastAsia="仿宋" w:cs="仿宋"/>
          <w:spacing w:val="6"/>
          <w:sz w:val="28"/>
          <w:szCs w:val="28"/>
        </w:rPr>
        <w:t>新格局，确保交通运</w:t>
      </w:r>
      <w:r>
        <w:rPr>
          <w:rFonts w:ascii="仿宋" w:hAnsi="仿宋" w:eastAsia="仿宋" w:cs="仿宋"/>
          <w:spacing w:val="-2"/>
          <w:sz w:val="28"/>
          <w:szCs w:val="28"/>
        </w:rPr>
        <w:t>输行业安全稳定。</w:t>
      </w:r>
    </w:p>
    <w:p w14:paraId="18425AF2">
      <w:pPr>
        <w:spacing w:before="3" w:line="343" w:lineRule="auto"/>
        <w:ind w:left="15" w:right="131" w:firstLine="595"/>
        <w:jc w:val="both"/>
        <w:rPr>
          <w:rFonts w:ascii="仿宋" w:hAnsi="仿宋" w:eastAsia="仿宋" w:cs="仿宋"/>
          <w:sz w:val="28"/>
          <w:szCs w:val="28"/>
        </w:rPr>
      </w:pPr>
      <w:r>
        <w:rPr>
          <w:rFonts w:ascii="仿宋" w:hAnsi="仿宋" w:eastAsia="仿宋" w:cs="仿宋"/>
          <w:b/>
          <w:bCs/>
          <w:spacing w:val="-4"/>
          <w:sz w:val="28"/>
          <w:szCs w:val="28"/>
        </w:rPr>
        <w:t>完善安全生产责任体系。</w:t>
      </w:r>
      <w:r>
        <w:rPr>
          <w:rFonts w:ascii="仿宋" w:hAnsi="仿宋" w:eastAsia="仿宋" w:cs="仿宋"/>
          <w:spacing w:val="-4"/>
          <w:sz w:val="28"/>
          <w:szCs w:val="28"/>
        </w:rPr>
        <w:t>坚守安全“底线”和“</w:t>
      </w:r>
      <w:r>
        <w:rPr>
          <w:rFonts w:ascii="仿宋" w:hAnsi="仿宋" w:eastAsia="仿宋" w:cs="仿宋"/>
          <w:spacing w:val="-5"/>
          <w:sz w:val="28"/>
          <w:szCs w:val="28"/>
        </w:rPr>
        <w:t>红线”意识，完善“党</w:t>
      </w:r>
      <w:r>
        <w:rPr>
          <w:rFonts w:ascii="仿宋" w:hAnsi="仿宋" w:eastAsia="仿宋" w:cs="仿宋"/>
          <w:spacing w:val="-3"/>
          <w:sz w:val="28"/>
          <w:szCs w:val="28"/>
        </w:rPr>
        <w:t>政同责、一岗双责、齐抓共管、失职追责”和</w:t>
      </w:r>
      <w:r>
        <w:rPr>
          <w:rFonts w:ascii="仿宋" w:hAnsi="仿宋" w:eastAsia="仿宋" w:cs="仿宋"/>
          <w:spacing w:val="-109"/>
          <w:sz w:val="28"/>
          <w:szCs w:val="28"/>
        </w:rPr>
        <w:t xml:space="preserve"> </w:t>
      </w:r>
      <w:r>
        <w:rPr>
          <w:rFonts w:ascii="仿宋" w:hAnsi="仿宋" w:eastAsia="仿宋" w:cs="仿宋"/>
          <w:spacing w:val="-3"/>
          <w:sz w:val="28"/>
          <w:szCs w:val="28"/>
        </w:rPr>
        <w:t>“管行业必须管安全、管业务</w:t>
      </w:r>
      <w:r>
        <w:rPr>
          <w:rFonts w:ascii="仿宋" w:hAnsi="仿宋" w:eastAsia="仿宋" w:cs="仿宋"/>
          <w:spacing w:val="-2"/>
          <w:sz w:val="28"/>
          <w:szCs w:val="28"/>
        </w:rPr>
        <w:t>必须管安全、管生产经营必须管安全”的安全生产责任体系，健全安</w:t>
      </w:r>
      <w:r>
        <w:rPr>
          <w:rFonts w:ascii="仿宋" w:hAnsi="仿宋" w:eastAsia="仿宋" w:cs="仿宋"/>
          <w:spacing w:val="-3"/>
          <w:sz w:val="28"/>
          <w:szCs w:val="28"/>
        </w:rPr>
        <w:t>全生产</w:t>
      </w:r>
    </w:p>
    <w:p w14:paraId="172CE7A1">
      <w:pPr>
        <w:spacing w:line="343" w:lineRule="auto"/>
        <w:rPr>
          <w:rFonts w:ascii="仿宋" w:hAnsi="仿宋" w:eastAsia="仿宋" w:cs="仿宋"/>
          <w:sz w:val="28"/>
          <w:szCs w:val="28"/>
        </w:rPr>
        <w:sectPr>
          <w:headerReference r:id="rId109" w:type="default"/>
          <w:footerReference r:id="rId110" w:type="default"/>
          <w:pgSz w:w="11906" w:h="16839"/>
          <w:pgMar w:top="1222" w:right="1449" w:bottom="1156" w:left="1134" w:header="885" w:footer="920" w:gutter="0"/>
          <w:cols w:space="720" w:num="1"/>
        </w:sectPr>
      </w:pPr>
    </w:p>
    <w:p w14:paraId="7F386015">
      <w:pPr>
        <w:pStyle w:val="2"/>
        <w:spacing w:line="276" w:lineRule="auto"/>
      </w:pPr>
    </w:p>
    <w:p w14:paraId="27F719D3">
      <w:pPr>
        <w:spacing w:before="91" w:line="343" w:lineRule="auto"/>
        <w:ind w:left="9" w:right="214" w:firstLine="9"/>
        <w:jc w:val="both"/>
        <w:rPr>
          <w:rFonts w:ascii="仿宋" w:hAnsi="仿宋" w:eastAsia="仿宋" w:cs="仿宋"/>
          <w:sz w:val="28"/>
          <w:szCs w:val="28"/>
        </w:rPr>
      </w:pPr>
      <w:r>
        <w:rPr>
          <w:rFonts w:ascii="仿宋" w:hAnsi="仿宋" w:eastAsia="仿宋" w:cs="仿宋"/>
          <w:spacing w:val="-2"/>
          <w:sz w:val="28"/>
          <w:szCs w:val="28"/>
        </w:rPr>
        <w:t>责任清单、权力清单和督查清单，强化企业安全生产主体</w:t>
      </w:r>
      <w:r>
        <w:rPr>
          <w:rFonts w:ascii="仿宋" w:hAnsi="仿宋" w:eastAsia="仿宋" w:cs="仿宋"/>
          <w:spacing w:val="-3"/>
          <w:sz w:val="28"/>
          <w:szCs w:val="28"/>
        </w:rPr>
        <w:t>责任落实，确保安</w:t>
      </w:r>
      <w:r>
        <w:rPr>
          <w:rFonts w:ascii="仿宋" w:hAnsi="仿宋" w:eastAsia="仿宋" w:cs="仿宋"/>
          <w:spacing w:val="-2"/>
          <w:sz w:val="28"/>
          <w:szCs w:val="28"/>
        </w:rPr>
        <w:t>全生产责任落实到每个环节、每个岗位，形成全链条、无断扣的责任体系。</w:t>
      </w:r>
      <w:r>
        <w:rPr>
          <w:rFonts w:ascii="仿宋" w:hAnsi="仿宋" w:eastAsia="仿宋" w:cs="仿宋"/>
          <w:spacing w:val="7"/>
          <w:sz w:val="28"/>
          <w:szCs w:val="28"/>
        </w:rPr>
        <w:t>完善网络安全保障体系，增强科技兴安能力，加</w:t>
      </w:r>
      <w:r>
        <w:rPr>
          <w:rFonts w:ascii="仿宋" w:hAnsi="仿宋" w:eastAsia="仿宋" w:cs="仿宋"/>
          <w:spacing w:val="6"/>
          <w:sz w:val="28"/>
          <w:szCs w:val="28"/>
        </w:rPr>
        <w:t>强交通运输信息基础设施</w:t>
      </w:r>
      <w:r>
        <w:rPr>
          <w:rFonts w:ascii="仿宋" w:hAnsi="仿宋" w:eastAsia="仿宋" w:cs="仿宋"/>
          <w:sz w:val="28"/>
          <w:szCs w:val="28"/>
        </w:rPr>
        <w:t>安全保护。强化安全生产事故调查评估，切实</w:t>
      </w:r>
      <w:r>
        <w:rPr>
          <w:rFonts w:ascii="仿宋" w:hAnsi="仿宋" w:eastAsia="仿宋" w:cs="仿宋"/>
          <w:spacing w:val="-1"/>
          <w:sz w:val="28"/>
          <w:szCs w:val="28"/>
        </w:rPr>
        <w:t>提高交通运输安全水平。</w:t>
      </w:r>
    </w:p>
    <w:p w14:paraId="7A5A570E">
      <w:pPr>
        <w:spacing w:before="12" w:line="342" w:lineRule="auto"/>
        <w:ind w:left="6" w:firstLine="588"/>
        <w:jc w:val="both"/>
        <w:rPr>
          <w:rFonts w:ascii="仿宋" w:hAnsi="仿宋" w:eastAsia="仿宋" w:cs="仿宋"/>
          <w:sz w:val="28"/>
          <w:szCs w:val="28"/>
        </w:rPr>
      </w:pPr>
      <w:r>
        <w:rPr>
          <w:rFonts w:ascii="仿宋" w:hAnsi="仿宋" w:eastAsia="仿宋" w:cs="仿宋"/>
          <w:b/>
          <w:bCs/>
          <w:spacing w:val="9"/>
          <w:sz w:val="28"/>
          <w:szCs w:val="28"/>
        </w:rPr>
        <w:t>加强交通运输安全监管体系。</w:t>
      </w:r>
      <w:r>
        <w:rPr>
          <w:rFonts w:ascii="仿宋" w:hAnsi="仿宋" w:eastAsia="仿宋" w:cs="仿宋"/>
          <w:spacing w:val="9"/>
          <w:sz w:val="28"/>
          <w:szCs w:val="28"/>
        </w:rPr>
        <w:t>建立有关部门</w:t>
      </w:r>
      <w:r>
        <w:rPr>
          <w:rFonts w:ascii="仿宋" w:hAnsi="仿宋" w:eastAsia="仿宋" w:cs="仿宋"/>
          <w:spacing w:val="-89"/>
          <w:sz w:val="28"/>
          <w:szCs w:val="28"/>
        </w:rPr>
        <w:t xml:space="preserve"> </w:t>
      </w:r>
      <w:r>
        <w:rPr>
          <w:rFonts w:ascii="仿宋" w:hAnsi="仿宋" w:eastAsia="仿宋" w:cs="仿宋"/>
          <w:spacing w:val="9"/>
          <w:sz w:val="28"/>
          <w:szCs w:val="28"/>
        </w:rPr>
        <w:t>“各司其职、各负其责、</w:t>
      </w:r>
      <w:r>
        <w:rPr>
          <w:rFonts w:ascii="仿宋" w:hAnsi="仿宋" w:eastAsia="仿宋" w:cs="仿宋"/>
          <w:spacing w:val="12"/>
          <w:sz w:val="28"/>
          <w:szCs w:val="28"/>
        </w:rPr>
        <w:t>齐抓共管”的安全监管机制，形成安全目标责任</w:t>
      </w:r>
      <w:r>
        <w:rPr>
          <w:rFonts w:ascii="仿宋" w:hAnsi="仿宋" w:eastAsia="仿宋" w:cs="仿宋"/>
          <w:spacing w:val="-91"/>
          <w:sz w:val="28"/>
          <w:szCs w:val="28"/>
        </w:rPr>
        <w:t xml:space="preserve"> </w:t>
      </w:r>
      <w:r>
        <w:rPr>
          <w:rFonts w:ascii="仿宋" w:hAnsi="仿宋" w:eastAsia="仿宋" w:cs="仿宋"/>
          <w:spacing w:val="12"/>
          <w:sz w:val="28"/>
          <w:szCs w:val="28"/>
        </w:rPr>
        <w:t>“横向到边、纵向到底”</w:t>
      </w:r>
      <w:r>
        <w:rPr>
          <w:rFonts w:ascii="仿宋" w:hAnsi="仿宋" w:eastAsia="仿宋" w:cs="仿宋"/>
          <w:spacing w:val="5"/>
          <w:sz w:val="28"/>
          <w:szCs w:val="28"/>
        </w:rPr>
        <w:t>的交通运输安全监管体系。加强重点营运车辆特别是</w:t>
      </w:r>
      <w:r>
        <w:rPr>
          <w:rFonts w:ascii="仿宋" w:hAnsi="仿宋" w:eastAsia="仿宋" w:cs="仿宋"/>
          <w:spacing w:val="-82"/>
          <w:sz w:val="28"/>
          <w:szCs w:val="28"/>
        </w:rPr>
        <w:t xml:space="preserve"> </w:t>
      </w:r>
      <w:r>
        <w:rPr>
          <w:rFonts w:ascii="仿宋" w:hAnsi="仿宋" w:eastAsia="仿宋" w:cs="仿宋"/>
          <w:spacing w:val="5"/>
          <w:sz w:val="28"/>
          <w:szCs w:val="28"/>
        </w:rPr>
        <w:t>“两客一危”运输车</w:t>
      </w:r>
      <w:r>
        <w:rPr>
          <w:rFonts w:ascii="仿宋" w:hAnsi="仿宋" w:eastAsia="仿宋" w:cs="仿宋"/>
          <w:spacing w:val="-2"/>
          <w:sz w:val="28"/>
          <w:szCs w:val="28"/>
        </w:rPr>
        <w:t>辆监管，集中整治营运驾驶员、客货运输车辆、客货运枢纽站场和运输企业存在的安全隐患和薄弱环节；强化项目建设中的高填深挖、大桥隧道施工安</w:t>
      </w:r>
      <w:r>
        <w:rPr>
          <w:rFonts w:ascii="仿宋" w:hAnsi="仿宋" w:eastAsia="仿宋" w:cs="仿宋"/>
          <w:spacing w:val="-4"/>
          <w:sz w:val="28"/>
          <w:szCs w:val="28"/>
        </w:rPr>
        <w:t>全；强化码头渡</w:t>
      </w:r>
      <w:r>
        <w:rPr>
          <w:rFonts w:ascii="仿宋" w:hAnsi="仿宋" w:eastAsia="仿宋" w:cs="仿宋"/>
          <w:spacing w:val="-70"/>
          <w:sz w:val="28"/>
          <w:szCs w:val="28"/>
        </w:rPr>
        <w:t xml:space="preserve"> </w:t>
      </w:r>
      <w:r>
        <w:rPr>
          <w:rFonts w:ascii="仿宋" w:hAnsi="仿宋" w:eastAsia="仿宋" w:cs="仿宋"/>
          <w:spacing w:val="-4"/>
          <w:sz w:val="28"/>
          <w:szCs w:val="28"/>
        </w:rPr>
        <w:t>口、临水临崖、急弯陡坡路段等重点部位监管，实施好公路</w:t>
      </w:r>
      <w:r>
        <w:rPr>
          <w:rFonts w:ascii="仿宋" w:hAnsi="仿宋" w:eastAsia="仿宋" w:cs="仿宋"/>
          <w:spacing w:val="-2"/>
          <w:sz w:val="28"/>
          <w:szCs w:val="28"/>
        </w:rPr>
        <w:t>安全生命防护工程。加强春运、黄金周等重点时段安全监管和应急值守，做</w:t>
      </w:r>
      <w:r>
        <w:rPr>
          <w:rFonts w:ascii="仿宋" w:hAnsi="仿宋" w:eastAsia="仿宋" w:cs="仿宋"/>
          <w:spacing w:val="6"/>
          <w:sz w:val="28"/>
          <w:szCs w:val="28"/>
        </w:rPr>
        <w:t>好极端天气的预警、防范和应急保障工作。利用线上线下教育培训平台，</w:t>
      </w:r>
    </w:p>
    <w:p w14:paraId="3437A4F9">
      <w:pPr>
        <w:spacing w:line="216" w:lineRule="auto"/>
        <w:ind w:left="9"/>
        <w:rPr>
          <w:rFonts w:ascii="仿宋" w:hAnsi="仿宋" w:eastAsia="仿宋" w:cs="仿宋"/>
          <w:sz w:val="28"/>
          <w:szCs w:val="28"/>
        </w:rPr>
      </w:pPr>
      <w:r>
        <w:rPr>
          <w:rFonts w:ascii="仿宋" w:hAnsi="仿宋" w:eastAsia="仿宋" w:cs="仿宋"/>
          <w:spacing w:val="7"/>
          <w:sz w:val="28"/>
          <w:szCs w:val="28"/>
        </w:rPr>
        <w:t>全面增强行业从业人员安全教育培训学习。</w:t>
      </w:r>
    </w:p>
    <w:p w14:paraId="12F6204B">
      <w:pPr>
        <w:spacing w:before="190" w:line="343" w:lineRule="auto"/>
        <w:ind w:left="8" w:right="214" w:firstLine="605"/>
        <w:jc w:val="both"/>
        <w:rPr>
          <w:rFonts w:ascii="仿宋" w:hAnsi="仿宋" w:eastAsia="仿宋" w:cs="仿宋"/>
          <w:sz w:val="28"/>
          <w:szCs w:val="28"/>
        </w:rPr>
      </w:pPr>
      <w:r>
        <w:rPr>
          <w:rFonts w:ascii="仿宋" w:hAnsi="仿宋" w:eastAsia="仿宋" w:cs="仿宋"/>
          <w:b/>
          <w:bCs/>
          <w:spacing w:val="4"/>
          <w:sz w:val="28"/>
          <w:szCs w:val="28"/>
        </w:rPr>
        <w:t>强化交通运输应急预案体系。</w:t>
      </w:r>
      <w:r>
        <w:rPr>
          <w:rFonts w:ascii="仿宋" w:hAnsi="仿宋" w:eastAsia="仿宋" w:cs="仿宋"/>
          <w:spacing w:val="4"/>
          <w:sz w:val="28"/>
          <w:szCs w:val="28"/>
        </w:rPr>
        <w:t>进一步完善交通运输应急预案体系，强</w:t>
      </w:r>
      <w:r>
        <w:rPr>
          <w:rFonts w:ascii="仿宋" w:hAnsi="仿宋" w:eastAsia="仿宋" w:cs="仿宋"/>
          <w:spacing w:val="-2"/>
          <w:sz w:val="28"/>
          <w:szCs w:val="28"/>
        </w:rPr>
        <w:t>化应急队伍建设，搞好应急培训和演练，保障人力、车辆、物资动态调配，</w:t>
      </w:r>
      <w:r>
        <w:rPr>
          <w:rFonts w:ascii="仿宋" w:hAnsi="仿宋" w:eastAsia="仿宋" w:cs="仿宋"/>
          <w:spacing w:val="6"/>
          <w:sz w:val="28"/>
          <w:szCs w:val="28"/>
        </w:rPr>
        <w:t>提高事故防范和处置能力。强化曲靖市道路运行监测，提升路网应急反应</w:t>
      </w:r>
      <w:r>
        <w:rPr>
          <w:rFonts w:ascii="仿宋" w:hAnsi="仿宋" w:eastAsia="仿宋" w:cs="仿宋"/>
          <w:spacing w:val="15"/>
          <w:sz w:val="28"/>
          <w:szCs w:val="28"/>
        </w:rPr>
        <w:t>和统一协调调度能力；针对不同突发事件特点制定专项处置预案，针对综合运输枢纽、特大桥隧等重要构造物制定现场预案，完善市县两级交</w:t>
      </w:r>
      <w:r>
        <w:rPr>
          <w:rFonts w:ascii="仿宋" w:hAnsi="仿宋" w:eastAsia="仿宋" w:cs="仿宋"/>
          <w:spacing w:val="13"/>
          <w:sz w:val="28"/>
          <w:szCs w:val="28"/>
        </w:rPr>
        <w:t>通运输应急预案体系；</w:t>
      </w:r>
      <w:r>
        <w:rPr>
          <w:rFonts w:ascii="仿宋" w:hAnsi="仿宋" w:eastAsia="仿宋" w:cs="仿宋"/>
          <w:spacing w:val="-58"/>
          <w:sz w:val="28"/>
          <w:szCs w:val="28"/>
        </w:rPr>
        <w:t xml:space="preserve"> </w:t>
      </w:r>
      <w:r>
        <w:rPr>
          <w:rFonts w:ascii="仿宋" w:hAnsi="仿宋" w:eastAsia="仿宋" w:cs="仿宋"/>
          <w:spacing w:val="13"/>
          <w:sz w:val="28"/>
          <w:szCs w:val="28"/>
        </w:rPr>
        <w:t>以提高水上应急处置和保障能力为重点，加</w:t>
      </w:r>
      <w:r>
        <w:rPr>
          <w:rFonts w:ascii="仿宋" w:hAnsi="仿宋" w:eastAsia="仿宋" w:cs="仿宋"/>
          <w:spacing w:val="12"/>
          <w:sz w:val="28"/>
          <w:szCs w:val="28"/>
        </w:rPr>
        <w:t>强海</w:t>
      </w:r>
      <w:r>
        <w:rPr>
          <w:rFonts w:ascii="仿宋" w:hAnsi="仿宋" w:eastAsia="仿宋" w:cs="仿宋"/>
          <w:spacing w:val="7"/>
          <w:sz w:val="28"/>
          <w:szCs w:val="28"/>
        </w:rPr>
        <w:t>事应急能力建设。积极预防和妥善处置群体性事件，</w:t>
      </w:r>
      <w:r>
        <w:rPr>
          <w:rFonts w:ascii="仿宋" w:hAnsi="仿宋" w:eastAsia="仿宋" w:cs="仿宋"/>
          <w:spacing w:val="6"/>
          <w:sz w:val="28"/>
          <w:szCs w:val="28"/>
        </w:rPr>
        <w:t>突出重大活动、重点</w:t>
      </w:r>
      <w:r>
        <w:rPr>
          <w:rFonts w:ascii="仿宋" w:hAnsi="仿宋" w:eastAsia="仿宋" w:cs="仿宋"/>
          <w:spacing w:val="-2"/>
          <w:sz w:val="28"/>
          <w:szCs w:val="28"/>
        </w:rPr>
        <w:t>时段，认真开展专项矛盾问题摸排调研，切实落实各项稳控措施，确保行业</w:t>
      </w:r>
      <w:r>
        <w:rPr>
          <w:rFonts w:ascii="仿宋" w:hAnsi="仿宋" w:eastAsia="仿宋" w:cs="仿宋"/>
          <w:spacing w:val="-4"/>
          <w:sz w:val="28"/>
          <w:szCs w:val="28"/>
        </w:rPr>
        <w:t>稳定与发展。加强交通运输部门与公安、应急、</w:t>
      </w:r>
      <w:r>
        <w:rPr>
          <w:rFonts w:ascii="仿宋" w:hAnsi="仿宋" w:eastAsia="仿宋" w:cs="仿宋"/>
          <w:spacing w:val="-71"/>
          <w:sz w:val="28"/>
          <w:szCs w:val="28"/>
        </w:rPr>
        <w:t xml:space="preserve"> </w:t>
      </w:r>
      <w:r>
        <w:rPr>
          <w:rFonts w:ascii="仿宋" w:hAnsi="仿宋" w:eastAsia="仿宋" w:cs="仿宋"/>
          <w:spacing w:val="-4"/>
          <w:sz w:val="28"/>
          <w:szCs w:val="28"/>
        </w:rPr>
        <w:t>自然资源、地震、气象等部</w:t>
      </w:r>
      <w:r>
        <w:rPr>
          <w:rFonts w:ascii="仿宋" w:hAnsi="仿宋" w:eastAsia="仿宋" w:cs="仿宋"/>
          <w:sz w:val="28"/>
          <w:szCs w:val="28"/>
        </w:rPr>
        <w:t>门的信息共享和协调联动，完善突发事件应</w:t>
      </w:r>
      <w:r>
        <w:rPr>
          <w:rFonts w:ascii="仿宋" w:hAnsi="仿宋" w:eastAsia="仿宋" w:cs="仿宋"/>
          <w:spacing w:val="-1"/>
          <w:sz w:val="28"/>
          <w:szCs w:val="28"/>
        </w:rPr>
        <w:t>急救援指挥系统。</w:t>
      </w:r>
    </w:p>
    <w:p w14:paraId="1F5CBF21">
      <w:pPr>
        <w:spacing w:before="52" w:line="221" w:lineRule="auto"/>
        <w:ind w:left="35"/>
        <w:outlineLvl w:val="0"/>
        <w:rPr>
          <w:rFonts w:ascii="黑体" w:hAnsi="黑体" w:eastAsia="黑体" w:cs="黑体"/>
          <w:sz w:val="30"/>
          <w:szCs w:val="30"/>
        </w:rPr>
      </w:pPr>
      <w:bookmarkStart w:id="47" w:name="bookmark39"/>
      <w:bookmarkEnd w:id="47"/>
      <w:r>
        <w:rPr>
          <w:rFonts w:ascii="黑体" w:hAnsi="黑体" w:eastAsia="黑体" w:cs="黑体"/>
          <w:spacing w:val="-3"/>
          <w:sz w:val="30"/>
          <w:szCs w:val="30"/>
        </w:rPr>
        <w:t>（六）促进绿色低碳转型发展</w:t>
      </w:r>
    </w:p>
    <w:p w14:paraId="29804CBA">
      <w:pPr>
        <w:spacing w:before="288" w:line="341" w:lineRule="auto"/>
        <w:ind w:left="22" w:right="221" w:firstLine="562"/>
        <w:rPr>
          <w:rFonts w:ascii="仿宋" w:hAnsi="仿宋" w:eastAsia="仿宋" w:cs="仿宋"/>
          <w:sz w:val="28"/>
          <w:szCs w:val="28"/>
        </w:rPr>
      </w:pPr>
      <w:r>
        <w:rPr>
          <w:rFonts w:ascii="仿宋" w:hAnsi="仿宋" w:eastAsia="仿宋" w:cs="仿宋"/>
          <w:spacing w:val="6"/>
          <w:sz w:val="28"/>
          <w:szCs w:val="28"/>
        </w:rPr>
        <w:t>全面推进交通运输规划、设计、建设、运营、养护和管理全生命周期绿色低碳转型，协同推进减污降碳，推动落实交通运输行业碳达峰、碳中</w:t>
      </w:r>
    </w:p>
    <w:p w14:paraId="0FB2ACDA">
      <w:pPr>
        <w:spacing w:line="341" w:lineRule="auto"/>
        <w:rPr>
          <w:rFonts w:ascii="仿宋" w:hAnsi="仿宋" w:eastAsia="仿宋" w:cs="仿宋"/>
          <w:sz w:val="28"/>
          <w:szCs w:val="28"/>
        </w:rPr>
        <w:sectPr>
          <w:headerReference r:id="rId111" w:type="default"/>
          <w:footerReference r:id="rId112" w:type="default"/>
          <w:pgSz w:w="11906" w:h="16839"/>
          <w:pgMar w:top="1222" w:right="917" w:bottom="1156" w:left="1587" w:header="885" w:footer="920" w:gutter="0"/>
          <w:cols w:space="720" w:num="1"/>
        </w:sectPr>
      </w:pPr>
    </w:p>
    <w:p w14:paraId="17B1FEDA">
      <w:pPr>
        <w:pStyle w:val="2"/>
        <w:spacing w:line="276" w:lineRule="auto"/>
      </w:pPr>
    </w:p>
    <w:p w14:paraId="40B38872">
      <w:pPr>
        <w:spacing w:before="91" w:line="343" w:lineRule="auto"/>
        <w:ind w:left="7" w:right="204" w:firstLine="8"/>
        <w:jc w:val="both"/>
        <w:rPr>
          <w:rFonts w:ascii="仿宋" w:hAnsi="仿宋" w:eastAsia="仿宋" w:cs="仿宋"/>
          <w:sz w:val="28"/>
          <w:szCs w:val="28"/>
        </w:rPr>
      </w:pPr>
      <w:r>
        <w:rPr>
          <w:rFonts w:ascii="仿宋" w:hAnsi="仿宋" w:eastAsia="仿宋" w:cs="仿宋"/>
          <w:spacing w:val="6"/>
          <w:sz w:val="28"/>
          <w:szCs w:val="28"/>
        </w:rPr>
        <w:t>和目标。树立绿色、循环、低碳交通发展理念，以满足群众出行需求为目</w:t>
      </w:r>
      <w:r>
        <w:rPr>
          <w:rFonts w:ascii="仿宋" w:hAnsi="仿宋" w:eastAsia="仿宋" w:cs="仿宋"/>
          <w:sz w:val="28"/>
          <w:szCs w:val="28"/>
        </w:rPr>
        <w:t>标，全面构建以公共交通为主导的多元化绿色交通发展体系，到规划期末，</w:t>
      </w:r>
      <w:r>
        <w:rPr>
          <w:rFonts w:ascii="仿宋" w:hAnsi="仿宋" w:eastAsia="仿宋" w:cs="仿宋"/>
          <w:spacing w:val="6"/>
          <w:sz w:val="28"/>
          <w:szCs w:val="28"/>
        </w:rPr>
        <w:t>全市交通运输领域初步形成绿色低碳生产方式，绿色交通基础设施、绿色运输系统、绿色交通能力建设取得突破性进展。</w:t>
      </w:r>
    </w:p>
    <w:p w14:paraId="5296BA45">
      <w:pPr>
        <w:spacing w:before="17" w:line="342" w:lineRule="auto"/>
        <w:ind w:left="9" w:right="204" w:firstLine="584"/>
        <w:jc w:val="both"/>
        <w:rPr>
          <w:rFonts w:ascii="仿宋" w:hAnsi="仿宋" w:eastAsia="仿宋" w:cs="仿宋"/>
          <w:sz w:val="28"/>
          <w:szCs w:val="28"/>
        </w:rPr>
      </w:pPr>
      <w:r>
        <w:rPr>
          <w:rFonts w:ascii="仿宋" w:hAnsi="仿宋" w:eastAsia="仿宋" w:cs="仿宋"/>
          <w:b/>
          <w:bCs/>
          <w:spacing w:val="5"/>
          <w:sz w:val="28"/>
          <w:szCs w:val="28"/>
        </w:rPr>
        <w:t>制定实施绿美曲靖三年行动。</w:t>
      </w:r>
      <w:r>
        <w:rPr>
          <w:rFonts w:ascii="仿宋" w:hAnsi="仿宋" w:eastAsia="仿宋" w:cs="仿宋"/>
          <w:spacing w:val="5"/>
          <w:sz w:val="28"/>
          <w:szCs w:val="28"/>
        </w:rPr>
        <w:t>按照绿水青山就是金山银山</w:t>
      </w:r>
      <w:r>
        <w:rPr>
          <w:rFonts w:ascii="仿宋" w:hAnsi="仿宋" w:eastAsia="仿宋" w:cs="仿宋"/>
          <w:spacing w:val="4"/>
          <w:sz w:val="28"/>
          <w:szCs w:val="28"/>
        </w:rPr>
        <w:t>的理念，围</w:t>
      </w:r>
      <w:r>
        <w:rPr>
          <w:rFonts w:ascii="仿宋" w:hAnsi="仿宋" w:eastAsia="仿宋" w:cs="仿宋"/>
          <w:spacing w:val="6"/>
          <w:sz w:val="28"/>
          <w:szCs w:val="28"/>
        </w:rPr>
        <w:t>绕交通沿线及时制定绿美曲靖三年行动计划，并将绿美曲靖三年行动与新一轮农村人居环境整治提升、美丽乡村建设融合推进，推动全市交通运输</w:t>
      </w:r>
      <w:r>
        <w:rPr>
          <w:rFonts w:ascii="仿宋" w:hAnsi="仿宋" w:eastAsia="仿宋" w:cs="仿宋"/>
          <w:sz w:val="28"/>
          <w:szCs w:val="28"/>
        </w:rPr>
        <w:t>行业生态文明建设向更深层次、更广范围、更高水平迈进。推进全域绿化，</w:t>
      </w:r>
      <w:r>
        <w:rPr>
          <w:rFonts w:ascii="仿宋" w:hAnsi="仿宋" w:eastAsia="仿宋" w:cs="仿宋"/>
          <w:spacing w:val="4"/>
          <w:sz w:val="28"/>
          <w:szCs w:val="28"/>
        </w:rPr>
        <w:t>重点推进公路绿化美化工作，实现公路产权范围内已建高速（</w:t>
      </w:r>
      <w:r>
        <w:rPr>
          <w:rFonts w:ascii="仿宋" w:hAnsi="仿宋" w:eastAsia="仿宋" w:cs="仿宋"/>
          <w:spacing w:val="-60"/>
          <w:sz w:val="28"/>
          <w:szCs w:val="28"/>
        </w:rPr>
        <w:t xml:space="preserve"> </w:t>
      </w:r>
      <w:r>
        <w:rPr>
          <w:rFonts w:ascii="仿宋" w:hAnsi="仿宋" w:eastAsia="仿宋" w:cs="仿宋"/>
          <w:spacing w:val="4"/>
          <w:sz w:val="28"/>
          <w:szCs w:val="28"/>
        </w:rPr>
        <w:t>一级）公路</w:t>
      </w:r>
      <w:r>
        <w:rPr>
          <w:rFonts w:ascii="仿宋" w:hAnsi="仿宋" w:eastAsia="仿宋" w:cs="仿宋"/>
          <w:spacing w:val="8"/>
          <w:sz w:val="28"/>
          <w:szCs w:val="28"/>
        </w:rPr>
        <w:t>宜绿路段绿化率达</w:t>
      </w:r>
      <w:r>
        <w:rPr>
          <w:rFonts w:ascii="仿宋" w:hAnsi="仿宋" w:eastAsia="仿宋" w:cs="仿宋"/>
          <w:spacing w:val="-9"/>
          <w:sz w:val="28"/>
          <w:szCs w:val="28"/>
        </w:rPr>
        <w:t xml:space="preserve"> </w:t>
      </w:r>
      <w:r>
        <w:rPr>
          <w:rFonts w:ascii="仿宋" w:hAnsi="仿宋" w:eastAsia="仿宋" w:cs="仿宋"/>
          <w:spacing w:val="8"/>
          <w:sz w:val="28"/>
          <w:szCs w:val="28"/>
        </w:rPr>
        <w:t>100%、在建</w:t>
      </w:r>
      <w:r>
        <w:rPr>
          <w:rFonts w:ascii="仿宋" w:hAnsi="仿宋" w:eastAsia="仿宋" w:cs="仿宋"/>
          <w:spacing w:val="-87"/>
          <w:sz w:val="28"/>
          <w:szCs w:val="28"/>
        </w:rPr>
        <w:t xml:space="preserve"> </w:t>
      </w:r>
      <w:r>
        <w:rPr>
          <w:rFonts w:ascii="仿宋" w:hAnsi="仿宋" w:eastAsia="仿宋" w:cs="仿宋"/>
          <w:spacing w:val="8"/>
          <w:sz w:val="28"/>
          <w:szCs w:val="28"/>
        </w:rPr>
        <w:t>“</w:t>
      </w:r>
      <w:r>
        <w:rPr>
          <w:rFonts w:ascii="仿宋" w:hAnsi="仿宋" w:eastAsia="仿宋" w:cs="仿宋"/>
          <w:spacing w:val="-103"/>
          <w:sz w:val="28"/>
          <w:szCs w:val="28"/>
        </w:rPr>
        <w:t xml:space="preserve"> </w:t>
      </w:r>
      <w:r>
        <w:rPr>
          <w:rFonts w:ascii="仿宋" w:hAnsi="仿宋" w:eastAsia="仿宋" w:cs="仿宋"/>
          <w:spacing w:val="8"/>
          <w:sz w:val="28"/>
          <w:szCs w:val="28"/>
        </w:rPr>
        <w:t>互联互通”高速公路宜绿路段绿化率达</w:t>
      </w:r>
      <w:r>
        <w:rPr>
          <w:rFonts w:ascii="仿宋" w:hAnsi="仿宋" w:eastAsia="仿宋" w:cs="仿宋"/>
          <w:spacing w:val="4"/>
          <w:sz w:val="28"/>
          <w:szCs w:val="28"/>
        </w:rPr>
        <w:t>100%，省管国省干线公路绿化率达</w:t>
      </w:r>
      <w:r>
        <w:rPr>
          <w:rFonts w:ascii="仿宋" w:hAnsi="仿宋" w:eastAsia="仿宋" w:cs="仿宋"/>
          <w:spacing w:val="-37"/>
          <w:sz w:val="28"/>
          <w:szCs w:val="28"/>
        </w:rPr>
        <w:t xml:space="preserve"> </w:t>
      </w:r>
      <w:r>
        <w:rPr>
          <w:rFonts w:ascii="仿宋" w:hAnsi="仿宋" w:eastAsia="仿宋" w:cs="仿宋"/>
          <w:spacing w:val="4"/>
          <w:sz w:val="28"/>
          <w:szCs w:val="28"/>
        </w:rPr>
        <w:t>85%、地方管</w:t>
      </w:r>
      <w:r>
        <w:rPr>
          <w:rFonts w:ascii="仿宋" w:hAnsi="仿宋" w:eastAsia="仿宋" w:cs="仿宋"/>
          <w:spacing w:val="3"/>
          <w:sz w:val="28"/>
          <w:szCs w:val="28"/>
        </w:rPr>
        <w:t>省道绿化率达</w:t>
      </w:r>
      <w:r>
        <w:rPr>
          <w:rFonts w:ascii="仿宋" w:hAnsi="仿宋" w:eastAsia="仿宋" w:cs="仿宋"/>
          <w:spacing w:val="-30"/>
          <w:sz w:val="28"/>
          <w:szCs w:val="28"/>
        </w:rPr>
        <w:t xml:space="preserve"> </w:t>
      </w:r>
      <w:r>
        <w:rPr>
          <w:rFonts w:ascii="仿宋" w:hAnsi="仿宋" w:eastAsia="仿宋" w:cs="仿宋"/>
          <w:spacing w:val="3"/>
          <w:sz w:val="28"/>
          <w:szCs w:val="28"/>
        </w:rPr>
        <w:t>100%，县道</w:t>
      </w:r>
      <w:r>
        <w:rPr>
          <w:rFonts w:ascii="仿宋" w:hAnsi="仿宋" w:eastAsia="仿宋" w:cs="仿宋"/>
          <w:spacing w:val="6"/>
          <w:sz w:val="28"/>
          <w:szCs w:val="28"/>
        </w:rPr>
        <w:t>宜绿路段绿化率达</w:t>
      </w:r>
      <w:r>
        <w:rPr>
          <w:rFonts w:ascii="仿宋" w:hAnsi="仿宋" w:eastAsia="仿宋" w:cs="仿宋"/>
          <w:spacing w:val="-34"/>
          <w:sz w:val="28"/>
          <w:szCs w:val="28"/>
        </w:rPr>
        <w:t xml:space="preserve"> </w:t>
      </w:r>
      <w:r>
        <w:rPr>
          <w:rFonts w:ascii="仿宋" w:hAnsi="仿宋" w:eastAsia="仿宋" w:cs="仿宋"/>
          <w:spacing w:val="6"/>
          <w:sz w:val="28"/>
          <w:szCs w:val="28"/>
        </w:rPr>
        <w:t>90%、</w:t>
      </w:r>
      <w:r>
        <w:rPr>
          <w:rFonts w:ascii="仿宋" w:hAnsi="仿宋" w:eastAsia="仿宋" w:cs="仿宋"/>
          <w:spacing w:val="-73"/>
          <w:sz w:val="28"/>
          <w:szCs w:val="28"/>
        </w:rPr>
        <w:t xml:space="preserve"> </w:t>
      </w:r>
      <w:r>
        <w:rPr>
          <w:rFonts w:ascii="仿宋" w:hAnsi="仿宋" w:eastAsia="仿宋" w:cs="仿宋"/>
          <w:spacing w:val="6"/>
          <w:sz w:val="28"/>
          <w:szCs w:val="28"/>
        </w:rPr>
        <w:t>乡道宜绿路段绿化率达</w:t>
      </w:r>
      <w:r>
        <w:rPr>
          <w:rFonts w:ascii="仿宋" w:hAnsi="仿宋" w:eastAsia="仿宋" w:cs="仿宋"/>
          <w:spacing w:val="-32"/>
          <w:sz w:val="28"/>
          <w:szCs w:val="28"/>
        </w:rPr>
        <w:t xml:space="preserve"> </w:t>
      </w:r>
      <w:r>
        <w:rPr>
          <w:rFonts w:ascii="仿宋" w:hAnsi="仿宋" w:eastAsia="仿宋" w:cs="仿宋"/>
          <w:spacing w:val="6"/>
          <w:sz w:val="28"/>
          <w:szCs w:val="28"/>
        </w:rPr>
        <w:t>85%、村道宜绿路段绿化</w:t>
      </w:r>
      <w:r>
        <w:rPr>
          <w:rFonts w:ascii="仿宋" w:hAnsi="仿宋" w:eastAsia="仿宋" w:cs="仿宋"/>
          <w:spacing w:val="7"/>
          <w:sz w:val="28"/>
          <w:szCs w:val="28"/>
        </w:rPr>
        <w:t>率达</w:t>
      </w:r>
      <w:r>
        <w:rPr>
          <w:rFonts w:ascii="仿宋" w:hAnsi="仿宋" w:eastAsia="仿宋" w:cs="仿宋"/>
          <w:spacing w:val="-23"/>
          <w:sz w:val="28"/>
          <w:szCs w:val="28"/>
        </w:rPr>
        <w:t xml:space="preserve"> </w:t>
      </w:r>
      <w:r>
        <w:rPr>
          <w:rFonts w:ascii="仿宋" w:hAnsi="仿宋" w:eastAsia="仿宋" w:cs="仿宋"/>
          <w:spacing w:val="7"/>
          <w:sz w:val="28"/>
          <w:szCs w:val="28"/>
        </w:rPr>
        <w:t>80%；公路产权范围外采取荒山造林、石漠化治理等综合措施，持续</w:t>
      </w:r>
      <w:r>
        <w:rPr>
          <w:rFonts w:ascii="仿宋" w:hAnsi="仿宋" w:eastAsia="仿宋" w:cs="仿宋"/>
          <w:spacing w:val="6"/>
          <w:sz w:val="28"/>
          <w:szCs w:val="28"/>
        </w:rPr>
        <w:t>开展高速公路两侧城镇面山、裸露山体造林绿化，实现可视范围内无明显</w:t>
      </w:r>
      <w:r>
        <w:rPr>
          <w:rFonts w:ascii="仿宋" w:hAnsi="仿宋" w:eastAsia="仿宋" w:cs="仿宋"/>
          <w:spacing w:val="8"/>
          <w:sz w:val="28"/>
          <w:szCs w:val="28"/>
        </w:rPr>
        <w:t>宜林荒山、荒坡。提升全市交通沿线用地范围内的绿化水平及景观品质，</w:t>
      </w:r>
      <w:r>
        <w:rPr>
          <w:rFonts w:ascii="仿宋" w:hAnsi="仿宋" w:eastAsia="仿宋" w:cs="仿宋"/>
          <w:spacing w:val="6"/>
          <w:sz w:val="28"/>
          <w:szCs w:val="28"/>
        </w:rPr>
        <w:t>打造生态、环保、绿色、低碳的绿美交通，助力绿美云南行动，为全省建成全国生态文明建设排头兵作出曲靖贡献。</w:t>
      </w:r>
    </w:p>
    <w:p w14:paraId="21627573">
      <w:pPr>
        <w:spacing w:before="1" w:line="342" w:lineRule="auto"/>
        <w:ind w:left="14" w:right="281" w:firstLine="571"/>
        <w:rPr>
          <w:rFonts w:ascii="仿宋" w:hAnsi="仿宋" w:eastAsia="仿宋" w:cs="仿宋"/>
          <w:sz w:val="28"/>
          <w:szCs w:val="28"/>
        </w:rPr>
      </w:pPr>
      <w:r>
        <w:rPr>
          <w:rFonts w:ascii="仿宋" w:hAnsi="仿宋" w:eastAsia="仿宋" w:cs="仿宋"/>
          <w:b/>
          <w:bCs/>
          <w:spacing w:val="3"/>
          <w:sz w:val="28"/>
          <w:szCs w:val="28"/>
        </w:rPr>
        <w:t>推进绿色交通基础设施建设。</w:t>
      </w:r>
      <w:r>
        <w:rPr>
          <w:rFonts w:ascii="仿宋" w:hAnsi="仿宋" w:eastAsia="仿宋" w:cs="仿宋"/>
          <w:spacing w:val="3"/>
          <w:sz w:val="28"/>
          <w:szCs w:val="28"/>
        </w:rPr>
        <w:t>持续推进绿色公路、铁路、机场</w:t>
      </w:r>
      <w:r>
        <w:rPr>
          <w:rFonts w:ascii="仿宋" w:hAnsi="仿宋" w:eastAsia="仿宋" w:cs="仿宋"/>
          <w:spacing w:val="2"/>
          <w:sz w:val="28"/>
          <w:szCs w:val="28"/>
        </w:rPr>
        <w:t>、港</w:t>
      </w:r>
      <w:r>
        <w:rPr>
          <w:rFonts w:ascii="仿宋" w:hAnsi="仿宋" w:eastAsia="仿宋" w:cs="仿宋"/>
          <w:spacing w:val="-71"/>
          <w:sz w:val="28"/>
          <w:szCs w:val="28"/>
        </w:rPr>
        <w:t xml:space="preserve"> </w:t>
      </w:r>
      <w:r>
        <w:rPr>
          <w:rFonts w:ascii="仿宋" w:hAnsi="仿宋" w:eastAsia="仿宋" w:cs="仿宋"/>
          <w:spacing w:val="2"/>
          <w:sz w:val="28"/>
          <w:szCs w:val="28"/>
        </w:rPr>
        <w:t>口</w:t>
      </w:r>
      <w:r>
        <w:rPr>
          <w:rFonts w:ascii="仿宋" w:hAnsi="仿宋" w:eastAsia="仿宋" w:cs="仿宋"/>
          <w:spacing w:val="5"/>
          <w:sz w:val="28"/>
          <w:szCs w:val="28"/>
        </w:rPr>
        <w:t>码头、运输场站等绿色基础设施建设，在全生命周期贯彻生态文明理念。</w:t>
      </w:r>
    </w:p>
    <w:p w14:paraId="53F42D98">
      <w:pPr>
        <w:spacing w:before="10" w:line="342" w:lineRule="auto"/>
        <w:ind w:left="7" w:firstLine="8"/>
        <w:rPr>
          <w:rFonts w:ascii="仿宋" w:hAnsi="仿宋" w:eastAsia="仿宋" w:cs="仿宋"/>
          <w:sz w:val="28"/>
          <w:szCs w:val="28"/>
        </w:rPr>
      </w:pPr>
      <w:r>
        <w:rPr>
          <w:rFonts w:ascii="仿宋" w:hAnsi="仿宋" w:eastAsia="仿宋" w:cs="仿宋"/>
          <w:spacing w:val="6"/>
          <w:sz w:val="28"/>
          <w:szCs w:val="28"/>
        </w:rPr>
        <w:t>注重交通基础设施生态修复工作，推广应用绿色建材和绿色技术工艺，提</w:t>
      </w:r>
      <w:r>
        <w:rPr>
          <w:rFonts w:ascii="仿宋" w:hAnsi="仿宋" w:eastAsia="仿宋" w:cs="仿宋"/>
          <w:spacing w:val="3"/>
          <w:sz w:val="28"/>
          <w:szCs w:val="28"/>
        </w:rPr>
        <w:t xml:space="preserve"> </w:t>
      </w:r>
      <w:r>
        <w:rPr>
          <w:rFonts w:ascii="仿宋" w:hAnsi="仿宋" w:eastAsia="仿宋" w:cs="仿宋"/>
          <w:spacing w:val="5"/>
          <w:sz w:val="28"/>
          <w:szCs w:val="28"/>
        </w:rPr>
        <w:t>升交通基础设施的绿色循环低碳建设运营与养护管理水平。创新</w:t>
      </w:r>
      <w:r>
        <w:rPr>
          <w:rFonts w:ascii="仿宋" w:hAnsi="仿宋" w:eastAsia="仿宋" w:cs="仿宋"/>
          <w:spacing w:val="-90"/>
          <w:sz w:val="28"/>
          <w:szCs w:val="28"/>
        </w:rPr>
        <w:t xml:space="preserve"> </w:t>
      </w:r>
      <w:r>
        <w:rPr>
          <w:rFonts w:ascii="仿宋" w:hAnsi="仿宋" w:eastAsia="仿宋" w:cs="仿宋"/>
          <w:spacing w:val="5"/>
          <w:sz w:val="28"/>
          <w:szCs w:val="28"/>
        </w:rPr>
        <w:t>“路景融</w:t>
      </w:r>
      <w:r>
        <w:rPr>
          <w:rFonts w:ascii="仿宋" w:hAnsi="仿宋" w:eastAsia="仿宋" w:cs="仿宋"/>
          <w:spacing w:val="6"/>
          <w:sz w:val="28"/>
          <w:szCs w:val="28"/>
        </w:rPr>
        <w:t xml:space="preserve">合”模式，持续开展路域环境整治和绿色服务区设施建设。依托高速公路 “互联互通”工程、普通国省道“升级改造”工程和农村公路“巩固提升”工程创建一批绿美公路典型示范项目，打造绿美曲靖交通精品工程。着力 </w:t>
      </w:r>
      <w:r>
        <w:rPr>
          <w:rFonts w:ascii="仿宋" w:hAnsi="仿宋" w:eastAsia="仿宋" w:cs="仿宋"/>
          <w:spacing w:val="7"/>
          <w:sz w:val="28"/>
          <w:szCs w:val="28"/>
        </w:rPr>
        <w:t>提升公路（铁路）客运站、服务区、港口码头</w:t>
      </w:r>
      <w:r>
        <w:rPr>
          <w:rFonts w:ascii="仿宋" w:hAnsi="仿宋" w:eastAsia="仿宋" w:cs="仿宋"/>
          <w:spacing w:val="6"/>
          <w:sz w:val="28"/>
          <w:szCs w:val="28"/>
        </w:rPr>
        <w:t>等重要节点的绿化景观。对全市干线公路服务区、收费站实施绿色照明改造，鼓励开展太阳能风光互</w:t>
      </w:r>
    </w:p>
    <w:p w14:paraId="2613B7D9">
      <w:pPr>
        <w:spacing w:line="342" w:lineRule="auto"/>
        <w:rPr>
          <w:rFonts w:ascii="仿宋" w:hAnsi="仿宋" w:eastAsia="仿宋" w:cs="仿宋"/>
          <w:sz w:val="28"/>
          <w:szCs w:val="28"/>
        </w:rPr>
        <w:sectPr>
          <w:headerReference r:id="rId113" w:type="default"/>
          <w:footerReference r:id="rId114" w:type="default"/>
          <w:pgSz w:w="11906" w:h="16839"/>
          <w:pgMar w:top="1222" w:right="1309" w:bottom="1156" w:left="1134" w:header="885" w:footer="920" w:gutter="0"/>
          <w:cols w:space="720" w:num="1"/>
        </w:sectPr>
      </w:pPr>
    </w:p>
    <w:p w14:paraId="737F30E9">
      <w:pPr>
        <w:pStyle w:val="2"/>
        <w:spacing w:line="278" w:lineRule="auto"/>
      </w:pPr>
    </w:p>
    <w:p w14:paraId="53F885F0">
      <w:pPr>
        <w:spacing w:before="91" w:line="343" w:lineRule="auto"/>
        <w:ind w:left="11" w:firstLine="7"/>
        <w:jc w:val="both"/>
        <w:rPr>
          <w:rFonts w:ascii="仿宋" w:hAnsi="仿宋" w:eastAsia="仿宋" w:cs="仿宋"/>
          <w:sz w:val="28"/>
          <w:szCs w:val="28"/>
        </w:rPr>
      </w:pPr>
      <w:r>
        <w:rPr>
          <w:rFonts w:ascii="仿宋" w:hAnsi="仿宋" w:eastAsia="仿宋" w:cs="仿宋"/>
          <w:spacing w:val="-1"/>
          <w:sz w:val="28"/>
          <w:szCs w:val="28"/>
        </w:rPr>
        <w:t>补方式供电改造，完善公路</w:t>
      </w:r>
      <w:r>
        <w:rPr>
          <w:rFonts w:ascii="仿宋" w:hAnsi="仿宋" w:eastAsia="仿宋" w:cs="仿宋"/>
          <w:spacing w:val="-48"/>
          <w:sz w:val="28"/>
          <w:szCs w:val="28"/>
        </w:rPr>
        <w:t xml:space="preserve"> </w:t>
      </w:r>
      <w:r>
        <w:rPr>
          <w:rFonts w:ascii="仿宋" w:hAnsi="仿宋" w:eastAsia="仿宋" w:cs="仿宋"/>
          <w:spacing w:val="-1"/>
          <w:sz w:val="28"/>
          <w:szCs w:val="28"/>
        </w:rPr>
        <w:t>ETC</w:t>
      </w:r>
      <w:r>
        <w:rPr>
          <w:rFonts w:ascii="仿宋" w:hAnsi="仿宋" w:eastAsia="仿宋" w:cs="仿宋"/>
          <w:spacing w:val="-55"/>
          <w:sz w:val="28"/>
          <w:szCs w:val="28"/>
        </w:rPr>
        <w:t xml:space="preserve"> </w:t>
      </w:r>
      <w:r>
        <w:rPr>
          <w:rFonts w:ascii="仿宋" w:hAnsi="仿宋" w:eastAsia="仿宋" w:cs="仿宋"/>
          <w:spacing w:val="-1"/>
          <w:sz w:val="28"/>
          <w:szCs w:val="28"/>
        </w:rPr>
        <w:t>与车辆超限超载不停车预检管理系统建设。</w:t>
      </w:r>
      <w:r>
        <w:rPr>
          <w:rFonts w:ascii="仿宋" w:hAnsi="仿宋" w:eastAsia="仿宋" w:cs="仿宋"/>
          <w:spacing w:val="5"/>
          <w:sz w:val="28"/>
          <w:szCs w:val="28"/>
        </w:rPr>
        <w:t>大力推进绿色综合运输枢纽和换乘体系建设，促进客运的</w:t>
      </w:r>
      <w:r>
        <w:rPr>
          <w:rFonts w:ascii="仿宋" w:hAnsi="仿宋" w:eastAsia="仿宋" w:cs="仿宋"/>
          <w:spacing w:val="-93"/>
          <w:sz w:val="28"/>
          <w:szCs w:val="28"/>
        </w:rPr>
        <w:t xml:space="preserve"> </w:t>
      </w:r>
      <w:r>
        <w:rPr>
          <w:rFonts w:ascii="仿宋" w:hAnsi="仿宋" w:eastAsia="仿宋" w:cs="仿宋"/>
          <w:spacing w:val="5"/>
          <w:sz w:val="28"/>
          <w:szCs w:val="28"/>
        </w:rPr>
        <w:t>“零换乘”和货</w:t>
      </w:r>
      <w:r>
        <w:rPr>
          <w:rFonts w:ascii="仿宋" w:hAnsi="仿宋" w:eastAsia="仿宋" w:cs="仿宋"/>
          <w:spacing w:val="1"/>
          <w:sz w:val="28"/>
          <w:szCs w:val="28"/>
        </w:rPr>
        <w:t>运的</w:t>
      </w:r>
      <w:r>
        <w:rPr>
          <w:rFonts w:ascii="仿宋" w:hAnsi="仿宋" w:eastAsia="仿宋" w:cs="仿宋"/>
          <w:spacing w:val="-88"/>
          <w:sz w:val="28"/>
          <w:szCs w:val="28"/>
        </w:rPr>
        <w:t xml:space="preserve"> </w:t>
      </w:r>
      <w:r>
        <w:rPr>
          <w:rFonts w:ascii="仿宋" w:hAnsi="仿宋" w:eastAsia="仿宋" w:cs="仿宋"/>
          <w:spacing w:val="1"/>
          <w:sz w:val="28"/>
          <w:szCs w:val="28"/>
        </w:rPr>
        <w:t>“无缝衔接”。</w:t>
      </w:r>
    </w:p>
    <w:p w14:paraId="690649C7">
      <w:pPr>
        <w:spacing w:before="4" w:line="342" w:lineRule="auto"/>
        <w:ind w:left="8" w:right="4" w:firstLine="580"/>
        <w:jc w:val="both"/>
        <w:rPr>
          <w:rFonts w:ascii="仿宋" w:hAnsi="仿宋" w:eastAsia="仿宋" w:cs="仿宋"/>
          <w:sz w:val="28"/>
          <w:szCs w:val="28"/>
        </w:rPr>
      </w:pPr>
      <w:r>
        <w:rPr>
          <w:rFonts w:ascii="仿宋" w:hAnsi="仿宋" w:eastAsia="仿宋" w:cs="仿宋"/>
          <w:b/>
          <w:bCs/>
          <w:spacing w:val="-1"/>
          <w:sz w:val="28"/>
          <w:szCs w:val="28"/>
        </w:rPr>
        <w:t>积极发展绿色运输系统。</w:t>
      </w:r>
      <w:r>
        <w:rPr>
          <w:rFonts w:ascii="仿宋" w:hAnsi="仿宋" w:eastAsia="仿宋" w:cs="仿宋"/>
          <w:spacing w:val="-1"/>
          <w:sz w:val="28"/>
          <w:szCs w:val="28"/>
        </w:rPr>
        <w:t>以“公转铁”为核</w:t>
      </w:r>
      <w:r>
        <w:rPr>
          <w:rFonts w:ascii="仿宋" w:hAnsi="仿宋" w:eastAsia="仿宋" w:cs="仿宋"/>
          <w:spacing w:val="-2"/>
          <w:sz w:val="28"/>
          <w:szCs w:val="28"/>
        </w:rPr>
        <w:t>心继续推进运输结构调整，发挥铁路在大宗物资中远距离运输中的骨干作用，逐步减少重载柴油货车在</w:t>
      </w:r>
      <w:r>
        <w:rPr>
          <w:rFonts w:ascii="仿宋" w:hAnsi="仿宋" w:eastAsia="仿宋" w:cs="仿宋"/>
          <w:spacing w:val="6"/>
          <w:sz w:val="28"/>
          <w:szCs w:val="28"/>
        </w:rPr>
        <w:t>大宗散货长距离运输中的比重。完善干支衔接的公共货运枢纽设施，优化城市配送车辆便利通行政策，促进城际干线运输和城市末端配送的有机衔接，持续推进邮件快件包装绿色化、减量化和可循环。鼓励物流企业深化</w:t>
      </w:r>
      <w:r>
        <w:rPr>
          <w:rFonts w:ascii="仿宋" w:hAnsi="仿宋" w:eastAsia="仿宋" w:cs="仿宋"/>
          <w:spacing w:val="7"/>
          <w:sz w:val="28"/>
          <w:szCs w:val="28"/>
        </w:rPr>
        <w:t>改革、创新发展，大力推广甩挂运输、多式联</w:t>
      </w:r>
      <w:r>
        <w:rPr>
          <w:rFonts w:ascii="仿宋" w:hAnsi="仿宋" w:eastAsia="仿宋" w:cs="仿宋"/>
          <w:spacing w:val="6"/>
          <w:sz w:val="28"/>
          <w:szCs w:val="28"/>
        </w:rPr>
        <w:t>运、共同配送、无车承运人</w:t>
      </w:r>
      <w:r>
        <w:rPr>
          <w:rFonts w:ascii="仿宋" w:hAnsi="仿宋" w:eastAsia="仿宋" w:cs="仿宋"/>
          <w:spacing w:val="7"/>
          <w:sz w:val="28"/>
          <w:szCs w:val="28"/>
        </w:rPr>
        <w:t>等先进高效的运输组织方式，推动物流业降本增</w:t>
      </w:r>
      <w:r>
        <w:rPr>
          <w:rFonts w:ascii="仿宋" w:hAnsi="仿宋" w:eastAsia="仿宋" w:cs="仿宋"/>
          <w:spacing w:val="6"/>
          <w:sz w:val="28"/>
          <w:szCs w:val="28"/>
        </w:rPr>
        <w:t>效。</w:t>
      </w:r>
    </w:p>
    <w:p w14:paraId="0EBDA114">
      <w:pPr>
        <w:spacing w:before="2" w:line="343" w:lineRule="auto"/>
        <w:ind w:left="10" w:right="82" w:firstLine="581"/>
        <w:jc w:val="both"/>
        <w:rPr>
          <w:rFonts w:ascii="仿宋" w:hAnsi="仿宋" w:eastAsia="仿宋" w:cs="仿宋"/>
          <w:sz w:val="28"/>
          <w:szCs w:val="28"/>
        </w:rPr>
      </w:pPr>
      <w:r>
        <w:rPr>
          <w:rFonts w:ascii="仿宋" w:hAnsi="仿宋" w:eastAsia="仿宋" w:cs="仿宋"/>
          <w:b/>
          <w:bCs/>
          <w:spacing w:val="4"/>
          <w:sz w:val="28"/>
          <w:szCs w:val="28"/>
        </w:rPr>
        <w:t>深入开展绿色出行行动。</w:t>
      </w:r>
      <w:r>
        <w:rPr>
          <w:rFonts w:ascii="仿宋" w:hAnsi="仿宋" w:eastAsia="仿宋" w:cs="仿宋"/>
          <w:spacing w:val="4"/>
          <w:sz w:val="28"/>
          <w:szCs w:val="28"/>
        </w:rPr>
        <w:t>推进</w:t>
      </w:r>
      <w:r>
        <w:rPr>
          <w:rFonts w:ascii="仿宋" w:hAnsi="仿宋" w:eastAsia="仿宋" w:cs="仿宋"/>
          <w:spacing w:val="-101"/>
          <w:sz w:val="28"/>
          <w:szCs w:val="28"/>
        </w:rPr>
        <w:t xml:space="preserve"> </w:t>
      </w:r>
      <w:r>
        <w:rPr>
          <w:rFonts w:ascii="仿宋" w:hAnsi="仿宋" w:eastAsia="仿宋" w:cs="仿宋"/>
          <w:spacing w:val="4"/>
          <w:sz w:val="28"/>
          <w:szCs w:val="28"/>
        </w:rPr>
        <w:t>“公交都市”创建，继续推</w:t>
      </w:r>
      <w:r>
        <w:rPr>
          <w:rFonts w:ascii="仿宋" w:hAnsi="仿宋" w:eastAsia="仿宋" w:cs="仿宋"/>
          <w:spacing w:val="3"/>
          <w:sz w:val="28"/>
          <w:szCs w:val="28"/>
        </w:rPr>
        <w:t>动公交优先</w:t>
      </w:r>
      <w:r>
        <w:rPr>
          <w:rFonts w:ascii="仿宋" w:hAnsi="仿宋" w:eastAsia="仿宋" w:cs="仿宋"/>
          <w:spacing w:val="6"/>
          <w:sz w:val="28"/>
          <w:szCs w:val="28"/>
        </w:rPr>
        <w:t>发展，加大公交专用道建设，全面实施公交信号优先，不断提升公交运行</w:t>
      </w:r>
      <w:r>
        <w:rPr>
          <w:rFonts w:ascii="仿宋" w:hAnsi="仿宋" w:eastAsia="仿宋" w:cs="仿宋"/>
          <w:spacing w:val="5"/>
          <w:sz w:val="28"/>
          <w:szCs w:val="28"/>
        </w:rPr>
        <w:t>速度和准点率，实现</w:t>
      </w:r>
      <w:r>
        <w:rPr>
          <w:rFonts w:ascii="仿宋" w:hAnsi="仿宋" w:eastAsia="仿宋" w:cs="仿宋"/>
          <w:spacing w:val="-95"/>
          <w:sz w:val="28"/>
          <w:szCs w:val="28"/>
        </w:rPr>
        <w:t xml:space="preserve"> </w:t>
      </w:r>
      <w:r>
        <w:rPr>
          <w:rFonts w:ascii="仿宋" w:hAnsi="仿宋" w:eastAsia="仿宋" w:cs="仿宋"/>
          <w:spacing w:val="5"/>
          <w:sz w:val="28"/>
          <w:szCs w:val="28"/>
        </w:rPr>
        <w:t>“公交不堵”工程。在新城建设与老城改造项目中对</w:t>
      </w:r>
      <w:r>
        <w:rPr>
          <w:rFonts w:ascii="仿宋" w:hAnsi="仿宋" w:eastAsia="仿宋" w:cs="仿宋"/>
          <w:spacing w:val="4"/>
          <w:sz w:val="28"/>
          <w:szCs w:val="28"/>
        </w:rPr>
        <w:t>步行、</w:t>
      </w:r>
      <w:r>
        <w:rPr>
          <w:rFonts w:ascii="仿宋" w:hAnsi="仿宋" w:eastAsia="仿宋" w:cs="仿宋"/>
          <w:spacing w:val="-63"/>
          <w:sz w:val="28"/>
          <w:szCs w:val="28"/>
        </w:rPr>
        <w:t xml:space="preserve"> </w:t>
      </w:r>
      <w:r>
        <w:rPr>
          <w:rFonts w:ascii="仿宋" w:hAnsi="仿宋" w:eastAsia="仿宋" w:cs="仿宋"/>
          <w:spacing w:val="4"/>
          <w:sz w:val="28"/>
          <w:szCs w:val="28"/>
        </w:rPr>
        <w:t>自行车、公交与小汽车实施道路资源合理配置，改善自行车、步行</w:t>
      </w:r>
      <w:r>
        <w:rPr>
          <w:rFonts w:ascii="仿宋" w:hAnsi="仿宋" w:eastAsia="仿宋" w:cs="仿宋"/>
          <w:spacing w:val="6"/>
          <w:sz w:val="28"/>
          <w:szCs w:val="28"/>
        </w:rPr>
        <w:t>交通出行环境，进一步规范互联网租赁自行车使用；加强公共交通与自行</w:t>
      </w:r>
      <w:r>
        <w:rPr>
          <w:rFonts w:ascii="仿宋" w:hAnsi="仿宋" w:eastAsia="仿宋" w:cs="仿宋"/>
          <w:spacing w:val="5"/>
          <w:sz w:val="28"/>
          <w:szCs w:val="28"/>
        </w:rPr>
        <w:t>车交通的衔接，优化出行的</w:t>
      </w:r>
      <w:r>
        <w:rPr>
          <w:rFonts w:ascii="仿宋" w:hAnsi="仿宋" w:eastAsia="仿宋" w:cs="仿宋"/>
          <w:spacing w:val="-90"/>
          <w:sz w:val="28"/>
          <w:szCs w:val="28"/>
        </w:rPr>
        <w:t xml:space="preserve"> </w:t>
      </w:r>
      <w:r>
        <w:rPr>
          <w:rFonts w:ascii="仿宋" w:hAnsi="仿宋" w:eastAsia="仿宋" w:cs="仿宋"/>
          <w:spacing w:val="5"/>
          <w:sz w:val="28"/>
          <w:szCs w:val="28"/>
        </w:rPr>
        <w:t>“最后一公里”。深入宣传绿色出行理念，大</w:t>
      </w:r>
      <w:r>
        <w:rPr>
          <w:rFonts w:ascii="仿宋" w:hAnsi="仿宋" w:eastAsia="仿宋" w:cs="仿宋"/>
          <w:spacing w:val="6"/>
          <w:sz w:val="28"/>
          <w:szCs w:val="28"/>
        </w:rPr>
        <w:t>力培育率出行文化，加强绿色出行宣传教育，完善公众参与机制，让低碳交通成为时尚，让绿色出行成为习惯。</w:t>
      </w:r>
    </w:p>
    <w:p w14:paraId="0B8C0AAA">
      <w:pPr>
        <w:spacing w:before="10" w:line="342" w:lineRule="auto"/>
        <w:ind w:left="9" w:right="35" w:firstLine="577"/>
        <w:jc w:val="both"/>
        <w:rPr>
          <w:rFonts w:ascii="仿宋" w:hAnsi="仿宋" w:eastAsia="仿宋" w:cs="仿宋"/>
          <w:sz w:val="28"/>
          <w:szCs w:val="28"/>
        </w:rPr>
      </w:pPr>
      <w:r>
        <w:rPr>
          <w:rFonts w:ascii="仿宋" w:hAnsi="仿宋" w:eastAsia="仿宋" w:cs="仿宋"/>
          <w:b/>
          <w:bCs/>
          <w:spacing w:val="5"/>
          <w:sz w:val="28"/>
          <w:szCs w:val="28"/>
        </w:rPr>
        <w:t>加强节能排和污染防治。</w:t>
      </w:r>
      <w:r>
        <w:rPr>
          <w:rFonts w:ascii="仿宋" w:hAnsi="仿宋" w:eastAsia="仿宋" w:cs="仿宋"/>
          <w:spacing w:val="5"/>
          <w:sz w:val="28"/>
          <w:szCs w:val="28"/>
        </w:rPr>
        <w:t>加快淘汰高能耗、高排放车辆和违法违规生</w:t>
      </w:r>
      <w:r>
        <w:rPr>
          <w:rFonts w:ascii="仿宋" w:hAnsi="仿宋" w:eastAsia="仿宋" w:cs="仿宋"/>
          <w:spacing w:val="6"/>
          <w:sz w:val="28"/>
          <w:szCs w:val="28"/>
        </w:rPr>
        <w:t>产的电动自行车、低速电动车。加快发展适合高等级公路的大吨位多轴重型车辆、汽车列车，以及短途集散用的轻型低耗货车，引导货运车辆向重</w:t>
      </w:r>
      <w:r>
        <w:rPr>
          <w:rFonts w:ascii="仿宋" w:hAnsi="仿宋" w:eastAsia="仿宋" w:cs="仿宋"/>
          <w:spacing w:val="7"/>
          <w:sz w:val="28"/>
          <w:szCs w:val="28"/>
        </w:rPr>
        <w:t>型化、厢式化、专业化、序列化方向发展。</w:t>
      </w:r>
      <w:r>
        <w:rPr>
          <w:rFonts w:ascii="仿宋" w:hAnsi="仿宋" w:eastAsia="仿宋" w:cs="仿宋"/>
          <w:spacing w:val="6"/>
          <w:sz w:val="28"/>
          <w:szCs w:val="28"/>
        </w:rPr>
        <w:t>鼓励发展低能耗、低排放的大中型高档客车，大力发展大容量的城市公共交通工具</w:t>
      </w:r>
      <w:r>
        <w:rPr>
          <w:rFonts w:ascii="仿宋" w:hAnsi="仿宋" w:eastAsia="仿宋" w:cs="仿宋"/>
          <w:spacing w:val="5"/>
          <w:sz w:val="28"/>
          <w:szCs w:val="28"/>
        </w:rPr>
        <w:t>。开展以</w:t>
      </w:r>
      <w:r>
        <w:rPr>
          <w:rFonts w:ascii="仿宋" w:hAnsi="仿宋" w:eastAsia="仿宋" w:cs="仿宋"/>
          <w:spacing w:val="-51"/>
          <w:sz w:val="28"/>
          <w:szCs w:val="28"/>
        </w:rPr>
        <w:t xml:space="preserve"> </w:t>
      </w:r>
      <w:r>
        <w:rPr>
          <w:rFonts w:ascii="仿宋" w:hAnsi="仿宋" w:eastAsia="仿宋" w:cs="仿宋"/>
          <w:sz w:val="28"/>
          <w:szCs w:val="28"/>
        </w:rPr>
        <w:t>LNG</w:t>
      </w:r>
      <w:r>
        <w:rPr>
          <w:rFonts w:ascii="仿宋" w:hAnsi="仿宋" w:eastAsia="仿宋" w:cs="仿宋"/>
          <w:spacing w:val="5"/>
          <w:sz w:val="28"/>
          <w:szCs w:val="28"/>
        </w:rPr>
        <w:t>、</w:t>
      </w:r>
      <w:r>
        <w:rPr>
          <w:rFonts w:ascii="仿宋" w:hAnsi="仿宋" w:eastAsia="仿宋" w:cs="仿宋"/>
          <w:sz w:val="28"/>
          <w:szCs w:val="28"/>
        </w:rPr>
        <w:t>CNG</w:t>
      </w:r>
      <w:r>
        <w:rPr>
          <w:rFonts w:ascii="仿宋" w:hAnsi="仿宋" w:eastAsia="仿宋" w:cs="仿宋"/>
          <w:spacing w:val="5"/>
          <w:sz w:val="28"/>
          <w:szCs w:val="28"/>
        </w:rPr>
        <w:t>、</w:t>
      </w:r>
      <w:r>
        <w:rPr>
          <w:rFonts w:ascii="仿宋" w:hAnsi="仿宋" w:eastAsia="仿宋" w:cs="仿宋"/>
          <w:spacing w:val="6"/>
          <w:sz w:val="28"/>
          <w:szCs w:val="28"/>
        </w:rPr>
        <w:t>混合动力和纯电动汽车应用为重点的研究和试用，加快推进综合运输枢纽场站、城市公交枢纽站、停车场等充电设施设备的规划与建设，高速公路服务区配合相关部门推进充电服务设施建设。严格执行国家和地方污染物</w:t>
      </w:r>
    </w:p>
    <w:p w14:paraId="7FCEB5EB">
      <w:pPr>
        <w:spacing w:line="342" w:lineRule="auto"/>
        <w:rPr>
          <w:rFonts w:ascii="仿宋" w:hAnsi="仿宋" w:eastAsia="仿宋" w:cs="仿宋"/>
          <w:sz w:val="28"/>
          <w:szCs w:val="28"/>
        </w:rPr>
        <w:sectPr>
          <w:headerReference r:id="rId115" w:type="default"/>
          <w:footerReference r:id="rId116" w:type="default"/>
          <w:pgSz w:w="11906" w:h="16839"/>
          <w:pgMar w:top="1222" w:right="1054" w:bottom="1156" w:left="1587" w:header="885" w:footer="920" w:gutter="0"/>
          <w:cols w:space="720" w:num="1"/>
        </w:sectPr>
      </w:pPr>
    </w:p>
    <w:p w14:paraId="0068D00B">
      <w:pPr>
        <w:pStyle w:val="2"/>
        <w:spacing w:line="279" w:lineRule="auto"/>
      </w:pPr>
    </w:p>
    <w:p w14:paraId="7605DD22">
      <w:pPr>
        <w:spacing w:before="91" w:line="343" w:lineRule="auto"/>
        <w:ind w:left="25" w:right="14" w:hanging="12"/>
        <w:rPr>
          <w:rFonts w:ascii="仿宋" w:hAnsi="仿宋" w:eastAsia="仿宋" w:cs="仿宋"/>
          <w:sz w:val="28"/>
          <w:szCs w:val="28"/>
        </w:rPr>
      </w:pPr>
      <w:r>
        <w:rPr>
          <w:rFonts w:ascii="仿宋" w:hAnsi="仿宋" w:eastAsia="仿宋" w:cs="仿宋"/>
          <w:spacing w:val="6"/>
          <w:sz w:val="28"/>
          <w:szCs w:val="28"/>
        </w:rPr>
        <w:t>控制标准及船舶排放区要求，推进船舶、港口码头污染防治，确保生产生</w:t>
      </w:r>
      <w:bookmarkStart w:id="48" w:name="bookmark40"/>
      <w:bookmarkEnd w:id="48"/>
      <w:r>
        <w:rPr>
          <w:rFonts w:ascii="仿宋" w:hAnsi="仿宋" w:eastAsia="仿宋" w:cs="仿宋"/>
          <w:spacing w:val="2"/>
          <w:sz w:val="28"/>
          <w:szCs w:val="28"/>
        </w:rPr>
        <w:t>活污水达标排放。</w:t>
      </w:r>
    </w:p>
    <w:p w14:paraId="7158B63D">
      <w:pPr>
        <w:spacing w:before="52" w:line="222" w:lineRule="auto"/>
        <w:ind w:left="635"/>
        <w:outlineLvl w:val="0"/>
        <w:rPr>
          <w:rFonts w:ascii="黑体" w:hAnsi="黑体" w:eastAsia="黑体" w:cs="黑体"/>
          <w:sz w:val="30"/>
          <w:szCs w:val="30"/>
        </w:rPr>
      </w:pPr>
      <w:bookmarkStart w:id="49" w:name="bookmark69"/>
      <w:bookmarkEnd w:id="49"/>
      <w:r>
        <w:rPr>
          <w:rFonts w:ascii="黑体" w:hAnsi="黑体" w:eastAsia="黑体" w:cs="黑体"/>
          <w:spacing w:val="-3"/>
          <w:sz w:val="30"/>
          <w:szCs w:val="30"/>
        </w:rPr>
        <w:t>（七）推进行业治理能力现代化</w:t>
      </w:r>
    </w:p>
    <w:p w14:paraId="1141503B">
      <w:pPr>
        <w:spacing w:before="237" w:line="222" w:lineRule="auto"/>
        <w:ind w:left="585"/>
        <w:outlineLvl w:val="1"/>
        <w:rPr>
          <w:rFonts w:ascii="黑体" w:hAnsi="黑体" w:eastAsia="黑体" w:cs="黑体"/>
          <w:sz w:val="28"/>
          <w:szCs w:val="28"/>
        </w:rPr>
      </w:pPr>
      <w:bookmarkStart w:id="50" w:name="bookmark41"/>
      <w:bookmarkEnd w:id="50"/>
      <w:r>
        <w:rPr>
          <w:rFonts w:ascii="黑体" w:hAnsi="黑体" w:eastAsia="黑体" w:cs="黑体"/>
          <w:spacing w:val="-2"/>
          <w:sz w:val="28"/>
          <w:szCs w:val="28"/>
        </w:rPr>
        <w:t>1. 加强党的领导和党风廉政建设</w:t>
      </w:r>
    </w:p>
    <w:p w14:paraId="72B0730C">
      <w:pPr>
        <w:spacing w:before="289" w:line="343" w:lineRule="auto"/>
        <w:ind w:left="6" w:firstLine="577"/>
        <w:jc w:val="both"/>
        <w:rPr>
          <w:rFonts w:ascii="仿宋" w:hAnsi="仿宋" w:eastAsia="仿宋" w:cs="仿宋"/>
          <w:sz w:val="28"/>
          <w:szCs w:val="28"/>
        </w:rPr>
      </w:pPr>
      <w:r>
        <w:rPr>
          <w:rFonts w:ascii="仿宋" w:hAnsi="仿宋" w:eastAsia="仿宋" w:cs="仿宋"/>
          <w:b/>
          <w:bCs/>
          <w:spacing w:val="-4"/>
          <w:sz w:val="28"/>
          <w:szCs w:val="28"/>
        </w:rPr>
        <w:t>坚持和加强党的全面领导。</w:t>
      </w:r>
      <w:r>
        <w:rPr>
          <w:rFonts w:ascii="仿宋" w:hAnsi="仿宋" w:eastAsia="仿宋" w:cs="仿宋"/>
          <w:spacing w:val="-4"/>
          <w:sz w:val="28"/>
          <w:szCs w:val="28"/>
        </w:rPr>
        <w:t>坚持用习近平新时代中国特色社会主义思想</w:t>
      </w:r>
      <w:r>
        <w:rPr>
          <w:rFonts w:ascii="仿宋" w:hAnsi="仿宋" w:eastAsia="仿宋" w:cs="仿宋"/>
          <w:spacing w:val="-2"/>
          <w:sz w:val="28"/>
          <w:szCs w:val="28"/>
        </w:rPr>
        <w:t>武装头脑、指导实践、推动工作，认真贯彻落实党中央、国务院决策部署，</w:t>
      </w:r>
      <w:r>
        <w:rPr>
          <w:rFonts w:ascii="仿宋" w:hAnsi="仿宋" w:eastAsia="仿宋" w:cs="仿宋"/>
          <w:spacing w:val="-8"/>
          <w:sz w:val="28"/>
          <w:szCs w:val="28"/>
        </w:rPr>
        <w:t>增强</w:t>
      </w:r>
      <w:r>
        <w:rPr>
          <w:rFonts w:ascii="仿宋" w:hAnsi="仿宋" w:eastAsia="仿宋" w:cs="仿宋"/>
          <w:spacing w:val="-106"/>
          <w:sz w:val="28"/>
          <w:szCs w:val="28"/>
        </w:rPr>
        <w:t xml:space="preserve"> </w:t>
      </w:r>
      <w:r>
        <w:rPr>
          <w:rFonts w:ascii="仿宋" w:hAnsi="仿宋" w:eastAsia="仿宋" w:cs="仿宋"/>
          <w:spacing w:val="-8"/>
          <w:sz w:val="28"/>
          <w:szCs w:val="28"/>
        </w:rPr>
        <w:t>“</w:t>
      </w:r>
      <w:r>
        <w:rPr>
          <w:rFonts w:ascii="仿宋" w:hAnsi="仿宋" w:eastAsia="仿宋" w:cs="仿宋"/>
          <w:spacing w:val="-97"/>
          <w:sz w:val="28"/>
          <w:szCs w:val="28"/>
        </w:rPr>
        <w:t xml:space="preserve"> </w:t>
      </w:r>
      <w:r>
        <w:rPr>
          <w:rFonts w:ascii="仿宋" w:hAnsi="仿宋" w:eastAsia="仿宋" w:cs="仿宋"/>
          <w:spacing w:val="-8"/>
          <w:sz w:val="28"/>
          <w:szCs w:val="28"/>
        </w:rPr>
        <w:t>四个意识”</w:t>
      </w:r>
      <w:r>
        <w:rPr>
          <w:rFonts w:hint="eastAsia" w:ascii="仿宋" w:hAnsi="仿宋" w:eastAsia="仿宋" w:cs="仿宋"/>
          <w:spacing w:val="-8"/>
          <w:sz w:val="28"/>
          <w:szCs w:val="28"/>
          <w:lang w:eastAsia="zh-CN"/>
        </w:rPr>
        <w:t>、</w:t>
      </w:r>
      <w:r>
        <w:rPr>
          <w:rFonts w:ascii="仿宋" w:hAnsi="仿宋" w:eastAsia="仿宋" w:cs="仿宋"/>
          <w:spacing w:val="-8"/>
          <w:sz w:val="28"/>
          <w:szCs w:val="28"/>
        </w:rPr>
        <w:t>坚定</w:t>
      </w:r>
      <w:r>
        <w:rPr>
          <w:rFonts w:ascii="仿宋" w:hAnsi="仿宋" w:eastAsia="仿宋" w:cs="仿宋"/>
          <w:spacing w:val="-104"/>
          <w:sz w:val="28"/>
          <w:szCs w:val="28"/>
        </w:rPr>
        <w:t xml:space="preserve"> </w:t>
      </w:r>
      <w:r>
        <w:rPr>
          <w:rFonts w:ascii="仿宋" w:hAnsi="仿宋" w:eastAsia="仿宋" w:cs="仿宋"/>
          <w:spacing w:val="-8"/>
          <w:sz w:val="28"/>
          <w:szCs w:val="28"/>
        </w:rPr>
        <w:t>“</w:t>
      </w:r>
      <w:r>
        <w:rPr>
          <w:rFonts w:ascii="仿宋" w:hAnsi="仿宋" w:eastAsia="仿宋" w:cs="仿宋"/>
          <w:spacing w:val="-99"/>
          <w:sz w:val="28"/>
          <w:szCs w:val="28"/>
        </w:rPr>
        <w:t xml:space="preserve"> </w:t>
      </w:r>
      <w:r>
        <w:rPr>
          <w:rFonts w:ascii="仿宋" w:hAnsi="仿宋" w:eastAsia="仿宋" w:cs="仿宋"/>
          <w:spacing w:val="-8"/>
          <w:sz w:val="28"/>
          <w:szCs w:val="28"/>
        </w:rPr>
        <w:t>四个自信”</w:t>
      </w:r>
      <w:r>
        <w:rPr>
          <w:rFonts w:ascii="仿宋" w:hAnsi="仿宋" w:eastAsia="仿宋" w:cs="仿宋"/>
          <w:spacing w:val="-106"/>
          <w:sz w:val="28"/>
          <w:szCs w:val="28"/>
        </w:rPr>
        <w:t xml:space="preserve"> </w:t>
      </w:r>
      <w:r>
        <w:rPr>
          <w:rFonts w:hint="eastAsia" w:ascii="仿宋" w:hAnsi="仿宋" w:eastAsia="仿宋" w:cs="仿宋"/>
          <w:spacing w:val="-8"/>
          <w:sz w:val="28"/>
          <w:szCs w:val="28"/>
          <w:lang w:eastAsia="zh-CN"/>
        </w:rPr>
        <w:t>、</w:t>
      </w:r>
      <w:r>
        <w:rPr>
          <w:rFonts w:ascii="仿宋" w:hAnsi="仿宋" w:eastAsia="仿宋" w:cs="仿宋"/>
          <w:spacing w:val="-8"/>
          <w:sz w:val="28"/>
          <w:szCs w:val="28"/>
        </w:rPr>
        <w:t>做到</w:t>
      </w:r>
      <w:r>
        <w:rPr>
          <w:rFonts w:ascii="仿宋" w:hAnsi="仿宋" w:eastAsia="仿宋" w:cs="仿宋"/>
          <w:spacing w:val="-107"/>
          <w:sz w:val="28"/>
          <w:szCs w:val="28"/>
        </w:rPr>
        <w:t xml:space="preserve"> </w:t>
      </w:r>
      <w:r>
        <w:rPr>
          <w:rFonts w:ascii="仿宋" w:hAnsi="仿宋" w:eastAsia="仿宋" w:cs="仿宋"/>
          <w:spacing w:val="-8"/>
          <w:sz w:val="28"/>
          <w:szCs w:val="28"/>
        </w:rPr>
        <w:t>“</w:t>
      </w:r>
      <w:r>
        <w:rPr>
          <w:rFonts w:ascii="仿宋" w:hAnsi="仿宋" w:eastAsia="仿宋" w:cs="仿宋"/>
          <w:spacing w:val="-9"/>
          <w:sz w:val="28"/>
          <w:szCs w:val="28"/>
        </w:rPr>
        <w:t>两个维护”。充分发挥党总</w:t>
      </w:r>
      <w:r>
        <w:rPr>
          <w:rFonts w:ascii="仿宋" w:hAnsi="仿宋" w:eastAsia="仿宋" w:cs="仿宋"/>
          <w:spacing w:val="-2"/>
          <w:sz w:val="28"/>
          <w:szCs w:val="28"/>
        </w:rPr>
        <w:t>揽全局、协调各方的作用，加强党对交通行业发展各方面各环节的领导。加强交通行业基层党组织建设，引导广大党员发挥先锋模范作用，把基层党组</w:t>
      </w:r>
      <w:r>
        <w:rPr>
          <w:rFonts w:ascii="仿宋" w:hAnsi="仿宋" w:eastAsia="仿宋" w:cs="仿宋"/>
          <w:spacing w:val="-1"/>
          <w:sz w:val="28"/>
          <w:szCs w:val="28"/>
        </w:rPr>
        <w:t>织建设成为新时代综合交通高质量发展的坚强战斗堡垒。</w:t>
      </w:r>
    </w:p>
    <w:p w14:paraId="37C618D0">
      <w:pPr>
        <w:spacing w:line="343" w:lineRule="auto"/>
        <w:ind w:left="16" w:right="7" w:firstLine="572"/>
        <w:jc w:val="both"/>
        <w:rPr>
          <w:rFonts w:ascii="仿宋" w:hAnsi="仿宋" w:eastAsia="仿宋" w:cs="仿宋"/>
          <w:sz w:val="28"/>
          <w:szCs w:val="28"/>
        </w:rPr>
      </w:pPr>
      <w:r>
        <w:rPr>
          <w:rFonts w:ascii="仿宋" w:hAnsi="仿宋" w:eastAsia="仿宋" w:cs="仿宋"/>
          <w:b/>
          <w:bCs/>
          <w:spacing w:val="1"/>
          <w:sz w:val="28"/>
          <w:szCs w:val="28"/>
        </w:rPr>
        <w:t>强化党风廉政建设。</w:t>
      </w:r>
      <w:r>
        <w:rPr>
          <w:rFonts w:ascii="仿宋" w:hAnsi="仿宋" w:eastAsia="仿宋" w:cs="仿宋"/>
          <w:spacing w:val="1"/>
          <w:sz w:val="28"/>
          <w:szCs w:val="28"/>
        </w:rPr>
        <w:t>严格</w:t>
      </w:r>
      <w:r>
        <w:rPr>
          <w:rFonts w:hint="eastAsia" w:ascii="仿宋" w:hAnsi="仿宋" w:eastAsia="仿宋" w:cs="仿宋"/>
          <w:spacing w:val="1"/>
          <w:sz w:val="28"/>
          <w:szCs w:val="28"/>
          <w:lang w:eastAsia="zh-CN"/>
        </w:rPr>
        <w:t>落实全面从严治党主体责任</w:t>
      </w:r>
      <w:r>
        <w:rPr>
          <w:rFonts w:ascii="仿宋" w:hAnsi="仿宋" w:eastAsia="仿宋" w:cs="仿宋"/>
          <w:spacing w:val="1"/>
          <w:sz w:val="28"/>
          <w:szCs w:val="28"/>
        </w:rPr>
        <w:t>制度，完善党组</w:t>
      </w:r>
      <w:r>
        <w:rPr>
          <w:rFonts w:ascii="仿宋" w:hAnsi="仿宋" w:eastAsia="仿宋" w:cs="仿宋"/>
          <w:sz w:val="28"/>
          <w:szCs w:val="28"/>
        </w:rPr>
        <w:t>(党</w:t>
      </w:r>
      <w:r>
        <w:rPr>
          <w:rFonts w:ascii="仿宋" w:hAnsi="仿宋" w:eastAsia="仿宋" w:cs="仿宋"/>
          <w:spacing w:val="-1"/>
          <w:sz w:val="28"/>
          <w:szCs w:val="28"/>
        </w:rPr>
        <w:t>支部)主体责任、党组(党支部)书记第一责任、班子成员</w:t>
      </w:r>
      <w:r>
        <w:rPr>
          <w:rFonts w:ascii="仿宋" w:hAnsi="仿宋" w:eastAsia="仿宋" w:cs="仿宋"/>
          <w:spacing w:val="-97"/>
          <w:sz w:val="28"/>
          <w:szCs w:val="28"/>
        </w:rPr>
        <w:t xml:space="preserve"> </w:t>
      </w:r>
      <w:r>
        <w:rPr>
          <w:rFonts w:ascii="仿宋" w:hAnsi="仿宋" w:eastAsia="仿宋" w:cs="仿宋"/>
          <w:spacing w:val="-2"/>
          <w:sz w:val="28"/>
          <w:szCs w:val="28"/>
        </w:rPr>
        <w:t>“</w:t>
      </w:r>
      <w:r>
        <w:rPr>
          <w:rFonts w:ascii="仿宋" w:hAnsi="仿宋" w:eastAsia="仿宋" w:cs="仿宋"/>
          <w:spacing w:val="-109"/>
          <w:sz w:val="28"/>
          <w:szCs w:val="28"/>
        </w:rPr>
        <w:t xml:space="preserve"> </w:t>
      </w:r>
      <w:r>
        <w:rPr>
          <w:rFonts w:ascii="仿宋" w:hAnsi="仿宋" w:eastAsia="仿宋" w:cs="仿宋"/>
          <w:spacing w:val="-2"/>
          <w:sz w:val="28"/>
          <w:szCs w:val="28"/>
        </w:rPr>
        <w:t>一岗双责”</w:t>
      </w:r>
      <w:r>
        <w:rPr>
          <w:rFonts w:ascii="仿宋" w:hAnsi="仿宋" w:eastAsia="仿宋" w:cs="仿宋"/>
          <w:spacing w:val="-104"/>
          <w:sz w:val="28"/>
          <w:szCs w:val="28"/>
        </w:rPr>
        <w:t xml:space="preserve"> </w:t>
      </w:r>
      <w:r>
        <w:rPr>
          <w:rFonts w:ascii="仿宋" w:hAnsi="仿宋" w:eastAsia="仿宋" w:cs="仿宋"/>
          <w:spacing w:val="-2"/>
          <w:sz w:val="28"/>
          <w:szCs w:val="28"/>
        </w:rPr>
        <w:t>、纪</w:t>
      </w:r>
      <w:r>
        <w:rPr>
          <w:rFonts w:ascii="仿宋" w:hAnsi="仿宋" w:eastAsia="仿宋" w:cs="仿宋"/>
          <w:spacing w:val="-4"/>
          <w:sz w:val="28"/>
          <w:szCs w:val="28"/>
        </w:rPr>
        <w:t>委监督责任“</w:t>
      </w:r>
      <w:r>
        <w:rPr>
          <w:rFonts w:ascii="仿宋" w:hAnsi="仿宋" w:eastAsia="仿宋" w:cs="仿宋"/>
          <w:spacing w:val="-80"/>
          <w:sz w:val="28"/>
          <w:szCs w:val="28"/>
        </w:rPr>
        <w:t xml:space="preserve"> </w:t>
      </w:r>
      <w:r>
        <w:rPr>
          <w:rFonts w:ascii="仿宋" w:hAnsi="仿宋" w:eastAsia="仿宋" w:cs="仿宋"/>
          <w:spacing w:val="-4"/>
          <w:sz w:val="28"/>
          <w:szCs w:val="28"/>
        </w:rPr>
        <w:t>四责协同”机制，完善权力运行制约和监督机制。严明党的政</w:t>
      </w:r>
      <w:r>
        <w:rPr>
          <w:rFonts w:ascii="仿宋" w:hAnsi="仿宋" w:eastAsia="仿宋" w:cs="仿宋"/>
          <w:spacing w:val="-2"/>
          <w:sz w:val="28"/>
          <w:szCs w:val="28"/>
        </w:rPr>
        <w:t>治纪律和政治规矩，强化警示教育，督促党员干部守住底线、</w:t>
      </w:r>
      <w:r>
        <w:rPr>
          <w:rFonts w:ascii="仿宋" w:hAnsi="仿宋" w:eastAsia="仿宋" w:cs="仿宋"/>
          <w:spacing w:val="-3"/>
          <w:sz w:val="28"/>
          <w:szCs w:val="28"/>
        </w:rPr>
        <w:t>不碰红线，切</w:t>
      </w:r>
      <w:r>
        <w:rPr>
          <w:rFonts w:ascii="仿宋" w:hAnsi="仿宋" w:eastAsia="仿宋" w:cs="仿宋"/>
          <w:spacing w:val="-2"/>
          <w:sz w:val="28"/>
          <w:szCs w:val="28"/>
        </w:rPr>
        <w:t>实提高党风廉政建设水平和廉洁自律水平。坚定不移狠抓执纪</w:t>
      </w:r>
      <w:r>
        <w:rPr>
          <w:rFonts w:ascii="仿宋" w:hAnsi="仿宋" w:eastAsia="仿宋" w:cs="仿宋"/>
          <w:spacing w:val="-3"/>
          <w:sz w:val="28"/>
          <w:szCs w:val="28"/>
        </w:rPr>
        <w:t>问责，加强日</w:t>
      </w:r>
      <w:r>
        <w:rPr>
          <w:rFonts w:ascii="仿宋" w:hAnsi="仿宋" w:eastAsia="仿宋" w:cs="仿宋"/>
          <w:spacing w:val="-1"/>
          <w:sz w:val="28"/>
          <w:szCs w:val="28"/>
        </w:rPr>
        <w:t>常监督问责，对违纪违法问题发现一起查处一起，发挥制度刚性约束。</w:t>
      </w:r>
    </w:p>
    <w:p w14:paraId="74C523FD">
      <w:pPr>
        <w:spacing w:before="69" w:line="220" w:lineRule="auto"/>
        <w:ind w:left="569"/>
        <w:outlineLvl w:val="1"/>
        <w:rPr>
          <w:rFonts w:ascii="黑体" w:hAnsi="黑体" w:eastAsia="黑体" w:cs="黑体"/>
          <w:sz w:val="28"/>
          <w:szCs w:val="28"/>
        </w:rPr>
      </w:pPr>
      <w:bookmarkStart w:id="51" w:name="bookmark42"/>
      <w:bookmarkEnd w:id="51"/>
      <w:r>
        <w:rPr>
          <w:rFonts w:ascii="黑体" w:hAnsi="黑体" w:eastAsia="黑体" w:cs="黑体"/>
          <w:spacing w:val="-1"/>
          <w:sz w:val="28"/>
          <w:szCs w:val="28"/>
        </w:rPr>
        <w:t>2. 加强交通运输综合执法管理</w:t>
      </w:r>
    </w:p>
    <w:p w14:paraId="6BF5168A">
      <w:pPr>
        <w:spacing w:before="295" w:line="343" w:lineRule="auto"/>
        <w:ind w:left="7" w:right="4" w:firstLine="569"/>
        <w:jc w:val="both"/>
        <w:rPr>
          <w:rFonts w:ascii="仿宋" w:hAnsi="仿宋" w:eastAsia="仿宋" w:cs="仿宋"/>
          <w:sz w:val="28"/>
          <w:szCs w:val="28"/>
        </w:rPr>
      </w:pPr>
      <w:r>
        <w:rPr>
          <w:rFonts w:ascii="仿宋" w:hAnsi="仿宋" w:eastAsia="仿宋" w:cs="仿宋"/>
          <w:b/>
          <w:bCs/>
          <w:spacing w:val="-4"/>
          <w:sz w:val="28"/>
          <w:szCs w:val="28"/>
        </w:rPr>
        <w:t>深化交通运输综合行政执法改革。</w:t>
      </w:r>
      <w:r>
        <w:rPr>
          <w:rFonts w:ascii="仿宋" w:hAnsi="仿宋" w:eastAsia="仿宋" w:cs="仿宋"/>
          <w:spacing w:val="-4"/>
          <w:sz w:val="28"/>
          <w:szCs w:val="28"/>
        </w:rPr>
        <w:t>切实提升交通运输综合执法能力，深化交通运输执法基层</w:t>
      </w:r>
      <w:r>
        <w:rPr>
          <w:rFonts w:ascii="仿宋" w:hAnsi="仿宋" w:eastAsia="仿宋" w:cs="仿宋"/>
          <w:spacing w:val="-99"/>
          <w:sz w:val="28"/>
          <w:szCs w:val="28"/>
        </w:rPr>
        <w:t xml:space="preserve"> </w:t>
      </w:r>
      <w:r>
        <w:rPr>
          <w:rFonts w:ascii="仿宋" w:hAnsi="仿宋" w:eastAsia="仿宋" w:cs="仿宋"/>
          <w:spacing w:val="-4"/>
          <w:sz w:val="28"/>
          <w:szCs w:val="28"/>
        </w:rPr>
        <w:t>“</w:t>
      </w:r>
      <w:r>
        <w:rPr>
          <w:rFonts w:ascii="仿宋" w:hAnsi="仿宋" w:eastAsia="仿宋" w:cs="仿宋"/>
          <w:spacing w:val="-96"/>
          <w:sz w:val="28"/>
          <w:szCs w:val="28"/>
        </w:rPr>
        <w:t xml:space="preserve"> </w:t>
      </w:r>
      <w:r>
        <w:rPr>
          <w:rFonts w:ascii="仿宋" w:hAnsi="仿宋" w:eastAsia="仿宋" w:cs="仿宋"/>
          <w:spacing w:val="-4"/>
          <w:sz w:val="28"/>
          <w:szCs w:val="28"/>
        </w:rPr>
        <w:t>四基四化”建设。深化</w:t>
      </w:r>
      <w:r>
        <w:rPr>
          <w:rFonts w:ascii="仿宋" w:hAnsi="仿宋" w:eastAsia="仿宋" w:cs="仿宋"/>
          <w:spacing w:val="-5"/>
          <w:sz w:val="28"/>
          <w:szCs w:val="28"/>
        </w:rPr>
        <w:t>行政简政放权和</w:t>
      </w:r>
      <w:r>
        <w:rPr>
          <w:rFonts w:hint="eastAsia" w:ascii="仿宋" w:hAnsi="仿宋" w:eastAsia="仿宋" w:cs="仿宋"/>
          <w:spacing w:val="-5"/>
          <w:sz w:val="28"/>
          <w:szCs w:val="28"/>
          <w:lang w:eastAsia="zh-CN"/>
        </w:rPr>
        <w:t>“放管服”改革</w:t>
      </w:r>
      <w:r>
        <w:rPr>
          <w:rFonts w:ascii="仿宋" w:hAnsi="仿宋" w:eastAsia="仿宋" w:cs="仿宋"/>
          <w:spacing w:val="-5"/>
          <w:sz w:val="28"/>
          <w:szCs w:val="28"/>
        </w:rPr>
        <w:t>，</w:t>
      </w:r>
      <w:r>
        <w:rPr>
          <w:rFonts w:ascii="仿宋" w:hAnsi="仿宋" w:eastAsia="仿宋" w:cs="仿宋"/>
          <w:spacing w:val="-2"/>
          <w:sz w:val="28"/>
          <w:szCs w:val="28"/>
        </w:rPr>
        <w:t>实施“权力清单”制度，加大行政审批事项取消和下放力度，规范行政审批运行机制，优化行政审批流程，提高“一网通办”覆盖率。建立综合交通运输领域重大政策沟通协调机制，实现铁路、公路、水运、民航等多种运输方式一体化协调发展。科学界定执法职能，精简执法事项，推动交通运输综合行政执法队伍综合设置，合理配置执法力量。建立完善的信息沟通平台，加强交通与其他部门的联动执法工作。逐步将交通运输综合执法装备、信息化建设、执法人员及辅助人员经费纳入同级财政预算予以保障，严格执行罚缴</w:t>
      </w:r>
    </w:p>
    <w:p w14:paraId="6C14EA32">
      <w:pPr>
        <w:spacing w:line="343" w:lineRule="auto"/>
        <w:rPr>
          <w:rFonts w:ascii="仿宋" w:hAnsi="仿宋" w:eastAsia="仿宋" w:cs="仿宋"/>
          <w:sz w:val="28"/>
          <w:szCs w:val="28"/>
        </w:rPr>
        <w:sectPr>
          <w:headerReference r:id="rId117" w:type="default"/>
          <w:footerReference r:id="rId118" w:type="default"/>
          <w:pgSz w:w="11906" w:h="16839"/>
          <w:pgMar w:top="1222" w:right="1578" w:bottom="1156" w:left="1134" w:header="885" w:footer="920" w:gutter="0"/>
          <w:cols w:space="720" w:num="1"/>
        </w:sectPr>
      </w:pPr>
    </w:p>
    <w:p w14:paraId="2072458D">
      <w:pPr>
        <w:pStyle w:val="2"/>
        <w:spacing w:line="279" w:lineRule="auto"/>
      </w:pPr>
    </w:p>
    <w:p w14:paraId="64204974">
      <w:pPr>
        <w:spacing w:before="91" w:line="217" w:lineRule="auto"/>
        <w:ind w:left="12"/>
        <w:rPr>
          <w:rFonts w:ascii="仿宋" w:hAnsi="仿宋" w:eastAsia="仿宋" w:cs="仿宋"/>
          <w:sz w:val="28"/>
          <w:szCs w:val="28"/>
        </w:rPr>
      </w:pPr>
      <w:r>
        <w:rPr>
          <w:rFonts w:ascii="仿宋" w:hAnsi="仿宋" w:eastAsia="仿宋" w:cs="仿宋"/>
          <w:spacing w:val="-2"/>
          <w:sz w:val="28"/>
          <w:szCs w:val="28"/>
        </w:rPr>
        <w:t>分离和收支两条线管理制度。</w:t>
      </w:r>
    </w:p>
    <w:p w14:paraId="013618B5">
      <w:pPr>
        <w:spacing w:before="189" w:line="343" w:lineRule="auto"/>
        <w:ind w:left="10" w:right="81" w:firstLine="561"/>
        <w:jc w:val="both"/>
        <w:rPr>
          <w:rFonts w:ascii="仿宋" w:hAnsi="仿宋" w:eastAsia="仿宋" w:cs="仿宋"/>
          <w:sz w:val="28"/>
          <w:szCs w:val="28"/>
        </w:rPr>
      </w:pPr>
      <w:r>
        <w:rPr>
          <w:rFonts w:ascii="仿宋" w:hAnsi="仿宋" w:eastAsia="仿宋" w:cs="仿宋"/>
          <w:b/>
          <w:bCs/>
          <w:spacing w:val="-4"/>
          <w:sz w:val="28"/>
          <w:szCs w:val="28"/>
        </w:rPr>
        <w:t>加强基层执法站（所）标准化和执法队伍建设。</w:t>
      </w:r>
      <w:r>
        <w:rPr>
          <w:rFonts w:ascii="仿宋" w:hAnsi="仿宋" w:eastAsia="仿宋" w:cs="仿宋"/>
          <w:spacing w:val="-4"/>
          <w:sz w:val="28"/>
          <w:szCs w:val="28"/>
        </w:rPr>
        <w:t>根据综合执法</w:t>
      </w:r>
      <w:r>
        <w:rPr>
          <w:rFonts w:ascii="仿宋" w:hAnsi="仿宋" w:eastAsia="仿宋" w:cs="仿宋"/>
          <w:spacing w:val="-5"/>
          <w:sz w:val="28"/>
          <w:szCs w:val="28"/>
        </w:rPr>
        <w:t>需要和交</w:t>
      </w:r>
      <w:r>
        <w:rPr>
          <w:rFonts w:ascii="仿宋" w:hAnsi="仿宋" w:eastAsia="仿宋" w:cs="仿宋"/>
          <w:spacing w:val="-2"/>
          <w:sz w:val="28"/>
          <w:szCs w:val="28"/>
        </w:rPr>
        <w:t>通网络实际，合理布设基层综合执法站点，站点业务用房建设纳入高速公路同步设计、同步建设、同步运行，所需费用纳入高速公路项目建设成本。建立符合交通运输综合行政执法特点的职务和交流制度，加强法治宣传和</w:t>
      </w:r>
      <w:r>
        <w:rPr>
          <w:rFonts w:ascii="仿宋" w:hAnsi="仿宋" w:eastAsia="仿宋" w:cs="仿宋"/>
          <w:spacing w:val="-3"/>
          <w:sz w:val="28"/>
          <w:szCs w:val="28"/>
        </w:rPr>
        <w:t>执法</w:t>
      </w:r>
      <w:r>
        <w:rPr>
          <w:rFonts w:ascii="仿宋" w:hAnsi="仿宋" w:eastAsia="仿宋" w:cs="仿宋"/>
          <w:spacing w:val="-2"/>
          <w:sz w:val="28"/>
          <w:szCs w:val="28"/>
        </w:rPr>
        <w:t>培训，强化干部职工思想教育和引导，不断提升执法队伍素质和综合执法效能。配备与所管辖交通运输市场、公路的规模技术等级及通车里程等管理工作相适应的执法人员及执法装备，执法辅助人员队伍建设纳入市级交通</w:t>
      </w:r>
      <w:r>
        <w:rPr>
          <w:rFonts w:ascii="仿宋" w:hAnsi="仿宋" w:eastAsia="仿宋" w:cs="仿宋"/>
          <w:spacing w:val="-3"/>
          <w:sz w:val="28"/>
          <w:szCs w:val="28"/>
        </w:rPr>
        <w:t>运输</w:t>
      </w:r>
      <w:r>
        <w:rPr>
          <w:rFonts w:ascii="仿宋" w:hAnsi="仿宋" w:eastAsia="仿宋" w:cs="仿宋"/>
          <w:spacing w:val="-2"/>
          <w:sz w:val="28"/>
          <w:szCs w:val="28"/>
        </w:rPr>
        <w:t>发展规划。</w:t>
      </w:r>
    </w:p>
    <w:p w14:paraId="3FD8B2B4">
      <w:pPr>
        <w:spacing w:before="10" w:line="342" w:lineRule="auto"/>
        <w:ind w:left="8" w:firstLine="581"/>
        <w:jc w:val="both"/>
        <w:rPr>
          <w:rFonts w:ascii="仿宋" w:hAnsi="仿宋" w:eastAsia="仿宋" w:cs="仿宋"/>
          <w:sz w:val="28"/>
          <w:szCs w:val="28"/>
        </w:rPr>
      </w:pPr>
      <w:r>
        <w:rPr>
          <w:rFonts w:ascii="仿宋" w:hAnsi="仿宋" w:eastAsia="仿宋" w:cs="仿宋"/>
          <w:spacing w:val="-3"/>
          <w:sz w:val="28"/>
          <w:szCs w:val="28"/>
        </w:rPr>
        <w:t>一是加强路政基础管理，提升执法效能。深入开展公路沿线环境综合治</w:t>
      </w:r>
      <w:r>
        <w:rPr>
          <w:rFonts w:ascii="仿宋" w:hAnsi="仿宋" w:eastAsia="仿宋" w:cs="仿宋"/>
          <w:spacing w:val="-2"/>
          <w:sz w:val="28"/>
          <w:szCs w:val="28"/>
        </w:rPr>
        <w:t>理，强化日常路政巡查，加强服务区监管力度，明确城市道路路政管理执法</w:t>
      </w:r>
      <w:r>
        <w:rPr>
          <w:rFonts w:ascii="仿宋" w:hAnsi="仿宋" w:eastAsia="仿宋" w:cs="仿宋"/>
          <w:spacing w:val="1"/>
          <w:sz w:val="28"/>
          <w:szCs w:val="28"/>
        </w:rPr>
        <w:t>边界。健全事故隐患排查和整改痕迹基础管</w:t>
      </w:r>
      <w:r>
        <w:rPr>
          <w:rFonts w:ascii="仿宋" w:hAnsi="仿宋" w:eastAsia="仿宋" w:cs="仿宋"/>
          <w:sz w:val="28"/>
          <w:szCs w:val="28"/>
        </w:rPr>
        <w:t>理，实行隐患排查整改清单化、</w:t>
      </w:r>
      <w:r>
        <w:rPr>
          <w:rFonts w:ascii="仿宋" w:hAnsi="仿宋" w:eastAsia="仿宋" w:cs="仿宋"/>
          <w:spacing w:val="-2"/>
          <w:sz w:val="28"/>
          <w:szCs w:val="28"/>
        </w:rPr>
        <w:t>闭环化。继续推进并完善示范路管理模式，积极推动各部门不断完善“一路</w:t>
      </w:r>
      <w:r>
        <w:rPr>
          <w:rFonts w:ascii="仿宋" w:hAnsi="仿宋" w:eastAsia="仿宋" w:cs="仿宋"/>
          <w:spacing w:val="-3"/>
          <w:sz w:val="28"/>
          <w:szCs w:val="28"/>
        </w:rPr>
        <w:t>三方”联动机制，推行</w:t>
      </w:r>
      <w:r>
        <w:rPr>
          <w:rFonts w:ascii="仿宋" w:hAnsi="仿宋" w:eastAsia="仿宋" w:cs="仿宋"/>
          <w:spacing w:val="-99"/>
          <w:sz w:val="28"/>
          <w:szCs w:val="28"/>
        </w:rPr>
        <w:t xml:space="preserve"> </w:t>
      </w:r>
      <w:r>
        <w:rPr>
          <w:rFonts w:ascii="仿宋" w:hAnsi="仿宋" w:eastAsia="仿宋" w:cs="仿宋"/>
          <w:spacing w:val="-3"/>
          <w:sz w:val="28"/>
          <w:szCs w:val="28"/>
        </w:rPr>
        <w:t>“路长制”。规范执法流程，加强与沿线各级部门的</w:t>
      </w:r>
      <w:r>
        <w:rPr>
          <w:rFonts w:ascii="仿宋" w:hAnsi="仿宋" w:eastAsia="仿宋" w:cs="仿宋"/>
          <w:spacing w:val="-8"/>
          <w:sz w:val="28"/>
          <w:szCs w:val="28"/>
        </w:rPr>
        <w:t>联络合作，逐步实现公路网络联动巡查常态化，不断提升公路联动管理水平。</w:t>
      </w:r>
      <w:r>
        <w:rPr>
          <w:rFonts w:ascii="仿宋" w:hAnsi="仿宋" w:eastAsia="仿宋" w:cs="仿宋"/>
          <w:spacing w:val="-5"/>
          <w:sz w:val="28"/>
          <w:szCs w:val="28"/>
        </w:rPr>
        <w:t>建立健全“</w:t>
      </w:r>
      <w:r>
        <w:rPr>
          <w:rFonts w:ascii="仿宋" w:hAnsi="仿宋" w:eastAsia="仿宋" w:cs="仿宋"/>
          <w:spacing w:val="-79"/>
          <w:sz w:val="28"/>
          <w:szCs w:val="28"/>
        </w:rPr>
        <w:t xml:space="preserve"> </w:t>
      </w:r>
      <w:r>
        <w:rPr>
          <w:rFonts w:ascii="仿宋" w:hAnsi="仿宋" w:eastAsia="仿宋" w:cs="仿宋"/>
          <w:spacing w:val="-5"/>
          <w:sz w:val="28"/>
          <w:szCs w:val="28"/>
        </w:rPr>
        <w:t>四好农村路”建设长效体制机制，推动“</w:t>
      </w:r>
      <w:r>
        <w:rPr>
          <w:rFonts w:ascii="仿宋" w:hAnsi="仿宋" w:eastAsia="仿宋" w:cs="仿宋"/>
          <w:spacing w:val="-99"/>
          <w:sz w:val="28"/>
          <w:szCs w:val="28"/>
        </w:rPr>
        <w:t xml:space="preserve"> </w:t>
      </w:r>
      <w:r>
        <w:rPr>
          <w:rFonts w:ascii="仿宋" w:hAnsi="仿宋" w:eastAsia="仿宋" w:cs="仿宋"/>
          <w:spacing w:val="-5"/>
          <w:sz w:val="28"/>
          <w:szCs w:val="28"/>
        </w:rPr>
        <w:t>四好农村路”从以建设</w:t>
      </w:r>
      <w:r>
        <w:rPr>
          <w:rFonts w:ascii="仿宋" w:hAnsi="仿宋" w:eastAsia="仿宋" w:cs="仿宋"/>
          <w:spacing w:val="-2"/>
          <w:sz w:val="28"/>
          <w:szCs w:val="28"/>
        </w:rPr>
        <w:t>为主向建设、管理、养护、运营协调发展转变。积极探索公安交警、交通路政联合执法新模式，采用电子警察代替人工执法，形成以政府为主导的部门</w:t>
      </w:r>
      <w:r>
        <w:rPr>
          <w:rFonts w:ascii="仿宋" w:hAnsi="仿宋" w:eastAsia="仿宋" w:cs="仿宋"/>
          <w:spacing w:val="-1"/>
          <w:sz w:val="28"/>
          <w:szCs w:val="28"/>
        </w:rPr>
        <w:t>协同、上下联动、运转高效的运作模式。</w:t>
      </w:r>
    </w:p>
    <w:p w14:paraId="29845E51">
      <w:pPr>
        <w:spacing w:before="1" w:line="343" w:lineRule="auto"/>
        <w:ind w:left="6" w:right="81" w:firstLine="580"/>
        <w:jc w:val="both"/>
        <w:rPr>
          <w:rFonts w:ascii="仿宋" w:hAnsi="仿宋" w:eastAsia="仿宋" w:cs="仿宋"/>
          <w:sz w:val="28"/>
          <w:szCs w:val="28"/>
        </w:rPr>
      </w:pPr>
      <w:r>
        <w:rPr>
          <w:rFonts w:ascii="仿宋" w:hAnsi="仿宋" w:eastAsia="仿宋" w:cs="仿宋"/>
          <w:spacing w:val="-3"/>
          <w:sz w:val="28"/>
          <w:szCs w:val="28"/>
        </w:rPr>
        <w:t>二是加强道路运输市场监管，增强工作实效，进一步深化道路运输</w:t>
      </w:r>
      <w:r>
        <w:rPr>
          <w:rFonts w:hint="eastAsia" w:ascii="仿宋" w:hAnsi="仿宋" w:eastAsia="仿宋" w:cs="仿宋"/>
          <w:spacing w:val="-3"/>
          <w:sz w:val="28"/>
          <w:szCs w:val="28"/>
          <w:lang w:eastAsia="zh-CN"/>
        </w:rPr>
        <w:t>供给侧结构性改革</w:t>
      </w:r>
      <w:r>
        <w:rPr>
          <w:rFonts w:ascii="仿宋" w:hAnsi="仿宋" w:eastAsia="仿宋" w:cs="仿宋"/>
          <w:spacing w:val="-2"/>
          <w:sz w:val="28"/>
          <w:szCs w:val="28"/>
        </w:rPr>
        <w:t>，推进运输服务提质增效。扎实推进网约车等新业态的合规化工作，强化曲靖市中心城市网络预约出租汽车取证合法性和事中事后的监管，进一步理顺、加强巡游出租汽车管理职能划转交通运输部门后的监管方式和手段，打造良好的营运秩序；着力提升物流专业化、社会服务水平，推进货</w:t>
      </w:r>
      <w:r>
        <w:rPr>
          <w:rFonts w:ascii="仿宋" w:hAnsi="仿宋" w:eastAsia="仿宋" w:cs="仿宋"/>
          <w:sz w:val="28"/>
          <w:szCs w:val="28"/>
        </w:rPr>
        <w:t>运减本增效，围绕省政府报告提出的</w:t>
      </w:r>
      <w:r>
        <w:rPr>
          <w:rFonts w:ascii="仿宋" w:hAnsi="仿宋" w:eastAsia="仿宋" w:cs="仿宋"/>
          <w:spacing w:val="-96"/>
          <w:sz w:val="28"/>
          <w:szCs w:val="28"/>
        </w:rPr>
        <w:t xml:space="preserve"> </w:t>
      </w:r>
      <w:r>
        <w:rPr>
          <w:rFonts w:ascii="仿宋" w:hAnsi="仿宋" w:eastAsia="仿宋" w:cs="仿宋"/>
          <w:sz w:val="28"/>
          <w:szCs w:val="28"/>
        </w:rPr>
        <w:t>“通道路+枢纽+网络+平台</w:t>
      </w:r>
      <w:r>
        <w:rPr>
          <w:rFonts w:ascii="仿宋" w:hAnsi="仿宋" w:eastAsia="仿宋" w:cs="仿宋"/>
          <w:spacing w:val="-1"/>
          <w:sz w:val="28"/>
          <w:szCs w:val="28"/>
        </w:rPr>
        <w:t>”</w:t>
      </w:r>
      <w:r>
        <w:rPr>
          <w:rFonts w:ascii="仿宋" w:hAnsi="仿宋" w:eastAsia="仿宋" w:cs="仿宋"/>
          <w:spacing w:val="-103"/>
          <w:sz w:val="28"/>
          <w:szCs w:val="28"/>
        </w:rPr>
        <w:t xml:space="preserve"> </w:t>
      </w:r>
      <w:r>
        <w:rPr>
          <w:rFonts w:ascii="仿宋" w:hAnsi="仿宋" w:eastAsia="仿宋" w:cs="仿宋"/>
          <w:spacing w:val="-1"/>
          <w:sz w:val="28"/>
          <w:szCs w:val="28"/>
        </w:rPr>
        <w:t>的现代物</w:t>
      </w:r>
      <w:r>
        <w:rPr>
          <w:rFonts w:ascii="仿宋" w:hAnsi="仿宋" w:eastAsia="仿宋" w:cs="仿宋"/>
          <w:spacing w:val="7"/>
          <w:sz w:val="28"/>
          <w:szCs w:val="28"/>
        </w:rPr>
        <w:t>流体系建设要求，加快推进综合物流网络体系建设和货</w:t>
      </w:r>
      <w:r>
        <w:rPr>
          <w:rFonts w:ascii="仿宋" w:hAnsi="仿宋" w:eastAsia="仿宋" w:cs="仿宋"/>
          <w:spacing w:val="6"/>
          <w:sz w:val="28"/>
          <w:szCs w:val="28"/>
        </w:rPr>
        <w:t>运市场信息平台建</w:t>
      </w:r>
    </w:p>
    <w:p w14:paraId="6BFF6AF5">
      <w:pPr>
        <w:spacing w:line="343" w:lineRule="auto"/>
        <w:rPr>
          <w:rFonts w:ascii="仿宋" w:hAnsi="仿宋" w:eastAsia="仿宋" w:cs="仿宋"/>
          <w:sz w:val="28"/>
          <w:szCs w:val="28"/>
        </w:rPr>
        <w:sectPr>
          <w:headerReference r:id="rId119" w:type="default"/>
          <w:footerReference r:id="rId120" w:type="default"/>
          <w:pgSz w:w="11906" w:h="16839"/>
          <w:pgMar w:top="1222" w:right="1050" w:bottom="1156" w:left="1587" w:header="885" w:footer="920" w:gutter="0"/>
          <w:cols w:space="720" w:num="1"/>
        </w:sectPr>
      </w:pPr>
    </w:p>
    <w:p w14:paraId="0F213CD0">
      <w:pPr>
        <w:pStyle w:val="2"/>
        <w:spacing w:line="275" w:lineRule="auto"/>
      </w:pPr>
    </w:p>
    <w:p w14:paraId="36DB1814">
      <w:pPr>
        <w:spacing w:before="91" w:line="343" w:lineRule="auto"/>
        <w:ind w:left="8" w:firstLine="1"/>
        <w:jc w:val="both"/>
        <w:rPr>
          <w:rFonts w:ascii="仿宋" w:hAnsi="仿宋" w:eastAsia="仿宋" w:cs="仿宋"/>
          <w:sz w:val="28"/>
          <w:szCs w:val="28"/>
        </w:rPr>
      </w:pPr>
      <w:r>
        <w:rPr>
          <w:rFonts w:ascii="仿宋" w:hAnsi="仿宋" w:eastAsia="仿宋" w:cs="仿宋"/>
          <w:spacing w:val="-2"/>
          <w:sz w:val="28"/>
          <w:szCs w:val="28"/>
        </w:rPr>
        <w:t>设，大力发展第三方物流，引导传统物流企业向现代物流企业发展，同步通</w:t>
      </w:r>
      <w:r>
        <w:rPr>
          <w:rFonts w:ascii="仿宋" w:hAnsi="仿宋" w:eastAsia="仿宋" w:cs="仿宋"/>
          <w:spacing w:val="-8"/>
          <w:sz w:val="28"/>
          <w:szCs w:val="28"/>
        </w:rPr>
        <w:t>过试点，推广开展好农村“客货邮”一体化建设；进一步深化驾培行业改革，持续推进检测改革，积极培育创新试点；继续做好机动车维修经营备案管理，</w:t>
      </w:r>
      <w:r>
        <w:rPr>
          <w:rFonts w:ascii="仿宋" w:hAnsi="仿宋" w:eastAsia="仿宋" w:cs="仿宋"/>
          <w:spacing w:val="-2"/>
          <w:sz w:val="28"/>
          <w:szCs w:val="28"/>
        </w:rPr>
        <w:t>加强维修行业事中事后监管，深入推进维修经营诚信体系建设；不断加大道路运输市场打非治违工作力度，深化同公安、综合执法（城管）等部门的沟通协作长效机制，开展好联合整治，常态化抓好道路运输行业涉黑涉恶涉乱行为的查处工作；继续做好对非法改装车辆的治理工作，不断完善健全行业</w:t>
      </w:r>
      <w:r>
        <w:rPr>
          <w:rFonts w:ascii="仿宋" w:hAnsi="仿宋" w:eastAsia="仿宋" w:cs="仿宋"/>
          <w:spacing w:val="-1"/>
          <w:sz w:val="28"/>
          <w:szCs w:val="28"/>
        </w:rPr>
        <w:t>各类突发重大工作事件应急预案。</w:t>
      </w:r>
    </w:p>
    <w:p w14:paraId="2FA30689">
      <w:pPr>
        <w:spacing w:before="3" w:line="343" w:lineRule="auto"/>
        <w:ind w:left="8" w:right="70" w:firstLine="562"/>
        <w:jc w:val="both"/>
        <w:rPr>
          <w:rFonts w:ascii="仿宋" w:hAnsi="仿宋" w:eastAsia="仿宋" w:cs="仿宋"/>
          <w:sz w:val="28"/>
          <w:szCs w:val="28"/>
        </w:rPr>
      </w:pPr>
      <w:r>
        <w:rPr>
          <w:rFonts w:ascii="仿宋" w:hAnsi="仿宋" w:eastAsia="仿宋" w:cs="仿宋"/>
          <w:b/>
          <w:bCs/>
          <w:sz w:val="28"/>
          <w:szCs w:val="28"/>
        </w:rPr>
        <w:t>加强基层执法工作信息化建设。</w:t>
      </w:r>
      <w:r>
        <w:rPr>
          <w:rFonts w:ascii="仿宋" w:hAnsi="仿宋" w:eastAsia="仿宋" w:cs="仿宋"/>
          <w:sz w:val="28"/>
          <w:szCs w:val="28"/>
        </w:rPr>
        <w:t>充分利用</w:t>
      </w:r>
      <w:r>
        <w:rPr>
          <w:rFonts w:ascii="仿宋" w:hAnsi="仿宋" w:eastAsia="仿宋" w:cs="仿宋"/>
          <w:spacing w:val="-97"/>
          <w:sz w:val="28"/>
          <w:szCs w:val="28"/>
        </w:rPr>
        <w:t xml:space="preserve"> </w:t>
      </w:r>
      <w:r>
        <w:rPr>
          <w:rFonts w:ascii="仿宋" w:hAnsi="仿宋" w:eastAsia="仿宋" w:cs="仿宋"/>
          <w:sz w:val="28"/>
          <w:szCs w:val="28"/>
        </w:rPr>
        <w:t>“互</w:t>
      </w:r>
      <w:r>
        <w:rPr>
          <w:rFonts w:ascii="仿宋" w:hAnsi="仿宋" w:eastAsia="仿宋" w:cs="仿宋"/>
          <w:spacing w:val="-1"/>
          <w:sz w:val="28"/>
          <w:szCs w:val="28"/>
        </w:rPr>
        <w:t>联网+监督”等方式，落</w:t>
      </w:r>
      <w:r>
        <w:rPr>
          <w:rFonts w:ascii="仿宋" w:hAnsi="仿宋" w:eastAsia="仿宋" w:cs="仿宋"/>
          <w:spacing w:val="-3"/>
          <w:sz w:val="28"/>
          <w:szCs w:val="28"/>
        </w:rPr>
        <w:t>实联合检查、</w:t>
      </w:r>
      <w:r>
        <w:rPr>
          <w:rFonts w:ascii="仿宋" w:hAnsi="仿宋" w:eastAsia="仿宋" w:cs="仿宋"/>
          <w:spacing w:val="-100"/>
          <w:sz w:val="28"/>
          <w:szCs w:val="28"/>
        </w:rPr>
        <w:t xml:space="preserve"> </w:t>
      </w:r>
      <w:r>
        <w:rPr>
          <w:rFonts w:ascii="仿宋" w:hAnsi="仿宋" w:eastAsia="仿宋" w:cs="仿宋"/>
          <w:spacing w:val="-3"/>
          <w:sz w:val="28"/>
          <w:szCs w:val="28"/>
        </w:rPr>
        <w:t>“双随机、一公开”监管等常态工作机制，突出执法重点，减</w:t>
      </w:r>
      <w:r>
        <w:rPr>
          <w:rFonts w:ascii="仿宋" w:hAnsi="仿宋" w:eastAsia="仿宋" w:cs="仿宋"/>
          <w:spacing w:val="-2"/>
          <w:sz w:val="28"/>
          <w:szCs w:val="28"/>
        </w:rPr>
        <w:t>少重复检查、无效检查，增强执法检查实效。加强重点路段、时段的动态监控，采取现场稽查加线上稽查的模式，强化动态信息采集和监控保障能力。一是推进路政、运政、海事、交警、经营单位、道路运输企业在路网运行调度、事故处置和应急救援、市场监管等方面的深度融合，实现监控系统的联通、监控数据共享、监管执法互动；二是依托高速公路视频监控系统在路政管理领域探索试行高速公路网络巡查机制，缓解路政管理机构人少路多的突出矛盾；三是结合交通运输综合行政执法改革，依托“智慧交通建设”，完成客运站场、已公示货运源头企业、道路运输车辆等的数据、监控平台一体化建设，更好的开展好道路运输市场监管工作。提高“云南省交通运输行政执法综合管理信息系统”的配备率和使用率，建设行政执法罚款缴纳电子支</w:t>
      </w:r>
      <w:bookmarkStart w:id="52" w:name="bookmark43"/>
      <w:bookmarkEnd w:id="52"/>
      <w:r>
        <w:rPr>
          <w:rFonts w:ascii="仿宋" w:hAnsi="仿宋" w:eastAsia="仿宋" w:cs="仿宋"/>
          <w:spacing w:val="-3"/>
          <w:sz w:val="28"/>
          <w:szCs w:val="28"/>
        </w:rPr>
        <w:t>付系统。</w:t>
      </w:r>
    </w:p>
    <w:p w14:paraId="36031F38">
      <w:pPr>
        <w:spacing w:before="66" w:line="222" w:lineRule="auto"/>
        <w:ind w:left="571"/>
        <w:outlineLvl w:val="1"/>
        <w:rPr>
          <w:rFonts w:ascii="黑体" w:hAnsi="黑体" w:eastAsia="黑体" w:cs="黑体"/>
          <w:sz w:val="28"/>
          <w:szCs w:val="28"/>
        </w:rPr>
      </w:pPr>
      <w:bookmarkStart w:id="53" w:name="bookmark70"/>
      <w:bookmarkEnd w:id="53"/>
      <w:r>
        <w:rPr>
          <w:rFonts w:ascii="黑体" w:hAnsi="黑体" w:eastAsia="黑体" w:cs="黑体"/>
          <w:spacing w:val="-1"/>
          <w:sz w:val="28"/>
          <w:szCs w:val="28"/>
        </w:rPr>
        <w:t>3. 加强公路超限治理</w:t>
      </w:r>
    </w:p>
    <w:p w14:paraId="2D42B49D">
      <w:pPr>
        <w:spacing w:before="289" w:line="343" w:lineRule="auto"/>
        <w:ind w:left="5" w:right="82" w:firstLine="583"/>
        <w:jc w:val="both"/>
        <w:rPr>
          <w:rFonts w:ascii="仿宋" w:hAnsi="仿宋" w:eastAsia="仿宋" w:cs="仿宋"/>
          <w:sz w:val="28"/>
          <w:szCs w:val="28"/>
        </w:rPr>
      </w:pPr>
      <w:r>
        <w:rPr>
          <w:rFonts w:ascii="仿宋" w:hAnsi="仿宋" w:eastAsia="仿宋" w:cs="仿宋"/>
          <w:b/>
          <w:bCs/>
          <w:spacing w:val="5"/>
          <w:sz w:val="28"/>
          <w:szCs w:val="28"/>
        </w:rPr>
        <w:t>抓紧机制建设。</w:t>
      </w:r>
      <w:r>
        <w:rPr>
          <w:rFonts w:ascii="仿宋" w:hAnsi="仿宋" w:eastAsia="仿宋" w:cs="仿宋"/>
          <w:spacing w:val="5"/>
          <w:sz w:val="28"/>
          <w:szCs w:val="28"/>
        </w:rPr>
        <w:t>完善联合治超常态化制度化机制，以县(市、区)为单</w:t>
      </w:r>
      <w:r>
        <w:rPr>
          <w:rFonts w:ascii="仿宋" w:hAnsi="仿宋" w:eastAsia="仿宋" w:cs="仿宋"/>
          <w:spacing w:val="7"/>
          <w:sz w:val="28"/>
          <w:szCs w:val="28"/>
        </w:rPr>
        <w:t>位，强化治超工作的日常组织协调和监督指导</w:t>
      </w:r>
      <w:r>
        <w:rPr>
          <w:rFonts w:ascii="仿宋" w:hAnsi="仿宋" w:eastAsia="仿宋" w:cs="仿宋"/>
          <w:spacing w:val="6"/>
          <w:sz w:val="28"/>
          <w:szCs w:val="28"/>
        </w:rPr>
        <w:t>，全面推行治超联席会议制</w:t>
      </w:r>
      <w:r>
        <w:rPr>
          <w:rFonts w:ascii="仿宋" w:hAnsi="仿宋" w:eastAsia="仿宋" w:cs="仿宋"/>
          <w:spacing w:val="7"/>
          <w:sz w:val="28"/>
          <w:szCs w:val="28"/>
        </w:rPr>
        <w:t>度、联合办公制度和工作例会制度等。加强科</w:t>
      </w:r>
      <w:r>
        <w:rPr>
          <w:rFonts w:ascii="仿宋" w:hAnsi="仿宋" w:eastAsia="仿宋" w:cs="仿宋"/>
          <w:spacing w:val="6"/>
          <w:sz w:val="28"/>
          <w:szCs w:val="28"/>
        </w:rPr>
        <w:t>技治超力度，坚持联合执法</w:t>
      </w:r>
      <w:r>
        <w:rPr>
          <w:rFonts w:ascii="仿宋" w:hAnsi="仿宋" w:eastAsia="仿宋" w:cs="仿宋"/>
          <w:spacing w:val="7"/>
          <w:sz w:val="28"/>
          <w:szCs w:val="28"/>
        </w:rPr>
        <w:t>协作机制，建立健全车辆注册登记、市场准入</w:t>
      </w:r>
      <w:r>
        <w:rPr>
          <w:rFonts w:ascii="仿宋" w:hAnsi="仿宋" w:eastAsia="仿宋" w:cs="仿宋"/>
          <w:spacing w:val="6"/>
          <w:sz w:val="28"/>
          <w:szCs w:val="28"/>
        </w:rPr>
        <w:t>和路面执法等相关信息的共</w:t>
      </w:r>
    </w:p>
    <w:p w14:paraId="7D420EE1">
      <w:pPr>
        <w:spacing w:line="343" w:lineRule="auto"/>
        <w:rPr>
          <w:rFonts w:ascii="仿宋" w:hAnsi="仿宋" w:eastAsia="仿宋" w:cs="仿宋"/>
          <w:sz w:val="28"/>
          <w:szCs w:val="28"/>
        </w:rPr>
        <w:sectPr>
          <w:headerReference r:id="rId121" w:type="default"/>
          <w:footerReference r:id="rId122" w:type="default"/>
          <w:pgSz w:w="11906" w:h="16839"/>
          <w:pgMar w:top="1222" w:right="1510" w:bottom="1156" w:left="1134" w:header="885" w:footer="920" w:gutter="0"/>
          <w:cols w:space="720" w:num="1"/>
        </w:sectPr>
      </w:pPr>
    </w:p>
    <w:p w14:paraId="3AEC10AD">
      <w:pPr>
        <w:pStyle w:val="2"/>
        <w:spacing w:line="276" w:lineRule="auto"/>
      </w:pPr>
    </w:p>
    <w:p w14:paraId="38562F4F">
      <w:pPr>
        <w:spacing w:before="91" w:line="343" w:lineRule="auto"/>
        <w:ind w:left="10" w:right="88" w:firstLine="12"/>
        <w:rPr>
          <w:rFonts w:ascii="仿宋" w:hAnsi="仿宋" w:eastAsia="仿宋" w:cs="仿宋"/>
          <w:sz w:val="28"/>
          <w:szCs w:val="28"/>
        </w:rPr>
      </w:pPr>
      <w:r>
        <w:rPr>
          <w:rFonts w:ascii="仿宋" w:hAnsi="仿宋" w:eastAsia="仿宋" w:cs="仿宋"/>
          <w:spacing w:val="6"/>
          <w:sz w:val="28"/>
          <w:szCs w:val="28"/>
        </w:rPr>
        <w:t>享机制。健全治超问责机制，定期研究治超工作，组织各部门</w:t>
      </w:r>
      <w:r>
        <w:rPr>
          <w:rFonts w:hint="eastAsia" w:ascii="仿宋" w:hAnsi="仿宋" w:eastAsia="仿宋" w:cs="仿宋"/>
          <w:spacing w:val="6"/>
          <w:sz w:val="28"/>
          <w:szCs w:val="28"/>
          <w:lang w:eastAsia="zh-CN"/>
        </w:rPr>
        <w:t>各司其职</w:t>
      </w:r>
      <w:r>
        <w:rPr>
          <w:rFonts w:ascii="仿宋" w:hAnsi="仿宋" w:eastAsia="仿宋" w:cs="仿宋"/>
          <w:spacing w:val="6"/>
          <w:sz w:val="28"/>
          <w:szCs w:val="28"/>
        </w:rPr>
        <w:t>、联合作战，切实做到守土有责、</w:t>
      </w:r>
      <w:r>
        <w:rPr>
          <w:rFonts w:hint="eastAsia" w:ascii="仿宋" w:hAnsi="仿宋" w:eastAsia="仿宋" w:cs="仿宋"/>
          <w:spacing w:val="6"/>
          <w:sz w:val="28"/>
          <w:szCs w:val="28"/>
          <w:lang w:eastAsia="zh-CN"/>
        </w:rPr>
        <w:t>失职追责</w:t>
      </w:r>
      <w:r>
        <w:rPr>
          <w:rFonts w:ascii="仿宋" w:hAnsi="仿宋" w:eastAsia="仿宋" w:cs="仿宋"/>
          <w:spacing w:val="6"/>
          <w:sz w:val="28"/>
          <w:szCs w:val="28"/>
        </w:rPr>
        <w:t>。落实失信联合惩戒机制，大力推进道路运输企业信用体系建设，对超限超载行为建立信用记录，并通过国家企业信用信息公示系统进行公示。</w:t>
      </w:r>
    </w:p>
    <w:p w14:paraId="26C40358">
      <w:pPr>
        <w:spacing w:before="7" w:line="342" w:lineRule="auto"/>
        <w:ind w:left="5" w:right="86" w:firstLine="584"/>
        <w:rPr>
          <w:rFonts w:ascii="仿宋" w:hAnsi="仿宋" w:eastAsia="仿宋" w:cs="仿宋"/>
          <w:sz w:val="28"/>
          <w:szCs w:val="28"/>
        </w:rPr>
      </w:pPr>
      <w:r>
        <w:rPr>
          <w:rFonts w:ascii="仿宋" w:hAnsi="仿宋" w:eastAsia="仿宋" w:cs="仿宋"/>
          <w:b/>
          <w:bCs/>
          <w:spacing w:val="5"/>
          <w:sz w:val="28"/>
          <w:szCs w:val="28"/>
        </w:rPr>
        <w:t>抓实源头治理。</w:t>
      </w:r>
      <w:r>
        <w:rPr>
          <w:rFonts w:ascii="仿宋" w:hAnsi="仿宋" w:eastAsia="仿宋" w:cs="仿宋"/>
          <w:spacing w:val="5"/>
          <w:sz w:val="28"/>
          <w:szCs w:val="28"/>
        </w:rPr>
        <w:t>全面监管辖区内货运源头企业，明确源头企业法人、</w:t>
      </w:r>
      <w:r>
        <w:rPr>
          <w:rFonts w:ascii="仿宋" w:hAnsi="仿宋" w:eastAsia="仿宋" w:cs="仿宋"/>
          <w:spacing w:val="7"/>
          <w:sz w:val="28"/>
          <w:szCs w:val="28"/>
        </w:rPr>
        <w:t>货物装载场所负责人的治超职责，坚决杜绝非法</w:t>
      </w:r>
      <w:r>
        <w:rPr>
          <w:rFonts w:ascii="仿宋" w:hAnsi="仿宋" w:eastAsia="仿宋" w:cs="仿宋"/>
          <w:spacing w:val="6"/>
          <w:sz w:val="28"/>
          <w:szCs w:val="28"/>
        </w:rPr>
        <w:t>超限超载车辆上路行驶。</w:t>
      </w:r>
      <w:r>
        <w:rPr>
          <w:rFonts w:ascii="仿宋" w:hAnsi="仿宋" w:eastAsia="仿宋" w:cs="仿宋"/>
          <w:spacing w:val="7"/>
          <w:sz w:val="28"/>
          <w:szCs w:val="28"/>
        </w:rPr>
        <w:t>组织道路运输管理机构和负有源头监管职责的有</w:t>
      </w:r>
      <w:r>
        <w:rPr>
          <w:rFonts w:ascii="仿宋" w:hAnsi="仿宋" w:eastAsia="仿宋" w:cs="仿宋"/>
          <w:spacing w:val="6"/>
          <w:sz w:val="28"/>
          <w:szCs w:val="28"/>
        </w:rPr>
        <w:t>关部门，明确监管主体。</w:t>
      </w:r>
      <w:r>
        <w:rPr>
          <w:rFonts w:ascii="仿宋" w:hAnsi="仿宋" w:eastAsia="仿宋" w:cs="仿宋"/>
          <w:spacing w:val="7"/>
          <w:sz w:val="28"/>
          <w:szCs w:val="28"/>
        </w:rPr>
        <w:t>交警、运管等部门要加强对货运车辆登记、</w:t>
      </w:r>
      <w:r>
        <w:rPr>
          <w:rFonts w:ascii="仿宋" w:hAnsi="仿宋" w:eastAsia="仿宋" w:cs="仿宋"/>
          <w:spacing w:val="6"/>
          <w:sz w:val="28"/>
          <w:szCs w:val="28"/>
        </w:rPr>
        <w:t>上牌、发证的监管职责，凡不</w:t>
      </w:r>
      <w:r>
        <w:rPr>
          <w:rFonts w:ascii="仿宋" w:hAnsi="仿宋" w:eastAsia="仿宋" w:cs="仿宋"/>
          <w:spacing w:val="7"/>
          <w:sz w:val="28"/>
          <w:szCs w:val="28"/>
        </w:rPr>
        <w:t>符合国家公告的车型一律不准登记、发牌、办证</w:t>
      </w:r>
      <w:r>
        <w:rPr>
          <w:rFonts w:ascii="仿宋" w:hAnsi="仿宋" w:eastAsia="仿宋" w:cs="仿宋"/>
          <w:spacing w:val="6"/>
          <w:sz w:val="28"/>
          <w:szCs w:val="28"/>
        </w:rPr>
        <w:t>。建立完善货运车辆超限</w:t>
      </w:r>
      <w:r>
        <w:rPr>
          <w:rFonts w:ascii="仿宋" w:hAnsi="仿宋" w:eastAsia="仿宋" w:cs="仿宋"/>
          <w:spacing w:val="-3"/>
          <w:sz w:val="28"/>
          <w:szCs w:val="28"/>
        </w:rPr>
        <w:t>超载</w:t>
      </w:r>
      <w:r>
        <w:rPr>
          <w:rFonts w:ascii="仿宋" w:hAnsi="仿宋" w:eastAsia="仿宋" w:cs="仿宋"/>
          <w:spacing w:val="-89"/>
          <w:sz w:val="28"/>
          <w:szCs w:val="28"/>
        </w:rPr>
        <w:t xml:space="preserve"> </w:t>
      </w:r>
      <w:r>
        <w:rPr>
          <w:rFonts w:ascii="仿宋" w:hAnsi="仿宋" w:eastAsia="仿宋" w:cs="仿宋"/>
          <w:spacing w:val="-3"/>
          <w:sz w:val="28"/>
          <w:szCs w:val="28"/>
        </w:rPr>
        <w:t>“</w:t>
      </w:r>
      <w:r>
        <w:rPr>
          <w:rFonts w:ascii="仿宋" w:hAnsi="仿宋" w:eastAsia="仿宋" w:cs="仿宋"/>
          <w:spacing w:val="-104"/>
          <w:sz w:val="28"/>
          <w:szCs w:val="28"/>
        </w:rPr>
        <w:t xml:space="preserve"> </w:t>
      </w:r>
      <w:r>
        <w:rPr>
          <w:rFonts w:ascii="仿宋" w:hAnsi="仿宋" w:eastAsia="仿宋" w:cs="仿宋"/>
          <w:spacing w:val="-3"/>
          <w:sz w:val="28"/>
          <w:szCs w:val="28"/>
        </w:rPr>
        <w:t>一超四究”与</w:t>
      </w:r>
      <w:r>
        <w:rPr>
          <w:rFonts w:ascii="仿宋" w:hAnsi="仿宋" w:eastAsia="仿宋" w:cs="仿宋"/>
          <w:spacing w:val="-92"/>
          <w:sz w:val="28"/>
          <w:szCs w:val="28"/>
        </w:rPr>
        <w:t xml:space="preserve"> </w:t>
      </w:r>
      <w:r>
        <w:rPr>
          <w:rFonts w:ascii="仿宋" w:hAnsi="仿宋" w:eastAsia="仿宋" w:cs="仿宋"/>
          <w:spacing w:val="-3"/>
          <w:sz w:val="28"/>
          <w:szCs w:val="28"/>
        </w:rPr>
        <w:t>“</w:t>
      </w:r>
      <w:r>
        <w:rPr>
          <w:rFonts w:ascii="仿宋" w:hAnsi="仿宋" w:eastAsia="仿宋" w:cs="仿宋"/>
          <w:spacing w:val="-110"/>
          <w:sz w:val="28"/>
          <w:szCs w:val="28"/>
        </w:rPr>
        <w:t xml:space="preserve"> </w:t>
      </w:r>
      <w:r>
        <w:rPr>
          <w:rFonts w:ascii="仿宋" w:hAnsi="仿宋" w:eastAsia="仿宋" w:cs="仿宋"/>
          <w:spacing w:val="-3"/>
          <w:sz w:val="28"/>
          <w:szCs w:val="28"/>
        </w:rPr>
        <w:t>黑名单”制度。</w:t>
      </w:r>
    </w:p>
    <w:p w14:paraId="28D99F4E">
      <w:pPr>
        <w:spacing w:line="343" w:lineRule="auto"/>
        <w:ind w:left="6" w:firstLine="582"/>
        <w:jc w:val="both"/>
        <w:rPr>
          <w:rFonts w:ascii="仿宋" w:hAnsi="仿宋" w:eastAsia="仿宋" w:cs="仿宋"/>
          <w:sz w:val="28"/>
          <w:szCs w:val="28"/>
        </w:rPr>
      </w:pPr>
      <w:r>
        <w:rPr>
          <w:rFonts w:ascii="仿宋" w:hAnsi="仿宋" w:eastAsia="仿宋" w:cs="仿宋"/>
          <w:b/>
          <w:bCs/>
          <w:spacing w:val="8"/>
          <w:sz w:val="28"/>
          <w:szCs w:val="28"/>
        </w:rPr>
        <w:t>抓牢路面治超。</w:t>
      </w:r>
      <w:r>
        <w:rPr>
          <w:rFonts w:ascii="仿宋" w:hAnsi="仿宋" w:eastAsia="仿宋" w:cs="仿宋"/>
          <w:spacing w:val="8"/>
          <w:sz w:val="28"/>
          <w:szCs w:val="28"/>
        </w:rPr>
        <w:t>加强卸载站场扩容建设，建立完善治超信息化系统，</w:t>
      </w:r>
      <w:r>
        <w:rPr>
          <w:rFonts w:ascii="仿宋" w:hAnsi="仿宋" w:eastAsia="仿宋" w:cs="仿宋"/>
          <w:spacing w:val="6"/>
          <w:sz w:val="28"/>
          <w:szCs w:val="28"/>
        </w:rPr>
        <w:t>及时更新和增加装载机、检测设备等。大力推进路警联合、预检劝返，开展联合整治工作，加强现场管理。各县(市、区)应在连接干线公路的主要</w:t>
      </w:r>
      <w:r>
        <w:rPr>
          <w:rFonts w:ascii="仿宋" w:hAnsi="仿宋" w:eastAsia="仿宋" w:cs="仿宋"/>
          <w:sz w:val="28"/>
          <w:szCs w:val="28"/>
        </w:rPr>
        <w:t>农村公路路口建设限高、限宽标志和固定式限行设施，做好农村公路保护。</w:t>
      </w:r>
      <w:r>
        <w:rPr>
          <w:rFonts w:ascii="仿宋" w:hAnsi="仿宋" w:eastAsia="仿宋" w:cs="仿宋"/>
          <w:spacing w:val="7"/>
          <w:sz w:val="28"/>
          <w:szCs w:val="28"/>
        </w:rPr>
        <w:t>加大短途非法超限超载治理力度，确保行政区域内非法超限超载不反弹。</w:t>
      </w:r>
    </w:p>
    <w:p w14:paraId="17D69961">
      <w:pPr>
        <w:spacing w:before="3" w:line="342" w:lineRule="auto"/>
        <w:ind w:left="14" w:right="84" w:firstLine="574"/>
        <w:jc w:val="both"/>
        <w:rPr>
          <w:rFonts w:ascii="仿宋" w:hAnsi="仿宋" w:eastAsia="仿宋" w:cs="仿宋"/>
          <w:sz w:val="28"/>
          <w:szCs w:val="28"/>
        </w:rPr>
      </w:pPr>
      <w:r>
        <w:rPr>
          <w:rFonts w:ascii="仿宋" w:hAnsi="仿宋" w:eastAsia="仿宋" w:cs="仿宋"/>
          <w:b/>
          <w:bCs/>
          <w:spacing w:val="13"/>
          <w:sz w:val="28"/>
          <w:szCs w:val="28"/>
        </w:rPr>
        <w:t>抓细规范治超。</w:t>
      </w:r>
      <w:r>
        <w:rPr>
          <w:rFonts w:ascii="仿宋" w:hAnsi="仿宋" w:eastAsia="仿宋" w:cs="仿宋"/>
          <w:spacing w:val="-72"/>
          <w:sz w:val="28"/>
          <w:szCs w:val="28"/>
        </w:rPr>
        <w:t xml:space="preserve"> </w:t>
      </w:r>
      <w:r>
        <w:rPr>
          <w:rFonts w:ascii="仿宋" w:hAnsi="仿宋" w:eastAsia="仿宋" w:cs="仿宋"/>
          <w:spacing w:val="13"/>
          <w:sz w:val="28"/>
          <w:szCs w:val="28"/>
        </w:rPr>
        <w:t>强化执法人员依法行政意识和依法治理的能力和水</w:t>
      </w:r>
      <w:r>
        <w:rPr>
          <w:rFonts w:ascii="仿宋" w:hAnsi="仿宋" w:eastAsia="仿宋" w:cs="仿宋"/>
          <w:spacing w:val="5"/>
          <w:sz w:val="28"/>
          <w:szCs w:val="28"/>
        </w:rPr>
        <w:t>平，规范执法行为，注重执法程序。通过专家授</w:t>
      </w:r>
      <w:r>
        <w:rPr>
          <w:rFonts w:ascii="仿宋" w:hAnsi="仿宋" w:eastAsia="仿宋" w:cs="仿宋"/>
          <w:spacing w:val="4"/>
          <w:sz w:val="28"/>
          <w:szCs w:val="28"/>
        </w:rPr>
        <w:t>课、</w:t>
      </w:r>
      <w:r>
        <w:rPr>
          <w:rFonts w:ascii="仿宋" w:hAnsi="仿宋" w:eastAsia="仿宋" w:cs="仿宋"/>
          <w:spacing w:val="-83"/>
          <w:sz w:val="28"/>
          <w:szCs w:val="28"/>
        </w:rPr>
        <w:t xml:space="preserve"> </w:t>
      </w:r>
      <w:r>
        <w:rPr>
          <w:rFonts w:ascii="仿宋" w:hAnsi="仿宋" w:eastAsia="仿宋" w:cs="仿宋"/>
          <w:spacing w:val="4"/>
          <w:sz w:val="28"/>
          <w:szCs w:val="28"/>
        </w:rPr>
        <w:t>岗位培训、技能考核</w:t>
      </w:r>
      <w:r>
        <w:rPr>
          <w:rFonts w:ascii="仿宋" w:hAnsi="仿宋" w:eastAsia="仿宋" w:cs="仿宋"/>
          <w:spacing w:val="6"/>
          <w:sz w:val="28"/>
          <w:szCs w:val="28"/>
        </w:rPr>
        <w:t>等形式，加强对执法队伍的教育培训，严肃执法纪律。推进治超立法，规范相关法律条文，力争将治超纳入地方性法规。</w:t>
      </w:r>
    </w:p>
    <w:p w14:paraId="3265B307">
      <w:pPr>
        <w:spacing w:before="5" w:line="342" w:lineRule="auto"/>
        <w:ind w:left="19" w:right="79" w:firstLine="556"/>
        <w:jc w:val="both"/>
        <w:rPr>
          <w:rFonts w:ascii="仿宋" w:hAnsi="仿宋" w:eastAsia="仿宋" w:cs="仿宋"/>
          <w:sz w:val="28"/>
          <w:szCs w:val="28"/>
        </w:rPr>
      </w:pPr>
      <w:r>
        <w:rPr>
          <w:rFonts w:ascii="仿宋" w:hAnsi="仿宋" w:eastAsia="仿宋" w:cs="仿宋"/>
          <w:b/>
          <w:bCs/>
          <w:spacing w:val="-3"/>
          <w:sz w:val="28"/>
          <w:szCs w:val="28"/>
        </w:rPr>
        <w:t>抓严监督检查。</w:t>
      </w:r>
      <w:r>
        <w:rPr>
          <w:rFonts w:ascii="仿宋" w:hAnsi="仿宋" w:eastAsia="仿宋" w:cs="仿宋"/>
          <w:spacing w:val="-3"/>
          <w:sz w:val="28"/>
          <w:szCs w:val="28"/>
        </w:rPr>
        <w:t>进一步加大执法监督检查力度，强化科技支撑，在路面</w:t>
      </w:r>
      <w:r>
        <w:rPr>
          <w:rFonts w:ascii="仿宋" w:hAnsi="仿宋" w:eastAsia="仿宋" w:cs="仿宋"/>
          <w:spacing w:val="-2"/>
          <w:sz w:val="28"/>
          <w:szCs w:val="28"/>
        </w:rPr>
        <w:t>监控和源头治理中以自动检测代替人工检查，确保非法超</w:t>
      </w:r>
      <w:r>
        <w:rPr>
          <w:rFonts w:ascii="仿宋" w:hAnsi="仿宋" w:eastAsia="仿宋" w:cs="仿宋"/>
          <w:spacing w:val="-3"/>
          <w:sz w:val="28"/>
          <w:szCs w:val="28"/>
        </w:rPr>
        <w:t>限超载治理工作依</w:t>
      </w:r>
      <w:r>
        <w:rPr>
          <w:rFonts w:ascii="仿宋" w:hAnsi="仿宋" w:eastAsia="仿宋" w:cs="仿宋"/>
          <w:spacing w:val="-2"/>
          <w:sz w:val="28"/>
          <w:szCs w:val="28"/>
        </w:rPr>
        <w:t>法、规范、文明、廉洁，推进治超工作稳定有序。推</w:t>
      </w:r>
      <w:r>
        <w:rPr>
          <w:rFonts w:ascii="仿宋" w:hAnsi="仿宋" w:eastAsia="仿宋" w:cs="仿宋"/>
          <w:spacing w:val="-3"/>
          <w:sz w:val="28"/>
          <w:szCs w:val="28"/>
        </w:rPr>
        <w:t>动交警、路政、交通经</w:t>
      </w:r>
      <w:r>
        <w:rPr>
          <w:rFonts w:ascii="仿宋" w:hAnsi="仿宋" w:eastAsia="仿宋" w:cs="仿宋"/>
          <w:spacing w:val="-1"/>
          <w:sz w:val="28"/>
          <w:szCs w:val="28"/>
        </w:rPr>
        <w:t>营单位等多部门路段监控信息平台共享。</w:t>
      </w:r>
    </w:p>
    <w:p w14:paraId="59B01117">
      <w:pPr>
        <w:spacing w:before="71" w:line="222" w:lineRule="auto"/>
        <w:ind w:left="564"/>
        <w:outlineLvl w:val="1"/>
        <w:rPr>
          <w:rFonts w:ascii="黑体" w:hAnsi="黑体" w:eastAsia="黑体" w:cs="黑体"/>
          <w:sz w:val="28"/>
          <w:szCs w:val="28"/>
        </w:rPr>
      </w:pPr>
      <w:bookmarkStart w:id="54" w:name="bookmark44"/>
      <w:bookmarkEnd w:id="54"/>
      <w:r>
        <w:rPr>
          <w:rFonts w:ascii="黑体" w:hAnsi="黑体" w:eastAsia="黑体" w:cs="黑体"/>
          <w:spacing w:val="-1"/>
          <w:sz w:val="28"/>
          <w:szCs w:val="28"/>
        </w:rPr>
        <w:t>4. 加强公路养护管理</w:t>
      </w:r>
    </w:p>
    <w:p w14:paraId="11ED55A2">
      <w:pPr>
        <w:spacing w:before="295" w:line="343" w:lineRule="auto"/>
        <w:ind w:left="8" w:right="79" w:firstLine="561"/>
        <w:rPr>
          <w:rFonts w:ascii="仿宋" w:hAnsi="仿宋" w:eastAsia="仿宋" w:cs="仿宋"/>
          <w:sz w:val="28"/>
          <w:szCs w:val="28"/>
        </w:rPr>
      </w:pPr>
      <w:r>
        <w:rPr>
          <w:rFonts w:ascii="仿宋" w:hAnsi="仿宋" w:eastAsia="仿宋" w:cs="仿宋"/>
          <w:b/>
          <w:bCs/>
          <w:spacing w:val="-3"/>
          <w:sz w:val="28"/>
          <w:szCs w:val="28"/>
        </w:rPr>
        <w:t>提升公路养护效能。</w:t>
      </w:r>
      <w:r>
        <w:rPr>
          <w:rFonts w:ascii="仿宋" w:hAnsi="仿宋" w:eastAsia="仿宋" w:cs="仿宋"/>
          <w:spacing w:val="-3"/>
          <w:sz w:val="28"/>
          <w:szCs w:val="28"/>
        </w:rPr>
        <w:t>以提升路况水平为导向，加强养护实施力度，加快</w:t>
      </w:r>
      <w:r>
        <w:rPr>
          <w:rFonts w:ascii="仿宋" w:hAnsi="仿宋" w:eastAsia="仿宋" w:cs="仿宋"/>
          <w:spacing w:val="-2"/>
          <w:sz w:val="28"/>
          <w:szCs w:val="28"/>
        </w:rPr>
        <w:t>建成可靠耐久的供给体系、规范高效的管理体系、绿色适用的技术体系和长</w:t>
      </w:r>
    </w:p>
    <w:p w14:paraId="0DC5F2ED">
      <w:pPr>
        <w:spacing w:line="343" w:lineRule="auto"/>
        <w:rPr>
          <w:rFonts w:ascii="仿宋" w:hAnsi="仿宋" w:eastAsia="仿宋" w:cs="仿宋"/>
          <w:sz w:val="28"/>
          <w:szCs w:val="28"/>
        </w:rPr>
        <w:sectPr>
          <w:headerReference r:id="rId123" w:type="default"/>
          <w:footerReference r:id="rId124" w:type="default"/>
          <w:pgSz w:w="11906" w:h="16839"/>
          <w:pgMar w:top="1222" w:right="1052" w:bottom="1096" w:left="1587" w:header="885" w:footer="936" w:gutter="0"/>
          <w:cols w:space="720" w:num="1"/>
        </w:sectPr>
      </w:pPr>
    </w:p>
    <w:p w14:paraId="56D63BD5">
      <w:pPr>
        <w:pStyle w:val="2"/>
        <w:spacing w:line="275" w:lineRule="auto"/>
      </w:pPr>
    </w:p>
    <w:p w14:paraId="1E85FA7F">
      <w:pPr>
        <w:spacing w:before="91" w:line="343" w:lineRule="auto"/>
        <w:ind w:left="4" w:firstLine="12"/>
        <w:jc w:val="both"/>
        <w:rPr>
          <w:rFonts w:ascii="仿宋" w:hAnsi="仿宋" w:eastAsia="仿宋" w:cs="仿宋"/>
          <w:sz w:val="28"/>
          <w:szCs w:val="28"/>
        </w:rPr>
      </w:pPr>
      <w:r>
        <w:rPr>
          <w:rFonts w:ascii="仿宋" w:hAnsi="仿宋" w:eastAsia="仿宋" w:cs="仿宋"/>
          <w:spacing w:val="-8"/>
          <w:sz w:val="28"/>
          <w:szCs w:val="28"/>
        </w:rPr>
        <w:t>效稳定的保障体系，全面提升公路养护效能，深入推进公路养护高质量发展。</w:t>
      </w:r>
      <w:r>
        <w:rPr>
          <w:rFonts w:ascii="仿宋" w:hAnsi="仿宋" w:eastAsia="仿宋" w:cs="仿宋"/>
          <w:spacing w:val="-2"/>
          <w:sz w:val="28"/>
          <w:szCs w:val="28"/>
        </w:rPr>
        <w:t>严格落实公路检查制度，加强公路养护巡查和经常性检查。增加预防性养护投入，重点加强对现有优良路段的日常养护，提高预防性养护平均实施里程比重。开展公路承灾体普查工作，制定对应的自然灾害风险隐患预防、处置</w:t>
      </w:r>
      <w:r>
        <w:rPr>
          <w:rFonts w:ascii="仿宋" w:hAnsi="仿宋" w:eastAsia="仿宋" w:cs="仿宋"/>
          <w:spacing w:val="1"/>
          <w:sz w:val="28"/>
          <w:szCs w:val="28"/>
        </w:rPr>
        <w:t>方案。构建长大桥梁隧道营运安全风险防控和隐患</w:t>
      </w:r>
      <w:r>
        <w:rPr>
          <w:rFonts w:ascii="仿宋" w:hAnsi="仿宋" w:eastAsia="仿宋" w:cs="仿宋"/>
          <w:sz w:val="28"/>
          <w:szCs w:val="28"/>
        </w:rPr>
        <w:t>排查治理双重预防机制。</w:t>
      </w:r>
      <w:r>
        <w:rPr>
          <w:rFonts w:ascii="仿宋" w:hAnsi="仿宋" w:eastAsia="仿宋" w:cs="仿宋"/>
          <w:spacing w:val="-2"/>
          <w:sz w:val="28"/>
          <w:szCs w:val="28"/>
        </w:rPr>
        <w:t>加强修复养护工程方案的专业化设计，充分考虑公路病害的特点，结合自然条件、交通量、养护维修历史等因素，有针对性地确定养护对策。在路面改造的同时，继续实施危桥改造、隐患隧道整治、灾害防治和生命安全防护工</w:t>
      </w:r>
      <w:r>
        <w:rPr>
          <w:rFonts w:ascii="仿宋" w:hAnsi="仿宋" w:eastAsia="仿宋" w:cs="仿宋"/>
          <w:spacing w:val="-8"/>
          <w:sz w:val="28"/>
          <w:szCs w:val="28"/>
        </w:rPr>
        <w:t>程等项目，同步提升服务区等沿线服务设施的基础状况，改善公路路域环境。</w:t>
      </w:r>
      <w:r>
        <w:rPr>
          <w:rFonts w:ascii="仿宋" w:hAnsi="仿宋" w:eastAsia="仿宋" w:cs="仿宋"/>
          <w:sz w:val="28"/>
          <w:szCs w:val="28"/>
        </w:rPr>
        <w:t>加强对养护工程的质量检验评定，确保养护工</w:t>
      </w:r>
      <w:r>
        <w:rPr>
          <w:rFonts w:ascii="仿宋" w:hAnsi="仿宋" w:eastAsia="仿宋" w:cs="仿宋"/>
          <w:spacing w:val="-1"/>
          <w:sz w:val="28"/>
          <w:szCs w:val="28"/>
        </w:rPr>
        <w:t>程实施效果。</w:t>
      </w:r>
    </w:p>
    <w:p w14:paraId="702E3D39">
      <w:pPr>
        <w:spacing w:before="13" w:line="342" w:lineRule="auto"/>
        <w:ind w:left="5" w:right="86" w:firstLine="580"/>
        <w:jc w:val="both"/>
        <w:rPr>
          <w:rFonts w:ascii="仿宋" w:hAnsi="仿宋" w:eastAsia="仿宋" w:cs="仿宋"/>
          <w:sz w:val="28"/>
          <w:szCs w:val="28"/>
        </w:rPr>
      </w:pPr>
      <w:r>
        <w:rPr>
          <w:rFonts w:ascii="仿宋" w:hAnsi="仿宋" w:eastAsia="仿宋" w:cs="仿宋"/>
          <w:b/>
          <w:bCs/>
          <w:spacing w:val="5"/>
          <w:sz w:val="28"/>
          <w:szCs w:val="28"/>
        </w:rPr>
        <w:t>加强农村公路养护。</w:t>
      </w:r>
      <w:r>
        <w:rPr>
          <w:rFonts w:ascii="仿宋" w:hAnsi="仿宋" w:eastAsia="仿宋" w:cs="仿宋"/>
          <w:spacing w:val="5"/>
          <w:sz w:val="28"/>
          <w:szCs w:val="28"/>
        </w:rPr>
        <w:t>完善农村公路管理体制，扎实开展农村公路管理</w:t>
      </w:r>
      <w:r>
        <w:rPr>
          <w:rFonts w:ascii="仿宋" w:hAnsi="仿宋" w:eastAsia="仿宋" w:cs="仿宋"/>
          <w:spacing w:val="3"/>
          <w:sz w:val="28"/>
          <w:szCs w:val="28"/>
        </w:rPr>
        <w:t>养护体制改革试点，全面落实县、</w:t>
      </w:r>
      <w:r>
        <w:rPr>
          <w:rFonts w:ascii="仿宋" w:hAnsi="仿宋" w:eastAsia="仿宋" w:cs="仿宋"/>
          <w:spacing w:val="-65"/>
          <w:sz w:val="28"/>
          <w:szCs w:val="28"/>
        </w:rPr>
        <w:t xml:space="preserve"> </w:t>
      </w:r>
      <w:r>
        <w:rPr>
          <w:rFonts w:ascii="仿宋" w:hAnsi="仿宋" w:eastAsia="仿宋" w:cs="仿宋"/>
          <w:spacing w:val="3"/>
          <w:sz w:val="28"/>
          <w:szCs w:val="28"/>
        </w:rPr>
        <w:t>乡、村三级</w:t>
      </w:r>
      <w:r>
        <w:rPr>
          <w:rFonts w:ascii="仿宋" w:hAnsi="仿宋" w:eastAsia="仿宋" w:cs="仿宋"/>
          <w:spacing w:val="-96"/>
          <w:sz w:val="28"/>
          <w:szCs w:val="28"/>
        </w:rPr>
        <w:t xml:space="preserve"> </w:t>
      </w:r>
      <w:r>
        <w:rPr>
          <w:rFonts w:ascii="仿宋" w:hAnsi="仿宋" w:eastAsia="仿宋" w:cs="仿宋"/>
          <w:spacing w:val="3"/>
          <w:sz w:val="28"/>
          <w:szCs w:val="28"/>
        </w:rPr>
        <w:t>“路长制”，健全以路段为</w:t>
      </w:r>
      <w:r>
        <w:rPr>
          <w:rFonts w:ascii="仿宋" w:hAnsi="仿宋" w:eastAsia="仿宋" w:cs="仿宋"/>
          <w:spacing w:val="7"/>
          <w:sz w:val="28"/>
          <w:szCs w:val="28"/>
        </w:rPr>
        <w:t>基础的农村公路统计管理机制，摸清底数，动</w:t>
      </w:r>
      <w:r>
        <w:rPr>
          <w:rFonts w:ascii="仿宋" w:hAnsi="仿宋" w:eastAsia="仿宋" w:cs="仿宋"/>
          <w:spacing w:val="6"/>
          <w:sz w:val="28"/>
          <w:szCs w:val="28"/>
        </w:rPr>
        <w:t>态维护，科学决策。开展农</w:t>
      </w:r>
      <w:r>
        <w:rPr>
          <w:rFonts w:ascii="仿宋" w:hAnsi="仿宋" w:eastAsia="仿宋" w:cs="仿宋"/>
          <w:spacing w:val="7"/>
          <w:sz w:val="28"/>
          <w:szCs w:val="28"/>
        </w:rPr>
        <w:t>村公路建设、管理、养护、运行一体的综合性</w:t>
      </w:r>
      <w:r>
        <w:rPr>
          <w:rFonts w:ascii="仿宋" w:hAnsi="仿宋" w:eastAsia="仿宋" w:cs="仿宋"/>
          <w:spacing w:val="6"/>
          <w:sz w:val="28"/>
          <w:szCs w:val="28"/>
        </w:rPr>
        <w:t>管理服务平台建设，推进农</w:t>
      </w:r>
      <w:r>
        <w:rPr>
          <w:rFonts w:ascii="仿宋" w:hAnsi="仿宋" w:eastAsia="仿宋" w:cs="仿宋"/>
          <w:spacing w:val="7"/>
          <w:sz w:val="28"/>
          <w:szCs w:val="28"/>
        </w:rPr>
        <w:t>村公路数据共建共享共管。健全农村公路养护</w:t>
      </w:r>
      <w:r>
        <w:rPr>
          <w:rFonts w:ascii="仿宋" w:hAnsi="仿宋" w:eastAsia="仿宋" w:cs="仿宋"/>
          <w:spacing w:val="6"/>
          <w:sz w:val="28"/>
          <w:szCs w:val="28"/>
        </w:rPr>
        <w:t>长效机制，建立以各级公共</w:t>
      </w:r>
      <w:r>
        <w:rPr>
          <w:rFonts w:ascii="仿宋" w:hAnsi="仿宋" w:eastAsia="仿宋" w:cs="仿宋"/>
          <w:spacing w:val="7"/>
          <w:sz w:val="28"/>
          <w:szCs w:val="28"/>
        </w:rPr>
        <w:t>财政投入为主、多渠道筹措为辅的农村公路养</w:t>
      </w:r>
      <w:r>
        <w:rPr>
          <w:rFonts w:ascii="仿宋" w:hAnsi="仿宋" w:eastAsia="仿宋" w:cs="仿宋"/>
          <w:spacing w:val="6"/>
          <w:sz w:val="28"/>
          <w:szCs w:val="28"/>
        </w:rPr>
        <w:t>护资金保障机制。推进农村</w:t>
      </w:r>
      <w:r>
        <w:rPr>
          <w:rFonts w:ascii="仿宋" w:hAnsi="仿宋" w:eastAsia="仿宋" w:cs="仿宋"/>
          <w:spacing w:val="7"/>
          <w:sz w:val="28"/>
          <w:szCs w:val="28"/>
        </w:rPr>
        <w:t>公路养护市场化改革，建立政府与市场合理分</w:t>
      </w:r>
      <w:r>
        <w:rPr>
          <w:rFonts w:ascii="仿宋" w:hAnsi="仿宋" w:eastAsia="仿宋" w:cs="仿宋"/>
          <w:spacing w:val="6"/>
          <w:sz w:val="28"/>
          <w:szCs w:val="28"/>
        </w:rPr>
        <w:t>工的养护生产组织模式，提</w:t>
      </w:r>
      <w:r>
        <w:rPr>
          <w:rFonts w:ascii="仿宋" w:hAnsi="仿宋" w:eastAsia="仿宋" w:cs="仿宋"/>
          <w:spacing w:val="7"/>
          <w:sz w:val="28"/>
          <w:szCs w:val="28"/>
        </w:rPr>
        <w:t>高养护专业化、机械化、规模化水平，创新多</w:t>
      </w:r>
      <w:r>
        <w:rPr>
          <w:rFonts w:ascii="仿宋" w:hAnsi="仿宋" w:eastAsia="仿宋" w:cs="仿宋"/>
          <w:spacing w:val="6"/>
          <w:sz w:val="28"/>
          <w:szCs w:val="28"/>
        </w:rPr>
        <w:t>种养护模式，积极探索对不</w:t>
      </w:r>
      <w:r>
        <w:rPr>
          <w:rFonts w:ascii="仿宋" w:hAnsi="仿宋" w:eastAsia="仿宋" w:cs="仿宋"/>
          <w:spacing w:val="16"/>
          <w:sz w:val="28"/>
          <w:szCs w:val="28"/>
        </w:rPr>
        <w:t>同行政等级公路组成的农村公路骨干路网实行集中统一养</w:t>
      </w:r>
      <w:r>
        <w:rPr>
          <w:rFonts w:ascii="仿宋" w:hAnsi="仿宋" w:eastAsia="仿宋" w:cs="仿宋"/>
          <w:spacing w:val="15"/>
          <w:sz w:val="28"/>
          <w:szCs w:val="28"/>
        </w:rPr>
        <w:t>护和周期性养</w:t>
      </w:r>
      <w:r>
        <w:rPr>
          <w:rFonts w:ascii="仿宋" w:hAnsi="仿宋" w:eastAsia="仿宋" w:cs="仿宋"/>
          <w:spacing w:val="6"/>
          <w:sz w:val="28"/>
          <w:szCs w:val="28"/>
        </w:rPr>
        <w:t>护。进一步推进农村公路路网监测体系建设。</w:t>
      </w:r>
    </w:p>
    <w:p w14:paraId="6E5304B7">
      <w:pPr>
        <w:spacing w:before="8" w:line="342" w:lineRule="auto"/>
        <w:ind w:left="3" w:right="88" w:firstLine="582"/>
        <w:jc w:val="both"/>
        <w:rPr>
          <w:rFonts w:ascii="仿宋" w:hAnsi="仿宋" w:eastAsia="仿宋" w:cs="仿宋"/>
          <w:sz w:val="28"/>
          <w:szCs w:val="28"/>
        </w:rPr>
      </w:pPr>
      <w:r>
        <w:rPr>
          <w:rFonts w:ascii="仿宋" w:hAnsi="仿宋" w:eastAsia="仿宋" w:cs="仿宋"/>
          <w:b/>
          <w:bCs/>
          <w:spacing w:val="5"/>
          <w:sz w:val="28"/>
          <w:szCs w:val="28"/>
        </w:rPr>
        <w:t>构建规范高效的管理体系。</w:t>
      </w:r>
      <w:r>
        <w:rPr>
          <w:rFonts w:ascii="仿宋" w:hAnsi="仿宋" w:eastAsia="仿宋" w:cs="仿宋"/>
          <w:spacing w:val="5"/>
          <w:sz w:val="28"/>
          <w:szCs w:val="28"/>
        </w:rPr>
        <w:t>完善公路技术状况监测制度，健全监测工</w:t>
      </w:r>
      <w:r>
        <w:rPr>
          <w:rFonts w:ascii="仿宋" w:hAnsi="仿宋" w:eastAsia="仿宋" w:cs="仿宋"/>
          <w:spacing w:val="7"/>
          <w:sz w:val="28"/>
          <w:szCs w:val="28"/>
        </w:rPr>
        <w:t>作机制，制定路网技术状况监测计划并开展相关监</w:t>
      </w:r>
      <w:r>
        <w:rPr>
          <w:rFonts w:ascii="仿宋" w:hAnsi="仿宋" w:eastAsia="仿宋" w:cs="仿宋"/>
          <w:spacing w:val="6"/>
          <w:sz w:val="28"/>
          <w:szCs w:val="28"/>
        </w:rPr>
        <w:t>测工作，加强公路技术</w:t>
      </w:r>
      <w:r>
        <w:rPr>
          <w:rFonts w:ascii="仿宋" w:hAnsi="仿宋" w:eastAsia="仿宋" w:cs="仿宋"/>
          <w:spacing w:val="5"/>
          <w:sz w:val="28"/>
          <w:szCs w:val="28"/>
        </w:rPr>
        <w:t>状况监测评价。</w:t>
      </w:r>
      <w:r>
        <w:rPr>
          <w:rFonts w:ascii="仿宋" w:hAnsi="仿宋" w:eastAsia="仿宋" w:cs="仿宋"/>
          <w:spacing w:val="-83"/>
          <w:sz w:val="28"/>
          <w:szCs w:val="28"/>
        </w:rPr>
        <w:t xml:space="preserve"> </w:t>
      </w:r>
      <w:r>
        <w:rPr>
          <w:rFonts w:ascii="仿宋" w:hAnsi="仿宋" w:eastAsia="仿宋" w:cs="仿宋"/>
          <w:spacing w:val="5"/>
          <w:sz w:val="28"/>
          <w:szCs w:val="28"/>
        </w:rPr>
        <w:t>明确工作流程、工作内容、考核指标和评价标准，</w:t>
      </w:r>
      <w:r>
        <w:rPr>
          <w:rFonts w:ascii="仿宋" w:hAnsi="仿宋" w:eastAsia="仿宋" w:cs="仿宋"/>
          <w:spacing w:val="4"/>
          <w:sz w:val="28"/>
          <w:szCs w:val="28"/>
        </w:rPr>
        <w:t>以路况</w:t>
      </w:r>
      <w:r>
        <w:rPr>
          <w:rFonts w:ascii="仿宋" w:hAnsi="仿宋" w:eastAsia="仿宋" w:cs="仿宋"/>
          <w:spacing w:val="7"/>
          <w:sz w:val="28"/>
          <w:szCs w:val="28"/>
        </w:rPr>
        <w:t>检测、养护工程项目竣工验收和绩效评估为抓手，</w:t>
      </w:r>
      <w:r>
        <w:rPr>
          <w:rFonts w:ascii="仿宋" w:hAnsi="仿宋" w:eastAsia="仿宋" w:cs="仿宋"/>
          <w:spacing w:val="6"/>
          <w:sz w:val="28"/>
          <w:szCs w:val="28"/>
        </w:rPr>
        <w:t>完善养护绩效考核制度</w:t>
      </w:r>
      <w:r>
        <w:rPr>
          <w:rFonts w:ascii="仿宋" w:hAnsi="仿宋" w:eastAsia="仿宋" w:cs="仿宋"/>
          <w:spacing w:val="7"/>
          <w:sz w:val="28"/>
          <w:szCs w:val="28"/>
        </w:rPr>
        <w:t>体系。制定考核计划，切实加强对各养护单位规划</w:t>
      </w:r>
      <w:r>
        <w:rPr>
          <w:rFonts w:ascii="仿宋" w:hAnsi="仿宋" w:eastAsia="仿宋" w:cs="仿宋"/>
          <w:spacing w:val="6"/>
          <w:sz w:val="28"/>
          <w:szCs w:val="28"/>
        </w:rPr>
        <w:t>实施的跟踪、评估和检</w:t>
      </w:r>
      <w:r>
        <w:rPr>
          <w:rFonts w:ascii="仿宋" w:hAnsi="仿宋" w:eastAsia="仿宋" w:cs="仿宋"/>
          <w:spacing w:val="7"/>
          <w:sz w:val="28"/>
          <w:szCs w:val="28"/>
        </w:rPr>
        <w:t>查。继续推进农村公路养护管理成效与地方政府考核相结合的机制。</w:t>
      </w:r>
    </w:p>
    <w:p w14:paraId="59D001C1">
      <w:pPr>
        <w:spacing w:line="342" w:lineRule="auto"/>
        <w:rPr>
          <w:rFonts w:ascii="仿宋" w:hAnsi="仿宋" w:eastAsia="仿宋" w:cs="仿宋"/>
          <w:sz w:val="28"/>
          <w:szCs w:val="28"/>
        </w:rPr>
        <w:sectPr>
          <w:headerReference r:id="rId125" w:type="default"/>
          <w:footerReference r:id="rId126" w:type="default"/>
          <w:pgSz w:w="11906" w:h="16839"/>
          <w:pgMar w:top="1222" w:right="1504" w:bottom="1156" w:left="1134" w:header="885" w:footer="920" w:gutter="0"/>
          <w:cols w:space="720" w:num="1"/>
        </w:sectPr>
      </w:pPr>
    </w:p>
    <w:p w14:paraId="7425E0B8">
      <w:pPr>
        <w:pStyle w:val="2"/>
        <w:spacing w:line="277" w:lineRule="auto"/>
      </w:pPr>
    </w:p>
    <w:p w14:paraId="26D81F70">
      <w:pPr>
        <w:spacing w:before="91" w:line="343" w:lineRule="auto"/>
        <w:ind w:left="8" w:firstLine="570"/>
        <w:jc w:val="both"/>
        <w:rPr>
          <w:rFonts w:ascii="仿宋" w:hAnsi="仿宋" w:eastAsia="仿宋" w:cs="仿宋"/>
          <w:sz w:val="28"/>
          <w:szCs w:val="28"/>
        </w:rPr>
      </w:pPr>
      <w:r>
        <w:rPr>
          <w:rFonts w:ascii="仿宋" w:hAnsi="仿宋" w:eastAsia="仿宋" w:cs="仿宋"/>
          <w:b/>
          <w:bCs/>
          <w:spacing w:val="-3"/>
          <w:sz w:val="28"/>
          <w:szCs w:val="28"/>
        </w:rPr>
        <w:t>注重科技创新赋能。</w:t>
      </w:r>
      <w:r>
        <w:rPr>
          <w:rFonts w:ascii="仿宋" w:hAnsi="仿宋" w:eastAsia="仿宋" w:cs="仿宋"/>
          <w:spacing w:val="-3"/>
          <w:sz w:val="28"/>
          <w:szCs w:val="28"/>
        </w:rPr>
        <w:t>结合“智慧交通”发展规划，加快公路</w:t>
      </w:r>
      <w:r>
        <w:rPr>
          <w:rFonts w:ascii="仿宋" w:hAnsi="仿宋" w:eastAsia="仿宋" w:cs="仿宋"/>
          <w:spacing w:val="-4"/>
          <w:sz w:val="28"/>
          <w:szCs w:val="28"/>
        </w:rPr>
        <w:t>养护数字化</w:t>
      </w:r>
      <w:r>
        <w:rPr>
          <w:rFonts w:ascii="仿宋" w:hAnsi="仿宋" w:eastAsia="仿宋" w:cs="仿宋"/>
          <w:spacing w:val="-8"/>
          <w:sz w:val="28"/>
          <w:szCs w:val="28"/>
        </w:rPr>
        <w:t>建设，大力推进“智慧养护”，逐步形成一套完整的“智慧养护”标准体系。</w:t>
      </w:r>
      <w:r>
        <w:rPr>
          <w:rFonts w:ascii="仿宋" w:hAnsi="仿宋" w:eastAsia="仿宋" w:cs="仿宋"/>
          <w:spacing w:val="-2"/>
          <w:sz w:val="28"/>
          <w:szCs w:val="28"/>
        </w:rPr>
        <w:t>充分利用物联网、云计算、人工智能等新一代技术，重点加强隧道监控、高</w:t>
      </w:r>
      <w:r>
        <w:rPr>
          <w:rFonts w:ascii="仿宋" w:hAnsi="仿宋" w:eastAsia="仿宋" w:cs="仿宋"/>
          <w:spacing w:val="-1"/>
          <w:sz w:val="28"/>
          <w:szCs w:val="28"/>
        </w:rPr>
        <w:t>速公路图像网络建设等工作，逐步形成</w:t>
      </w:r>
      <w:r>
        <w:rPr>
          <w:rFonts w:ascii="仿宋" w:hAnsi="仿宋" w:eastAsia="仿宋" w:cs="仿宋"/>
          <w:spacing w:val="-86"/>
          <w:sz w:val="28"/>
          <w:szCs w:val="28"/>
        </w:rPr>
        <w:t xml:space="preserve"> </w:t>
      </w:r>
      <w:r>
        <w:rPr>
          <w:rFonts w:ascii="仿宋" w:hAnsi="仿宋" w:eastAsia="仿宋" w:cs="仿宋"/>
          <w:spacing w:val="-1"/>
          <w:sz w:val="28"/>
          <w:szCs w:val="28"/>
        </w:rPr>
        <w:t>“全面感知、深度互联、智能分析、</w:t>
      </w:r>
      <w:r>
        <w:rPr>
          <w:rFonts w:ascii="仿宋" w:hAnsi="仿宋" w:eastAsia="仿宋" w:cs="仿宋"/>
          <w:sz w:val="28"/>
          <w:szCs w:val="28"/>
        </w:rPr>
        <w:t>智慧决策、多维呈现”于一体的养护格局，全力保障所</w:t>
      </w:r>
      <w:r>
        <w:rPr>
          <w:rFonts w:ascii="仿宋" w:hAnsi="仿宋" w:eastAsia="仿宋" w:cs="仿宋"/>
          <w:spacing w:val="-1"/>
          <w:sz w:val="28"/>
          <w:szCs w:val="28"/>
        </w:rPr>
        <w:t>辖公路的安全畅通。</w:t>
      </w:r>
    </w:p>
    <w:p w14:paraId="62CC429E">
      <w:pPr>
        <w:spacing w:before="70" w:line="222" w:lineRule="auto"/>
        <w:ind w:left="565"/>
        <w:outlineLvl w:val="1"/>
        <w:rPr>
          <w:rFonts w:ascii="黑体" w:hAnsi="黑体" w:eastAsia="黑体" w:cs="黑体"/>
          <w:sz w:val="28"/>
          <w:szCs w:val="28"/>
        </w:rPr>
      </w:pPr>
      <w:bookmarkStart w:id="55" w:name="bookmark45"/>
      <w:bookmarkEnd w:id="55"/>
      <w:r>
        <w:rPr>
          <w:rFonts w:ascii="黑体" w:hAnsi="黑体" w:eastAsia="黑体" w:cs="黑体"/>
          <w:spacing w:val="-1"/>
          <w:sz w:val="28"/>
          <w:szCs w:val="28"/>
        </w:rPr>
        <w:t>5. 加强驾维行业管理</w:t>
      </w:r>
    </w:p>
    <w:p w14:paraId="780ED8E0">
      <w:pPr>
        <w:spacing w:before="289" w:line="343" w:lineRule="auto"/>
        <w:ind w:left="10" w:right="2" w:firstLine="575"/>
        <w:rPr>
          <w:rFonts w:ascii="仿宋" w:hAnsi="仿宋" w:eastAsia="仿宋" w:cs="仿宋"/>
          <w:sz w:val="28"/>
          <w:szCs w:val="28"/>
        </w:rPr>
      </w:pPr>
      <w:r>
        <w:rPr>
          <w:rFonts w:ascii="仿宋" w:hAnsi="仿宋" w:eastAsia="仿宋" w:cs="仿宋"/>
          <w:spacing w:val="6"/>
          <w:sz w:val="28"/>
          <w:szCs w:val="28"/>
        </w:rPr>
        <w:t>推进交通、公安两部门联合治理培训市场，规范驾培市场秩序，做好</w:t>
      </w:r>
      <w:r>
        <w:rPr>
          <w:rFonts w:ascii="仿宋" w:hAnsi="仿宋" w:eastAsia="仿宋" w:cs="仿宋"/>
          <w:spacing w:val="1"/>
          <w:sz w:val="28"/>
          <w:szCs w:val="28"/>
        </w:rPr>
        <w:t>驾驶培训校（</w:t>
      </w:r>
      <w:r>
        <w:rPr>
          <w:rFonts w:ascii="仿宋" w:hAnsi="仿宋" w:eastAsia="仿宋" w:cs="仿宋"/>
          <w:spacing w:val="-65"/>
          <w:sz w:val="28"/>
          <w:szCs w:val="28"/>
        </w:rPr>
        <w:t xml:space="preserve"> </w:t>
      </w:r>
      <w:r>
        <w:rPr>
          <w:rFonts w:ascii="仿宋" w:hAnsi="仿宋" w:eastAsia="仿宋" w:cs="仿宋"/>
          <w:spacing w:val="1"/>
          <w:sz w:val="28"/>
          <w:szCs w:val="28"/>
        </w:rPr>
        <w:t>站）的年度质量信誉考核工作。推动互联网、5G</w:t>
      </w:r>
      <w:r>
        <w:rPr>
          <w:rFonts w:ascii="仿宋" w:hAnsi="仿宋" w:eastAsia="仿宋" w:cs="仿宋"/>
          <w:spacing w:val="-31"/>
          <w:sz w:val="28"/>
          <w:szCs w:val="28"/>
        </w:rPr>
        <w:t xml:space="preserve"> </w:t>
      </w:r>
      <w:r>
        <w:rPr>
          <w:rFonts w:ascii="仿宋" w:hAnsi="仿宋" w:eastAsia="仿宋" w:cs="仿宋"/>
          <w:spacing w:val="1"/>
          <w:sz w:val="28"/>
          <w:szCs w:val="28"/>
        </w:rPr>
        <w:t>网络、人工</w:t>
      </w:r>
      <w:r>
        <w:rPr>
          <w:rFonts w:ascii="仿宋" w:hAnsi="仿宋" w:eastAsia="仿宋" w:cs="仿宋"/>
          <w:spacing w:val="-2"/>
          <w:sz w:val="28"/>
          <w:szCs w:val="28"/>
        </w:rPr>
        <w:t>智能、大数据、虚拟现实等新技术与驾培行业深度融合，逐步推广网络远程</w:t>
      </w:r>
      <w:r>
        <w:rPr>
          <w:rFonts w:ascii="仿宋" w:hAnsi="仿宋" w:eastAsia="仿宋" w:cs="仿宋"/>
          <w:spacing w:val="-8"/>
          <w:sz w:val="28"/>
          <w:szCs w:val="28"/>
        </w:rPr>
        <w:t>理论教学，探索线上直播、线上互动等教学服务模式，发展理论培训云课堂。</w:t>
      </w:r>
      <w:r>
        <w:rPr>
          <w:rFonts w:ascii="仿宋" w:hAnsi="仿宋" w:eastAsia="仿宋" w:cs="仿宋"/>
          <w:spacing w:val="1"/>
          <w:sz w:val="28"/>
          <w:szCs w:val="28"/>
        </w:rPr>
        <w:t>加强</w:t>
      </w:r>
      <w:r>
        <w:rPr>
          <w:rFonts w:ascii="仿宋" w:hAnsi="仿宋" w:eastAsia="仿宋" w:cs="仿宋"/>
          <w:spacing w:val="-17"/>
          <w:sz w:val="28"/>
          <w:szCs w:val="28"/>
        </w:rPr>
        <w:t xml:space="preserve"> </w:t>
      </w:r>
      <w:r>
        <w:rPr>
          <w:rFonts w:ascii="仿宋" w:hAnsi="仿宋" w:eastAsia="仿宋" w:cs="仿宋"/>
          <w:sz w:val="28"/>
          <w:szCs w:val="28"/>
        </w:rPr>
        <w:t>IC</w:t>
      </w:r>
      <w:r>
        <w:rPr>
          <w:rFonts w:ascii="仿宋" w:hAnsi="仿宋" w:eastAsia="仿宋" w:cs="仿宋"/>
          <w:spacing w:val="-50"/>
          <w:sz w:val="28"/>
          <w:szCs w:val="28"/>
        </w:rPr>
        <w:t xml:space="preserve"> </w:t>
      </w:r>
      <w:r>
        <w:rPr>
          <w:rFonts w:ascii="仿宋" w:hAnsi="仿宋" w:eastAsia="仿宋" w:cs="仿宋"/>
          <w:spacing w:val="1"/>
          <w:sz w:val="28"/>
          <w:szCs w:val="28"/>
        </w:rPr>
        <w:t>卡计时管理系统的规范使用，提高驾驶培训市场的科技管理手段。</w:t>
      </w:r>
      <w:r>
        <w:rPr>
          <w:rFonts w:ascii="仿宋" w:hAnsi="仿宋" w:eastAsia="仿宋" w:cs="仿宋"/>
          <w:spacing w:val="-2"/>
          <w:sz w:val="28"/>
          <w:szCs w:val="28"/>
        </w:rPr>
        <w:t>加强驾培监管服务平台对培训过程的动态监管，加快完成驾驶培训信息</w:t>
      </w:r>
      <w:r>
        <w:rPr>
          <w:rFonts w:ascii="仿宋" w:hAnsi="仿宋" w:eastAsia="仿宋" w:cs="仿宋"/>
          <w:spacing w:val="-3"/>
          <w:sz w:val="28"/>
          <w:szCs w:val="28"/>
        </w:rPr>
        <w:t>系统</w:t>
      </w:r>
      <w:r>
        <w:rPr>
          <w:rFonts w:ascii="仿宋" w:hAnsi="仿宋" w:eastAsia="仿宋" w:cs="仿宋"/>
          <w:spacing w:val="-2"/>
          <w:sz w:val="28"/>
          <w:szCs w:val="28"/>
        </w:rPr>
        <w:t>与公安考试系统联网对接、信息共享。根据驾培有关法律法规，争取制定并</w:t>
      </w:r>
      <w:r>
        <w:rPr>
          <w:rFonts w:ascii="仿宋" w:hAnsi="仿宋" w:eastAsia="仿宋" w:cs="仿宋"/>
          <w:sz w:val="28"/>
          <w:szCs w:val="28"/>
        </w:rPr>
        <w:t>完善符合曲靖市机动车驾培行业管理制度，</w:t>
      </w:r>
      <w:r>
        <w:rPr>
          <w:rFonts w:ascii="仿宋" w:hAnsi="仿宋" w:eastAsia="仿宋" w:cs="仿宋"/>
          <w:spacing w:val="-1"/>
          <w:sz w:val="28"/>
          <w:szCs w:val="28"/>
        </w:rPr>
        <w:t>促进驾培行业健康发展。</w:t>
      </w:r>
    </w:p>
    <w:p w14:paraId="4C4ABC1C">
      <w:pPr>
        <w:spacing w:before="2" w:line="343" w:lineRule="auto"/>
        <w:ind w:left="6" w:right="84" w:firstLine="564"/>
        <w:jc w:val="both"/>
        <w:rPr>
          <w:rFonts w:ascii="仿宋" w:hAnsi="仿宋" w:eastAsia="仿宋" w:cs="仿宋"/>
          <w:sz w:val="28"/>
          <w:szCs w:val="28"/>
        </w:rPr>
      </w:pPr>
      <w:r>
        <w:rPr>
          <w:rFonts w:ascii="仿宋" w:hAnsi="仿宋" w:eastAsia="仿宋" w:cs="仿宋"/>
          <w:spacing w:val="-2"/>
          <w:sz w:val="28"/>
          <w:szCs w:val="28"/>
        </w:rPr>
        <w:t>进一步优化道路运输车辆技术管理，深入推进货运车辆检验</w:t>
      </w:r>
      <w:r>
        <w:rPr>
          <w:rFonts w:ascii="仿宋" w:hAnsi="仿宋" w:eastAsia="仿宋" w:cs="仿宋"/>
          <w:spacing w:val="-3"/>
          <w:sz w:val="28"/>
          <w:szCs w:val="28"/>
        </w:rPr>
        <w:t>检测“三检</w:t>
      </w:r>
      <w:r>
        <w:rPr>
          <w:rFonts w:ascii="仿宋" w:hAnsi="仿宋" w:eastAsia="仿宋" w:cs="仿宋"/>
          <w:spacing w:val="-2"/>
          <w:sz w:val="28"/>
          <w:szCs w:val="28"/>
        </w:rPr>
        <w:t>合一”。做好营运客车安全例检工作，加强营运货车非法改装监督检查，综</w:t>
      </w:r>
      <w:r>
        <w:rPr>
          <w:rFonts w:ascii="仿宋" w:hAnsi="仿宋" w:eastAsia="仿宋" w:cs="仿宋"/>
          <w:spacing w:val="1"/>
          <w:sz w:val="28"/>
          <w:szCs w:val="28"/>
        </w:rPr>
        <w:t>检机构严格执行道路运输达标车辆核查工作。鼓励</w:t>
      </w:r>
      <w:r>
        <w:rPr>
          <w:rFonts w:ascii="仿宋" w:hAnsi="仿宋" w:eastAsia="仿宋" w:cs="仿宋"/>
          <w:spacing w:val="-97"/>
          <w:sz w:val="28"/>
          <w:szCs w:val="28"/>
        </w:rPr>
        <w:t xml:space="preserve"> </w:t>
      </w:r>
      <w:r>
        <w:rPr>
          <w:rFonts w:ascii="仿宋" w:hAnsi="仿宋" w:eastAsia="仿宋" w:cs="仿宋"/>
          <w:spacing w:val="1"/>
          <w:sz w:val="28"/>
          <w:szCs w:val="28"/>
        </w:rPr>
        <w:t>“互联网+”汽车维修融合发展，形成</w:t>
      </w:r>
      <w:r>
        <w:rPr>
          <w:rFonts w:ascii="仿宋" w:hAnsi="仿宋" w:eastAsia="仿宋" w:cs="仿宋"/>
          <w:spacing w:val="-95"/>
          <w:sz w:val="28"/>
          <w:szCs w:val="28"/>
        </w:rPr>
        <w:t xml:space="preserve"> </w:t>
      </w:r>
      <w:r>
        <w:rPr>
          <w:rFonts w:ascii="仿宋" w:hAnsi="仿宋" w:eastAsia="仿宋" w:cs="仿宋"/>
          <w:spacing w:val="1"/>
          <w:sz w:val="28"/>
          <w:szCs w:val="28"/>
        </w:rPr>
        <w:t>“线上预约+线下维修”服务体系，支持建立汽车维修救援网</w:t>
      </w:r>
      <w:r>
        <w:rPr>
          <w:rFonts w:ascii="仿宋" w:hAnsi="仿宋" w:eastAsia="仿宋" w:cs="仿宋"/>
          <w:spacing w:val="-2"/>
          <w:sz w:val="28"/>
          <w:szCs w:val="28"/>
        </w:rPr>
        <w:t>络。深入实施汽车维修技术信息公开制度，监督汽车生产企业全面、有效公开车型维修技术信息，在一二三类维修企业全面推广汽车维修电子健康档案系统应用，大力提升新能源汽车维修服务水平。加强质量管理和行业监管，实行宽进严管，注重事中事后监管；加强安全监管，推广绿色维修，促进行</w:t>
      </w:r>
      <w:bookmarkStart w:id="56" w:name="bookmark46"/>
      <w:bookmarkEnd w:id="56"/>
      <w:r>
        <w:rPr>
          <w:rFonts w:ascii="仿宋" w:hAnsi="仿宋" w:eastAsia="仿宋" w:cs="仿宋"/>
          <w:spacing w:val="-2"/>
          <w:sz w:val="28"/>
          <w:szCs w:val="28"/>
        </w:rPr>
        <w:t>业可持续发展。</w:t>
      </w:r>
    </w:p>
    <w:p w14:paraId="3D881CBC">
      <w:pPr>
        <w:spacing w:before="66" w:line="222" w:lineRule="auto"/>
        <w:ind w:left="570"/>
        <w:outlineLvl w:val="1"/>
        <w:rPr>
          <w:rFonts w:ascii="黑体" w:hAnsi="黑体" w:eastAsia="黑体" w:cs="黑体"/>
          <w:sz w:val="28"/>
          <w:szCs w:val="28"/>
        </w:rPr>
      </w:pPr>
      <w:bookmarkStart w:id="57" w:name="bookmark71"/>
      <w:bookmarkEnd w:id="57"/>
      <w:r>
        <w:rPr>
          <w:rFonts w:ascii="黑体" w:hAnsi="黑体" w:eastAsia="黑体" w:cs="黑体"/>
          <w:spacing w:val="-1"/>
          <w:sz w:val="28"/>
          <w:szCs w:val="28"/>
        </w:rPr>
        <w:t>6. 加强文明交通和市场体系建设</w:t>
      </w:r>
    </w:p>
    <w:p w14:paraId="7A8EEA28">
      <w:pPr>
        <w:spacing w:before="296" w:line="342" w:lineRule="auto"/>
        <w:ind w:left="22" w:right="93" w:firstLine="563"/>
        <w:rPr>
          <w:rFonts w:ascii="仿宋" w:hAnsi="仿宋" w:eastAsia="仿宋" w:cs="仿宋"/>
          <w:sz w:val="28"/>
          <w:szCs w:val="28"/>
        </w:rPr>
      </w:pPr>
      <w:r>
        <w:rPr>
          <w:rFonts w:ascii="仿宋" w:hAnsi="仿宋" w:eastAsia="仿宋" w:cs="仿宋"/>
          <w:spacing w:val="6"/>
          <w:sz w:val="28"/>
          <w:szCs w:val="28"/>
        </w:rPr>
        <w:t>加强交通运输文化软实力建设。践行社会主义核心价值观、培育交通文化，提升交通运输行业精神文明建设水平，为交通运输高质量发展提供</w:t>
      </w:r>
    </w:p>
    <w:p w14:paraId="364A85FA">
      <w:pPr>
        <w:spacing w:line="342" w:lineRule="auto"/>
        <w:rPr>
          <w:rFonts w:ascii="仿宋" w:hAnsi="仿宋" w:eastAsia="仿宋" w:cs="仿宋"/>
          <w:sz w:val="28"/>
          <w:szCs w:val="28"/>
        </w:rPr>
        <w:sectPr>
          <w:headerReference r:id="rId127" w:type="default"/>
          <w:footerReference r:id="rId128" w:type="default"/>
          <w:pgSz w:w="11906" w:h="16839"/>
          <w:pgMar w:top="1222" w:right="1048" w:bottom="1096" w:left="1587" w:header="885" w:footer="936" w:gutter="0"/>
          <w:cols w:space="720" w:num="1"/>
        </w:sectPr>
      </w:pPr>
    </w:p>
    <w:p w14:paraId="4C909F58">
      <w:pPr>
        <w:pStyle w:val="2"/>
        <w:spacing w:line="272" w:lineRule="auto"/>
      </w:pPr>
    </w:p>
    <w:p w14:paraId="73B14A16">
      <w:pPr>
        <w:spacing w:before="91" w:line="341" w:lineRule="auto"/>
        <w:ind w:left="3" w:right="72" w:firstLine="4"/>
        <w:jc w:val="both"/>
        <w:rPr>
          <w:rFonts w:ascii="仿宋" w:hAnsi="仿宋" w:eastAsia="仿宋" w:cs="仿宋"/>
          <w:sz w:val="28"/>
          <w:szCs w:val="28"/>
        </w:rPr>
      </w:pPr>
      <w:r>
        <w:rPr>
          <w:rFonts w:ascii="仿宋" w:hAnsi="仿宋" w:eastAsia="仿宋" w:cs="仿宋"/>
          <w:spacing w:val="-2"/>
          <w:sz w:val="28"/>
          <w:szCs w:val="28"/>
        </w:rPr>
        <w:t>精神动力和智力支持。提高交通参与者文明素养，引导公众文明出行，加强文明交通宣传，营造文明交通环境，推动全社会交通文明程度大幅提升。提</w:t>
      </w:r>
      <w:r>
        <w:rPr>
          <w:rFonts w:ascii="仿宋" w:hAnsi="仿宋" w:eastAsia="仿宋" w:cs="仿宋"/>
          <w:spacing w:val="7"/>
          <w:sz w:val="28"/>
          <w:szCs w:val="28"/>
        </w:rPr>
        <w:t>升窗口服务质量和文明程度，加强行政效能</w:t>
      </w:r>
      <w:r>
        <w:fldChar w:fldCharType="begin"/>
      </w:r>
      <w:r>
        <w:instrText xml:space="preserve"> HYPERLINK "http://www.d199.com/Article/Special/k9" </w:instrText>
      </w:r>
      <w:r>
        <w:fldChar w:fldCharType="separate"/>
      </w:r>
      <w:r>
        <w:rPr>
          <w:rFonts w:ascii="仿宋" w:hAnsi="仿宋" w:eastAsia="仿宋" w:cs="仿宋"/>
          <w:spacing w:val="7"/>
          <w:sz w:val="28"/>
          <w:szCs w:val="28"/>
        </w:rPr>
        <w:t>建设</w:t>
      </w:r>
      <w:r>
        <w:rPr>
          <w:rFonts w:ascii="仿宋" w:hAnsi="仿宋" w:eastAsia="仿宋" w:cs="仿宋"/>
          <w:spacing w:val="7"/>
          <w:sz w:val="28"/>
          <w:szCs w:val="28"/>
        </w:rPr>
        <w:fldChar w:fldCharType="end"/>
      </w:r>
      <w:r>
        <w:rPr>
          <w:rFonts w:ascii="仿宋" w:hAnsi="仿宋" w:eastAsia="仿宋" w:cs="仿宋"/>
          <w:spacing w:val="7"/>
          <w:sz w:val="28"/>
          <w:szCs w:val="28"/>
        </w:rPr>
        <w:t>，</w:t>
      </w:r>
      <w:r>
        <w:rPr>
          <w:rFonts w:ascii="仿宋" w:hAnsi="仿宋" w:eastAsia="仿宋" w:cs="仿宋"/>
          <w:spacing w:val="6"/>
          <w:sz w:val="28"/>
          <w:szCs w:val="28"/>
        </w:rPr>
        <w:t>为广大交通运输经营户</w:t>
      </w:r>
      <w:r>
        <w:rPr>
          <w:rFonts w:ascii="仿宋" w:hAnsi="仿宋" w:eastAsia="仿宋" w:cs="仿宋"/>
          <w:spacing w:val="7"/>
          <w:sz w:val="28"/>
          <w:szCs w:val="28"/>
        </w:rPr>
        <w:t>提供优质服务。加强交通运输全媒体传播能力建设</w:t>
      </w:r>
      <w:r>
        <w:rPr>
          <w:rFonts w:ascii="仿宋" w:hAnsi="仿宋" w:eastAsia="仿宋" w:cs="仿宋"/>
          <w:spacing w:val="6"/>
          <w:sz w:val="28"/>
          <w:szCs w:val="28"/>
        </w:rPr>
        <w:t>，提升交通运输</w:t>
      </w:r>
      <w:r>
        <w:rPr>
          <w:rFonts w:hint="eastAsia" w:ascii="仿宋" w:hAnsi="仿宋" w:eastAsia="仿宋" w:cs="仿宋"/>
          <w:spacing w:val="6"/>
          <w:sz w:val="28"/>
          <w:szCs w:val="28"/>
          <w:lang w:eastAsia="zh-CN"/>
        </w:rPr>
        <w:t>政务新媒体</w:t>
      </w:r>
      <w:r>
        <w:rPr>
          <w:rFonts w:ascii="仿宋" w:hAnsi="仿宋" w:eastAsia="仿宋" w:cs="仿宋"/>
          <w:spacing w:val="7"/>
          <w:sz w:val="28"/>
          <w:szCs w:val="28"/>
        </w:rPr>
        <w:t>的传播力、引导力、影响力、公信力。进一步严明纪律</w:t>
      </w:r>
      <w:r>
        <w:rPr>
          <w:rFonts w:ascii="仿宋" w:hAnsi="仿宋" w:eastAsia="仿宋" w:cs="仿宋"/>
          <w:spacing w:val="6"/>
          <w:sz w:val="28"/>
          <w:szCs w:val="28"/>
        </w:rPr>
        <w:t>、改进作风，提</w:t>
      </w:r>
      <w:r>
        <w:rPr>
          <w:rFonts w:ascii="仿宋" w:hAnsi="仿宋" w:eastAsia="仿宋" w:cs="仿宋"/>
          <w:spacing w:val="7"/>
          <w:sz w:val="28"/>
          <w:szCs w:val="28"/>
        </w:rPr>
        <w:t>高交通运输执法队伍能力和水平，严格规范公正文</w:t>
      </w:r>
      <w:r>
        <w:rPr>
          <w:rFonts w:ascii="仿宋" w:hAnsi="仿宋" w:eastAsia="仿宋" w:cs="仿宋"/>
          <w:spacing w:val="6"/>
          <w:sz w:val="28"/>
          <w:szCs w:val="28"/>
        </w:rPr>
        <w:t>明执法。重视行业健康</w:t>
      </w:r>
      <w:r>
        <w:rPr>
          <w:rFonts w:ascii="仿宋" w:hAnsi="仿宋" w:eastAsia="仿宋" w:cs="仿宋"/>
          <w:spacing w:val="4"/>
          <w:sz w:val="28"/>
          <w:szCs w:val="28"/>
        </w:rPr>
        <w:t>稳定发展，推进</w:t>
      </w:r>
      <w:r>
        <w:rPr>
          <w:rFonts w:ascii="仿宋" w:hAnsi="仿宋" w:eastAsia="仿宋" w:cs="仿宋"/>
          <w:spacing w:val="-96"/>
          <w:sz w:val="28"/>
          <w:szCs w:val="28"/>
        </w:rPr>
        <w:t xml:space="preserve"> </w:t>
      </w:r>
      <w:r>
        <w:rPr>
          <w:rFonts w:ascii="仿宋" w:hAnsi="仿宋" w:eastAsia="仿宋" w:cs="仿宋"/>
          <w:spacing w:val="4"/>
          <w:sz w:val="28"/>
          <w:szCs w:val="28"/>
        </w:rPr>
        <w:t>“</w:t>
      </w:r>
      <w:r>
        <w:rPr>
          <w:rFonts w:ascii="仿宋" w:hAnsi="仿宋" w:eastAsia="仿宋" w:cs="仿宋"/>
          <w:spacing w:val="-95"/>
          <w:sz w:val="28"/>
          <w:szCs w:val="28"/>
        </w:rPr>
        <w:t xml:space="preserve"> </w:t>
      </w:r>
      <w:r>
        <w:rPr>
          <w:rFonts w:ascii="仿宋" w:hAnsi="仿宋" w:eastAsia="仿宋" w:cs="仿宋"/>
          <w:spacing w:val="4"/>
          <w:sz w:val="28"/>
          <w:szCs w:val="28"/>
        </w:rPr>
        <w:t>司机之家”建设，改善司机从业环境，联合工会等部门</w:t>
      </w:r>
      <w:r>
        <w:rPr>
          <w:rFonts w:ascii="仿宋" w:hAnsi="仿宋" w:eastAsia="仿宋" w:cs="仿宋"/>
          <w:spacing w:val="7"/>
          <w:sz w:val="28"/>
          <w:szCs w:val="28"/>
        </w:rPr>
        <w:t>继续开展关爱大货车司机专项行动，鼓励各地开展</w:t>
      </w:r>
      <w:r>
        <w:rPr>
          <w:rFonts w:ascii="仿宋" w:hAnsi="仿宋" w:eastAsia="仿宋" w:cs="仿宋"/>
          <w:spacing w:val="6"/>
          <w:sz w:val="28"/>
          <w:szCs w:val="28"/>
        </w:rPr>
        <w:t>关爱出租汽车司机公益</w:t>
      </w:r>
      <w:r>
        <w:rPr>
          <w:rFonts w:ascii="仿宋" w:hAnsi="仿宋" w:eastAsia="仿宋" w:cs="仿宋"/>
          <w:spacing w:val="7"/>
          <w:sz w:val="28"/>
          <w:szCs w:val="28"/>
        </w:rPr>
        <w:t>活动。创新法治宣传教育新机制新方法，落实普法</w:t>
      </w:r>
      <w:r>
        <w:rPr>
          <w:rFonts w:ascii="仿宋" w:hAnsi="仿宋" w:eastAsia="仿宋" w:cs="仿宋"/>
          <w:spacing w:val="6"/>
          <w:sz w:val="28"/>
          <w:szCs w:val="28"/>
        </w:rPr>
        <w:t>责任制，培育交通法治</w:t>
      </w:r>
      <w:r>
        <w:rPr>
          <w:rFonts w:ascii="仿宋" w:hAnsi="仿宋" w:eastAsia="仿宋" w:cs="仿宋"/>
          <w:spacing w:val="1"/>
          <w:sz w:val="28"/>
          <w:szCs w:val="28"/>
        </w:rPr>
        <w:t>文化。</w:t>
      </w:r>
    </w:p>
    <w:p w14:paraId="13A73FEF">
      <w:pPr>
        <w:spacing w:before="28" w:line="344" w:lineRule="auto"/>
        <w:ind w:left="9" w:right="79" w:firstLine="591"/>
        <w:jc w:val="both"/>
        <w:rPr>
          <w:rFonts w:ascii="仿宋" w:hAnsi="仿宋" w:eastAsia="仿宋" w:cs="仿宋"/>
          <w:sz w:val="28"/>
          <w:szCs w:val="28"/>
        </w:rPr>
      </w:pPr>
      <w:r>
        <w:rPr>
          <w:rFonts w:ascii="仿宋" w:hAnsi="仿宋" w:eastAsia="仿宋" w:cs="仿宋"/>
          <w:spacing w:val="4"/>
          <w:sz w:val="28"/>
          <w:szCs w:val="28"/>
        </w:rPr>
        <w:t>完善现代市场体系。</w:t>
      </w:r>
      <w:r>
        <w:rPr>
          <w:rFonts w:ascii="仿宋" w:hAnsi="仿宋" w:eastAsia="仿宋" w:cs="仿宋"/>
          <w:spacing w:val="-73"/>
          <w:sz w:val="28"/>
          <w:szCs w:val="28"/>
        </w:rPr>
        <w:t xml:space="preserve"> </w:t>
      </w:r>
      <w:r>
        <w:rPr>
          <w:rFonts w:ascii="仿宋" w:hAnsi="仿宋" w:eastAsia="仿宋" w:cs="仿宋"/>
          <w:spacing w:val="4"/>
          <w:sz w:val="28"/>
          <w:szCs w:val="28"/>
        </w:rPr>
        <w:t>以打破行业垄断、清除</w:t>
      </w:r>
      <w:r>
        <w:rPr>
          <w:rFonts w:ascii="仿宋" w:hAnsi="仿宋" w:eastAsia="仿宋" w:cs="仿宋"/>
          <w:spacing w:val="3"/>
          <w:sz w:val="28"/>
          <w:szCs w:val="28"/>
        </w:rPr>
        <w:t>政策壁垒为重点，推进实</w:t>
      </w:r>
      <w:r>
        <w:rPr>
          <w:rFonts w:ascii="仿宋" w:hAnsi="仿宋" w:eastAsia="仿宋" w:cs="仿宋"/>
          <w:spacing w:val="6"/>
          <w:sz w:val="28"/>
          <w:szCs w:val="28"/>
        </w:rPr>
        <w:t>行统一的市场准入制度和</w:t>
      </w:r>
      <w:r>
        <w:rPr>
          <w:rFonts w:hint="eastAsia" w:ascii="仿宋" w:hAnsi="仿宋" w:eastAsia="仿宋" w:cs="仿宋"/>
          <w:spacing w:val="6"/>
          <w:sz w:val="28"/>
          <w:szCs w:val="28"/>
          <w:lang w:eastAsia="zh-CN"/>
        </w:rPr>
        <w:t>公平竞争审查制度</w:t>
      </w:r>
      <w:r>
        <w:rPr>
          <w:rFonts w:ascii="仿宋" w:hAnsi="仿宋" w:eastAsia="仿宋" w:cs="仿宋"/>
          <w:spacing w:val="6"/>
          <w:sz w:val="28"/>
          <w:szCs w:val="28"/>
        </w:rPr>
        <w:t>，发挥市场在资源配置中的决定性作用，建立公平开放、竞争有序、充满活力的综合交通运输市场体系。加大政策支持力度，优化营商环境，激发运输市场各类主体活力。推进全市各种运输方式企业市场化改革进程，继续清理涉企税费项目，进一步减轻企业负担。支持民营企业健康有序发展。</w:t>
      </w:r>
    </w:p>
    <w:p w14:paraId="7D052A32">
      <w:pPr>
        <w:spacing w:before="138" w:line="226" w:lineRule="auto"/>
        <w:ind w:left="660"/>
        <w:outlineLvl w:val="0"/>
        <w:rPr>
          <w:rFonts w:ascii="黑体" w:hAnsi="黑体" w:eastAsia="黑体" w:cs="黑体"/>
          <w:sz w:val="31"/>
          <w:szCs w:val="31"/>
        </w:rPr>
      </w:pPr>
      <w:bookmarkStart w:id="58" w:name="bookmark47"/>
      <w:bookmarkEnd w:id="58"/>
      <w:r>
        <w:rPr>
          <w:rFonts w:ascii="黑体" w:hAnsi="黑体" w:eastAsia="黑体" w:cs="黑体"/>
          <w:b/>
          <w:bCs/>
          <w:spacing w:val="3"/>
          <w:sz w:val="31"/>
          <w:szCs w:val="31"/>
        </w:rPr>
        <w:t>五、远景展望</w:t>
      </w:r>
    </w:p>
    <w:p w14:paraId="07A35AA1">
      <w:pPr>
        <w:pStyle w:val="2"/>
        <w:spacing w:line="335" w:lineRule="auto"/>
      </w:pPr>
    </w:p>
    <w:p w14:paraId="053F4A8B">
      <w:pPr>
        <w:spacing w:before="91" w:line="344" w:lineRule="auto"/>
        <w:ind w:left="9" w:firstLine="577"/>
        <w:jc w:val="both"/>
        <w:rPr>
          <w:rFonts w:ascii="仿宋" w:hAnsi="仿宋" w:eastAsia="仿宋" w:cs="仿宋"/>
          <w:sz w:val="28"/>
          <w:szCs w:val="28"/>
        </w:rPr>
      </w:pPr>
      <w:r>
        <w:rPr>
          <w:rFonts w:ascii="仿宋" w:hAnsi="仿宋" w:eastAsia="仿宋" w:cs="仿宋"/>
          <w:spacing w:val="9"/>
          <w:sz w:val="28"/>
          <w:szCs w:val="28"/>
        </w:rPr>
        <w:t>按照党中央对</w:t>
      </w:r>
      <w:r>
        <w:rPr>
          <w:rFonts w:ascii="仿宋" w:hAnsi="仿宋" w:eastAsia="仿宋" w:cs="仿宋"/>
          <w:spacing w:val="-35"/>
          <w:sz w:val="28"/>
          <w:szCs w:val="28"/>
        </w:rPr>
        <w:t xml:space="preserve"> </w:t>
      </w:r>
      <w:r>
        <w:rPr>
          <w:rFonts w:ascii="仿宋" w:hAnsi="仿宋" w:eastAsia="仿宋" w:cs="仿宋"/>
          <w:spacing w:val="9"/>
          <w:sz w:val="28"/>
          <w:szCs w:val="28"/>
        </w:rPr>
        <w:t>2035</w:t>
      </w:r>
      <w:r>
        <w:rPr>
          <w:rFonts w:ascii="仿宋" w:hAnsi="仿宋" w:eastAsia="仿宋" w:cs="仿宋"/>
          <w:spacing w:val="-42"/>
          <w:sz w:val="28"/>
          <w:szCs w:val="28"/>
        </w:rPr>
        <w:t xml:space="preserve"> </w:t>
      </w:r>
      <w:r>
        <w:rPr>
          <w:rFonts w:ascii="仿宋" w:hAnsi="仿宋" w:eastAsia="仿宋" w:cs="仿宋"/>
          <w:spacing w:val="9"/>
          <w:sz w:val="28"/>
          <w:szCs w:val="28"/>
        </w:rPr>
        <w:t>年远景发展目标的战略</w:t>
      </w:r>
      <w:r>
        <w:rPr>
          <w:rFonts w:ascii="仿宋" w:hAnsi="仿宋" w:eastAsia="仿宋" w:cs="仿宋"/>
          <w:spacing w:val="8"/>
          <w:sz w:val="28"/>
          <w:szCs w:val="28"/>
        </w:rPr>
        <w:t>安排，及</w:t>
      </w:r>
      <w:r>
        <w:rPr>
          <w:rFonts w:hint="eastAsia" w:ascii="仿宋" w:hAnsi="仿宋" w:eastAsia="仿宋" w:cs="仿宋"/>
          <w:spacing w:val="8"/>
          <w:sz w:val="28"/>
          <w:szCs w:val="28"/>
          <w:lang w:eastAsia="zh-CN"/>
        </w:rPr>
        <w:t>云南省委</w:t>
      </w:r>
      <w:r>
        <w:rPr>
          <w:rFonts w:ascii="仿宋" w:hAnsi="仿宋" w:eastAsia="仿宋" w:cs="仿宋"/>
          <w:spacing w:val="8"/>
          <w:sz w:val="28"/>
          <w:szCs w:val="28"/>
        </w:rPr>
        <w:t>和曲</w:t>
      </w:r>
      <w:r>
        <w:rPr>
          <w:rFonts w:ascii="仿宋" w:hAnsi="仿宋" w:eastAsia="仿宋" w:cs="仿宋"/>
          <w:spacing w:val="-8"/>
          <w:sz w:val="28"/>
          <w:szCs w:val="28"/>
        </w:rPr>
        <w:t>靖</w:t>
      </w:r>
      <w:r>
        <w:rPr>
          <w:rFonts w:hint="eastAsia" w:ascii="仿宋" w:hAnsi="仿宋" w:eastAsia="仿宋" w:cs="仿宋"/>
          <w:spacing w:val="-8"/>
          <w:sz w:val="28"/>
          <w:szCs w:val="28"/>
          <w:lang w:eastAsia="zh-CN"/>
        </w:rPr>
        <w:t>市委</w:t>
      </w:r>
      <w:r>
        <w:rPr>
          <w:rFonts w:ascii="仿宋" w:hAnsi="仿宋" w:eastAsia="仿宋" w:cs="仿宋"/>
          <w:spacing w:val="-8"/>
          <w:sz w:val="28"/>
          <w:szCs w:val="28"/>
        </w:rPr>
        <w:t>的决策部署，从曲靖市实际出发，贯彻落实《交通强国建设纲要》，</w:t>
      </w:r>
      <w:r>
        <w:rPr>
          <w:rFonts w:ascii="仿宋" w:hAnsi="仿宋" w:eastAsia="仿宋" w:cs="仿宋"/>
          <w:spacing w:val="6"/>
          <w:sz w:val="28"/>
          <w:szCs w:val="28"/>
        </w:rPr>
        <w:t>奋力推进交通强国曲靖交通运输发展之篇章建设，携手云南省，与全国同步基本实现交通强国建设目标。</w:t>
      </w:r>
    </w:p>
    <w:p w14:paraId="0B26FCC8">
      <w:pPr>
        <w:spacing w:before="51" w:line="221" w:lineRule="auto"/>
        <w:ind w:left="635"/>
        <w:outlineLvl w:val="0"/>
        <w:rPr>
          <w:rFonts w:ascii="黑体" w:hAnsi="黑体" w:eastAsia="黑体" w:cs="黑体"/>
          <w:sz w:val="30"/>
          <w:szCs w:val="30"/>
        </w:rPr>
      </w:pPr>
      <w:bookmarkStart w:id="59" w:name="bookmark48"/>
      <w:bookmarkEnd w:id="59"/>
      <w:r>
        <w:rPr>
          <w:rFonts w:ascii="黑体" w:hAnsi="黑体" w:eastAsia="黑体" w:cs="黑体"/>
          <w:spacing w:val="-5"/>
          <w:sz w:val="30"/>
          <w:szCs w:val="30"/>
        </w:rPr>
        <w:t>（一）2035</w:t>
      </w:r>
      <w:r>
        <w:rPr>
          <w:rFonts w:ascii="黑体" w:hAnsi="黑体" w:eastAsia="黑体" w:cs="黑体"/>
          <w:spacing w:val="-51"/>
          <w:sz w:val="30"/>
          <w:szCs w:val="30"/>
        </w:rPr>
        <w:t xml:space="preserve"> </w:t>
      </w:r>
      <w:r>
        <w:rPr>
          <w:rFonts w:ascii="黑体" w:hAnsi="黑体" w:eastAsia="黑体" w:cs="黑体"/>
          <w:spacing w:val="-5"/>
          <w:sz w:val="30"/>
          <w:szCs w:val="30"/>
        </w:rPr>
        <w:t>年远景目标</w:t>
      </w:r>
    </w:p>
    <w:p w14:paraId="378D8B27">
      <w:pPr>
        <w:spacing w:before="285" w:line="344" w:lineRule="auto"/>
        <w:ind w:left="24" w:right="79" w:firstLine="557"/>
        <w:jc w:val="both"/>
        <w:rPr>
          <w:rFonts w:ascii="仿宋" w:hAnsi="仿宋" w:eastAsia="仿宋" w:cs="仿宋"/>
          <w:sz w:val="28"/>
          <w:szCs w:val="28"/>
        </w:rPr>
      </w:pPr>
      <w:r>
        <w:rPr>
          <w:rFonts w:ascii="仿宋" w:hAnsi="仿宋" w:eastAsia="仿宋" w:cs="仿宋"/>
          <w:spacing w:val="14"/>
          <w:sz w:val="28"/>
          <w:szCs w:val="28"/>
        </w:rPr>
        <w:t>基于资源承载能力和生态环境保护的约束下，</w:t>
      </w:r>
      <w:r>
        <w:rPr>
          <w:rFonts w:ascii="仿宋" w:hAnsi="仿宋" w:eastAsia="仿宋" w:cs="仿宋"/>
          <w:spacing w:val="-70"/>
          <w:sz w:val="28"/>
          <w:szCs w:val="28"/>
        </w:rPr>
        <w:t xml:space="preserve"> </w:t>
      </w:r>
      <w:r>
        <w:rPr>
          <w:rFonts w:ascii="仿宋" w:hAnsi="仿宋" w:eastAsia="仿宋" w:cs="仿宋"/>
          <w:spacing w:val="14"/>
          <w:sz w:val="28"/>
          <w:szCs w:val="28"/>
        </w:rPr>
        <w:t>以交通强国建设</w:t>
      </w:r>
      <w:r>
        <w:rPr>
          <w:rFonts w:ascii="仿宋" w:hAnsi="仿宋" w:eastAsia="仿宋" w:cs="仿宋"/>
          <w:spacing w:val="13"/>
          <w:sz w:val="28"/>
          <w:szCs w:val="28"/>
        </w:rPr>
        <w:t>为导</w:t>
      </w:r>
      <w:r>
        <w:rPr>
          <w:rFonts w:ascii="仿宋" w:hAnsi="仿宋" w:eastAsia="仿宋" w:cs="仿宋"/>
          <w:spacing w:val="-1"/>
          <w:sz w:val="28"/>
          <w:szCs w:val="28"/>
        </w:rPr>
        <w:t>向，协同推进</w:t>
      </w:r>
      <w:r>
        <w:rPr>
          <w:rFonts w:ascii="仿宋" w:hAnsi="仿宋" w:eastAsia="仿宋" w:cs="仿宋"/>
          <w:spacing w:val="-84"/>
          <w:sz w:val="28"/>
          <w:szCs w:val="28"/>
        </w:rPr>
        <w:t xml:space="preserve"> </w:t>
      </w:r>
      <w:r>
        <w:rPr>
          <w:rFonts w:ascii="仿宋" w:hAnsi="仿宋" w:eastAsia="仿宋" w:cs="仿宋"/>
          <w:spacing w:val="-1"/>
          <w:sz w:val="28"/>
          <w:szCs w:val="28"/>
        </w:rPr>
        <w:t>“</w:t>
      </w:r>
      <w:r>
        <w:rPr>
          <w:rFonts w:ascii="仿宋" w:hAnsi="仿宋" w:eastAsia="仿宋" w:cs="仿宋"/>
          <w:spacing w:val="-107"/>
          <w:sz w:val="28"/>
          <w:szCs w:val="28"/>
        </w:rPr>
        <w:t xml:space="preserve"> </w:t>
      </w:r>
      <w:r>
        <w:rPr>
          <w:rFonts w:ascii="仿宋" w:hAnsi="仿宋" w:eastAsia="仿宋" w:cs="仿宋"/>
          <w:spacing w:val="-1"/>
          <w:sz w:val="28"/>
          <w:szCs w:val="28"/>
        </w:rPr>
        <w:t>两纵三横三联”铁路网建设，进一步优化完善</w:t>
      </w:r>
      <w:r>
        <w:rPr>
          <w:rFonts w:ascii="仿宋" w:hAnsi="仿宋" w:eastAsia="仿宋" w:cs="仿宋"/>
          <w:spacing w:val="-92"/>
          <w:sz w:val="28"/>
          <w:szCs w:val="28"/>
        </w:rPr>
        <w:t xml:space="preserve"> </w:t>
      </w:r>
      <w:r>
        <w:rPr>
          <w:rFonts w:ascii="仿宋" w:hAnsi="仿宋" w:eastAsia="仿宋" w:cs="仿宋"/>
          <w:spacing w:val="-1"/>
          <w:sz w:val="28"/>
          <w:szCs w:val="28"/>
        </w:rPr>
        <w:t>“</w:t>
      </w:r>
      <w:r>
        <w:rPr>
          <w:rFonts w:ascii="仿宋" w:hAnsi="仿宋" w:eastAsia="仿宋" w:cs="仿宋"/>
          <w:spacing w:val="-104"/>
          <w:sz w:val="28"/>
          <w:szCs w:val="28"/>
        </w:rPr>
        <w:t xml:space="preserve"> </w:t>
      </w:r>
      <w:r>
        <w:rPr>
          <w:rFonts w:ascii="仿宋" w:hAnsi="仿宋" w:eastAsia="仿宋" w:cs="仿宋"/>
          <w:spacing w:val="-1"/>
          <w:sz w:val="28"/>
          <w:szCs w:val="28"/>
        </w:rPr>
        <w:t>1</w:t>
      </w:r>
      <w:r>
        <w:rPr>
          <w:rFonts w:ascii="仿宋" w:hAnsi="仿宋" w:eastAsia="仿宋" w:cs="仿宋"/>
          <w:spacing w:val="-54"/>
          <w:sz w:val="28"/>
          <w:szCs w:val="28"/>
        </w:rPr>
        <w:t xml:space="preserve"> </w:t>
      </w:r>
      <w:r>
        <w:rPr>
          <w:rFonts w:ascii="仿宋" w:hAnsi="仿宋" w:eastAsia="仿宋" w:cs="仿宋"/>
          <w:spacing w:val="-1"/>
          <w:sz w:val="28"/>
          <w:szCs w:val="28"/>
        </w:rPr>
        <w:t>环</w:t>
      </w:r>
      <w:r>
        <w:rPr>
          <w:rFonts w:ascii="仿宋" w:hAnsi="仿宋" w:eastAsia="仿宋" w:cs="仿宋"/>
          <w:spacing w:val="-28"/>
          <w:sz w:val="28"/>
          <w:szCs w:val="28"/>
        </w:rPr>
        <w:t xml:space="preserve"> </w:t>
      </w:r>
      <w:r>
        <w:rPr>
          <w:rFonts w:ascii="仿宋" w:hAnsi="仿宋" w:eastAsia="仿宋" w:cs="仿宋"/>
          <w:spacing w:val="-1"/>
          <w:sz w:val="28"/>
          <w:szCs w:val="28"/>
        </w:rPr>
        <w:t>3</w:t>
      </w:r>
      <w:r>
        <w:rPr>
          <w:rFonts w:ascii="仿宋" w:hAnsi="仿宋" w:eastAsia="仿宋" w:cs="仿宋"/>
          <w:spacing w:val="-49"/>
          <w:sz w:val="28"/>
          <w:szCs w:val="28"/>
        </w:rPr>
        <w:t xml:space="preserve"> </w:t>
      </w:r>
      <w:r>
        <w:rPr>
          <w:rFonts w:ascii="仿宋" w:hAnsi="仿宋" w:eastAsia="仿宋" w:cs="仿宋"/>
          <w:spacing w:val="-1"/>
          <w:sz w:val="28"/>
          <w:szCs w:val="28"/>
        </w:rPr>
        <w:t>纵</w:t>
      </w:r>
      <w:r>
        <w:rPr>
          <w:rFonts w:ascii="仿宋" w:hAnsi="仿宋" w:eastAsia="仿宋" w:cs="仿宋"/>
          <w:spacing w:val="1"/>
          <w:sz w:val="28"/>
          <w:szCs w:val="28"/>
        </w:rPr>
        <w:t>5</w:t>
      </w:r>
      <w:r>
        <w:rPr>
          <w:rFonts w:ascii="仿宋" w:hAnsi="仿宋" w:eastAsia="仿宋" w:cs="仿宋"/>
          <w:spacing w:val="-51"/>
          <w:sz w:val="28"/>
          <w:szCs w:val="28"/>
        </w:rPr>
        <w:t xml:space="preserve"> </w:t>
      </w:r>
      <w:r>
        <w:rPr>
          <w:rFonts w:ascii="仿宋" w:hAnsi="仿宋" w:eastAsia="仿宋" w:cs="仿宋"/>
          <w:spacing w:val="1"/>
          <w:sz w:val="28"/>
          <w:szCs w:val="28"/>
        </w:rPr>
        <w:t>横</w:t>
      </w:r>
      <w:r>
        <w:rPr>
          <w:rFonts w:ascii="仿宋" w:hAnsi="仿宋" w:eastAsia="仿宋" w:cs="仿宋"/>
          <w:spacing w:val="-37"/>
          <w:sz w:val="28"/>
          <w:szCs w:val="28"/>
        </w:rPr>
        <w:t xml:space="preserve"> </w:t>
      </w:r>
      <w:r>
        <w:rPr>
          <w:rFonts w:ascii="仿宋" w:hAnsi="仿宋" w:eastAsia="仿宋" w:cs="仿宋"/>
          <w:spacing w:val="1"/>
          <w:sz w:val="28"/>
          <w:szCs w:val="28"/>
        </w:rPr>
        <w:t>7</w:t>
      </w:r>
      <w:r>
        <w:rPr>
          <w:rFonts w:ascii="仿宋" w:hAnsi="仿宋" w:eastAsia="仿宋" w:cs="仿宋"/>
          <w:spacing w:val="-54"/>
          <w:sz w:val="28"/>
          <w:szCs w:val="28"/>
        </w:rPr>
        <w:t xml:space="preserve"> </w:t>
      </w:r>
      <w:r>
        <w:rPr>
          <w:rFonts w:ascii="仿宋" w:hAnsi="仿宋" w:eastAsia="仿宋" w:cs="仿宋"/>
          <w:spacing w:val="1"/>
          <w:sz w:val="28"/>
          <w:szCs w:val="28"/>
        </w:rPr>
        <w:t>联”高速公路和“</w:t>
      </w:r>
      <w:r>
        <w:rPr>
          <w:rFonts w:ascii="仿宋" w:hAnsi="仿宋" w:eastAsia="仿宋" w:cs="仿宋"/>
          <w:spacing w:val="-109"/>
          <w:sz w:val="28"/>
          <w:szCs w:val="28"/>
        </w:rPr>
        <w:t xml:space="preserve"> </w:t>
      </w:r>
      <w:r>
        <w:rPr>
          <w:rFonts w:ascii="仿宋" w:hAnsi="仿宋" w:eastAsia="仿宋" w:cs="仿宋"/>
          <w:spacing w:val="1"/>
          <w:sz w:val="28"/>
          <w:szCs w:val="28"/>
        </w:rPr>
        <w:t>613”网普通国省道相结合</w:t>
      </w:r>
      <w:r>
        <w:rPr>
          <w:rFonts w:ascii="仿宋" w:hAnsi="仿宋" w:eastAsia="仿宋" w:cs="仿宋"/>
          <w:sz w:val="28"/>
          <w:szCs w:val="28"/>
        </w:rPr>
        <w:t>的干线公路网结构，拓</w:t>
      </w:r>
    </w:p>
    <w:p w14:paraId="1DE1A786">
      <w:pPr>
        <w:spacing w:line="344" w:lineRule="auto"/>
        <w:rPr>
          <w:rFonts w:ascii="仿宋" w:hAnsi="仿宋" w:eastAsia="仿宋" w:cs="仿宋"/>
          <w:sz w:val="28"/>
          <w:szCs w:val="28"/>
        </w:rPr>
        <w:sectPr>
          <w:headerReference r:id="rId129" w:type="default"/>
          <w:footerReference r:id="rId130" w:type="default"/>
          <w:pgSz w:w="11906" w:h="16839"/>
          <w:pgMar w:top="1222" w:right="1513" w:bottom="1156" w:left="1134" w:header="885" w:footer="920" w:gutter="0"/>
          <w:cols w:space="720" w:num="1"/>
        </w:sectPr>
      </w:pPr>
    </w:p>
    <w:p w14:paraId="2A998DA6">
      <w:pPr>
        <w:pStyle w:val="2"/>
        <w:spacing w:line="279" w:lineRule="auto"/>
      </w:pPr>
    </w:p>
    <w:p w14:paraId="3B626B82">
      <w:pPr>
        <w:spacing w:before="91" w:line="343" w:lineRule="auto"/>
        <w:ind w:left="10" w:right="82" w:firstLine="1"/>
        <w:rPr>
          <w:rFonts w:ascii="仿宋" w:hAnsi="仿宋" w:eastAsia="仿宋" w:cs="仿宋"/>
          <w:sz w:val="28"/>
          <w:szCs w:val="28"/>
        </w:rPr>
      </w:pPr>
      <w:r>
        <w:rPr>
          <w:rFonts w:ascii="仿宋" w:hAnsi="仿宋" w:eastAsia="仿宋" w:cs="仿宋"/>
          <w:spacing w:val="-2"/>
          <w:sz w:val="28"/>
          <w:szCs w:val="28"/>
        </w:rPr>
        <w:t>展机场及水运基础设施建设，继续推进“四好农村路”协调</w:t>
      </w:r>
      <w:r>
        <w:rPr>
          <w:rFonts w:ascii="仿宋" w:hAnsi="仿宋" w:eastAsia="仿宋" w:cs="仿宋"/>
          <w:spacing w:val="-3"/>
          <w:sz w:val="28"/>
          <w:szCs w:val="28"/>
        </w:rPr>
        <w:t>发展，促进“互</w:t>
      </w:r>
      <w:r>
        <w:rPr>
          <w:rFonts w:ascii="仿宋" w:hAnsi="仿宋" w:eastAsia="仿宋" w:cs="仿宋"/>
          <w:spacing w:val="5"/>
          <w:sz w:val="28"/>
          <w:szCs w:val="28"/>
        </w:rPr>
        <w:t>联网+”交通运输融合发展。到</w:t>
      </w:r>
      <w:r>
        <w:rPr>
          <w:rFonts w:ascii="仿宋" w:hAnsi="仿宋" w:eastAsia="仿宋" w:cs="仿宋"/>
          <w:spacing w:val="-39"/>
          <w:sz w:val="28"/>
          <w:szCs w:val="28"/>
        </w:rPr>
        <w:t xml:space="preserve"> </w:t>
      </w:r>
      <w:r>
        <w:rPr>
          <w:rFonts w:ascii="仿宋" w:hAnsi="仿宋" w:eastAsia="仿宋" w:cs="仿宋"/>
          <w:spacing w:val="5"/>
          <w:sz w:val="28"/>
          <w:szCs w:val="28"/>
        </w:rPr>
        <w:t>2035</w:t>
      </w:r>
      <w:r>
        <w:rPr>
          <w:rFonts w:ascii="仿宋" w:hAnsi="仿宋" w:eastAsia="仿宋" w:cs="仿宋"/>
          <w:spacing w:val="-48"/>
          <w:sz w:val="28"/>
          <w:szCs w:val="28"/>
        </w:rPr>
        <w:t xml:space="preserve"> </w:t>
      </w:r>
      <w:r>
        <w:rPr>
          <w:rFonts w:ascii="仿宋" w:hAnsi="仿宋" w:eastAsia="仿宋" w:cs="仿宋"/>
          <w:spacing w:val="5"/>
          <w:sz w:val="28"/>
          <w:szCs w:val="28"/>
        </w:rPr>
        <w:t>年，基</w:t>
      </w:r>
      <w:r>
        <w:rPr>
          <w:rFonts w:ascii="仿宋" w:hAnsi="仿宋" w:eastAsia="仿宋" w:cs="仿宋"/>
          <w:spacing w:val="4"/>
          <w:sz w:val="28"/>
          <w:szCs w:val="28"/>
        </w:rPr>
        <w:t>本形成各运输方式相互衔接、</w:t>
      </w:r>
      <w:r>
        <w:rPr>
          <w:rFonts w:ascii="仿宋" w:hAnsi="仿宋" w:eastAsia="仿宋" w:cs="仿宋"/>
          <w:spacing w:val="6"/>
          <w:sz w:val="28"/>
          <w:szCs w:val="28"/>
        </w:rPr>
        <w:t>优势互补、便捷安全、经济高效、绿色智能的现代综合交通运输体系，基本建成全国性综合交通枢纽和滇东区域物流枢纽城市，城乡区域交通协调发展达到新高度，交通运输领域新型基础设施建设成效显著，旅客联程运输便捷顺畅，货物多式联运高效经济，人民满意度明显提高，交通引领作</w:t>
      </w:r>
      <w:r>
        <w:rPr>
          <w:rFonts w:ascii="仿宋" w:hAnsi="仿宋" w:eastAsia="仿宋" w:cs="仿宋"/>
          <w:spacing w:val="-2"/>
          <w:sz w:val="28"/>
          <w:szCs w:val="28"/>
        </w:rPr>
        <w:t>用及支撑实现</w:t>
      </w:r>
      <w:r>
        <w:rPr>
          <w:rFonts w:ascii="仿宋" w:hAnsi="仿宋" w:eastAsia="仿宋" w:cs="仿宋"/>
          <w:spacing w:val="-75"/>
          <w:sz w:val="28"/>
          <w:szCs w:val="28"/>
        </w:rPr>
        <w:t xml:space="preserve"> </w:t>
      </w:r>
      <w:r>
        <w:rPr>
          <w:rFonts w:ascii="仿宋" w:hAnsi="仿宋" w:eastAsia="仿宋" w:cs="仿宋"/>
          <w:spacing w:val="-2"/>
          <w:sz w:val="28"/>
          <w:szCs w:val="28"/>
        </w:rPr>
        <w:t>“</w:t>
      </w:r>
      <w:r>
        <w:rPr>
          <w:rFonts w:ascii="仿宋" w:hAnsi="仿宋" w:eastAsia="仿宋" w:cs="仿宋"/>
          <w:spacing w:val="-89"/>
          <w:sz w:val="28"/>
          <w:szCs w:val="28"/>
        </w:rPr>
        <w:t xml:space="preserve"> </w:t>
      </w:r>
      <w:r>
        <w:rPr>
          <w:rFonts w:ascii="仿宋" w:hAnsi="仿宋" w:eastAsia="仿宋" w:cs="仿宋"/>
          <w:spacing w:val="-2"/>
          <w:sz w:val="28"/>
          <w:szCs w:val="28"/>
        </w:rPr>
        <w:t>四个定位”</w:t>
      </w:r>
      <w:r>
        <w:rPr>
          <w:rFonts w:ascii="仿宋" w:hAnsi="仿宋" w:eastAsia="仿宋" w:cs="仿宋"/>
          <w:spacing w:val="-89"/>
          <w:sz w:val="28"/>
          <w:szCs w:val="28"/>
        </w:rPr>
        <w:t xml:space="preserve"> </w:t>
      </w:r>
      <w:r>
        <w:rPr>
          <w:rFonts w:ascii="仿宋" w:hAnsi="仿宋" w:eastAsia="仿宋" w:cs="仿宋"/>
          <w:spacing w:val="-2"/>
          <w:sz w:val="28"/>
          <w:szCs w:val="28"/>
        </w:rPr>
        <w:t>目标的能力显著提升，</w:t>
      </w:r>
      <w:r>
        <w:rPr>
          <w:rFonts w:ascii="仿宋" w:hAnsi="仿宋" w:eastAsia="仿宋" w:cs="仿宋"/>
          <w:spacing w:val="-81"/>
          <w:sz w:val="28"/>
          <w:szCs w:val="28"/>
        </w:rPr>
        <w:t xml:space="preserve"> </w:t>
      </w:r>
      <w:r>
        <w:rPr>
          <w:rFonts w:ascii="仿宋" w:hAnsi="仿宋" w:eastAsia="仿宋" w:cs="仿宋"/>
          <w:spacing w:val="-2"/>
          <w:sz w:val="28"/>
          <w:szCs w:val="28"/>
        </w:rPr>
        <w:t>曲靖作为</w:t>
      </w:r>
      <w:r>
        <w:rPr>
          <w:rFonts w:ascii="仿宋" w:hAnsi="仿宋" w:eastAsia="仿宋" w:cs="仿宋"/>
          <w:spacing w:val="-92"/>
          <w:sz w:val="28"/>
          <w:szCs w:val="28"/>
        </w:rPr>
        <w:t xml:space="preserve"> </w:t>
      </w:r>
      <w:r>
        <w:rPr>
          <w:rFonts w:ascii="仿宋" w:hAnsi="仿宋" w:eastAsia="仿宋" w:cs="仿宋"/>
          <w:spacing w:val="-2"/>
          <w:sz w:val="28"/>
          <w:szCs w:val="28"/>
        </w:rPr>
        <w:t>“北入川渝、</w:t>
      </w:r>
      <w:r>
        <w:rPr>
          <w:rFonts w:ascii="仿宋" w:hAnsi="仿宋" w:eastAsia="仿宋" w:cs="仿宋"/>
          <w:spacing w:val="6"/>
          <w:sz w:val="28"/>
          <w:szCs w:val="28"/>
        </w:rPr>
        <w:t>长江经济带，西接昆明、孟中印缅，东承黔中、粤港澳大湾区，南联红河文山、东南亚”的区位优势得到充分发挥。</w:t>
      </w:r>
    </w:p>
    <w:p w14:paraId="1B05F102">
      <w:pPr>
        <w:spacing w:before="52" w:line="221" w:lineRule="auto"/>
        <w:ind w:left="635"/>
        <w:outlineLvl w:val="0"/>
        <w:rPr>
          <w:rFonts w:ascii="黑体" w:hAnsi="黑体" w:eastAsia="黑体" w:cs="黑体"/>
          <w:sz w:val="30"/>
          <w:szCs w:val="30"/>
        </w:rPr>
      </w:pPr>
      <w:bookmarkStart w:id="60" w:name="bookmark49"/>
      <w:bookmarkEnd w:id="60"/>
      <w:r>
        <w:rPr>
          <w:rFonts w:ascii="黑体" w:hAnsi="黑体" w:eastAsia="黑体" w:cs="黑体"/>
          <w:spacing w:val="-6"/>
          <w:sz w:val="30"/>
          <w:szCs w:val="30"/>
        </w:rPr>
        <w:t>（二）重点任务</w:t>
      </w:r>
    </w:p>
    <w:p w14:paraId="15B41F6B">
      <w:pPr>
        <w:spacing w:before="282" w:line="343" w:lineRule="auto"/>
        <w:ind w:left="8" w:right="82" w:firstLine="586"/>
        <w:rPr>
          <w:rFonts w:ascii="仿宋" w:hAnsi="仿宋" w:eastAsia="仿宋" w:cs="仿宋"/>
          <w:sz w:val="28"/>
          <w:szCs w:val="28"/>
        </w:rPr>
      </w:pPr>
      <w:r>
        <w:rPr>
          <w:rFonts w:ascii="仿宋" w:hAnsi="仿宋" w:eastAsia="仿宋" w:cs="仿宋"/>
          <w:spacing w:val="6"/>
          <w:sz w:val="28"/>
          <w:szCs w:val="28"/>
        </w:rPr>
        <w:t>继续推进铁路建设。以助推云南副中心城市建设和加强昆曲协同及双城联系为目标，实施铁路补网工程，加快干线铁路、城际铁路、市域铁路</w:t>
      </w:r>
      <w:r>
        <w:rPr>
          <w:rFonts w:ascii="仿宋" w:hAnsi="仿宋" w:eastAsia="仿宋" w:cs="仿宋"/>
          <w:spacing w:val="3"/>
          <w:sz w:val="28"/>
          <w:szCs w:val="28"/>
        </w:rPr>
        <w:t>“</w:t>
      </w:r>
      <w:r>
        <w:rPr>
          <w:rFonts w:ascii="仿宋" w:hAnsi="仿宋" w:eastAsia="仿宋" w:cs="仿宋"/>
          <w:spacing w:val="-97"/>
          <w:sz w:val="28"/>
          <w:szCs w:val="28"/>
        </w:rPr>
        <w:t xml:space="preserve"> </w:t>
      </w:r>
      <w:r>
        <w:rPr>
          <w:rFonts w:ascii="仿宋" w:hAnsi="仿宋" w:eastAsia="仿宋" w:cs="仿宋"/>
          <w:spacing w:val="3"/>
          <w:sz w:val="28"/>
          <w:szCs w:val="28"/>
        </w:rPr>
        <w:t>三网融合”建设。在续建</w:t>
      </w:r>
      <w:r>
        <w:rPr>
          <w:rFonts w:ascii="仿宋" w:hAnsi="仿宋" w:eastAsia="仿宋" w:cs="仿宋"/>
          <w:spacing w:val="-97"/>
          <w:sz w:val="28"/>
          <w:szCs w:val="28"/>
        </w:rPr>
        <w:t xml:space="preserve"> </w:t>
      </w:r>
      <w:r>
        <w:rPr>
          <w:rFonts w:ascii="仿宋" w:hAnsi="仿宋" w:eastAsia="仿宋" w:cs="仿宋"/>
          <w:spacing w:val="3"/>
          <w:sz w:val="28"/>
          <w:szCs w:val="28"/>
        </w:rPr>
        <w:t>“</w:t>
      </w:r>
      <w:r>
        <w:rPr>
          <w:rFonts w:ascii="仿宋" w:hAnsi="仿宋" w:eastAsia="仿宋" w:cs="仿宋"/>
          <w:spacing w:val="-110"/>
          <w:sz w:val="28"/>
          <w:szCs w:val="28"/>
        </w:rPr>
        <w:t xml:space="preserve"> </w:t>
      </w:r>
      <w:r>
        <w:rPr>
          <w:rFonts w:ascii="仿宋" w:hAnsi="仿宋" w:eastAsia="仿宋" w:cs="仿宋"/>
          <w:spacing w:val="3"/>
          <w:sz w:val="28"/>
          <w:szCs w:val="28"/>
        </w:rPr>
        <w:t>十四五”期未完成项目的基础上，积极推动</w:t>
      </w:r>
      <w:r>
        <w:rPr>
          <w:rFonts w:ascii="仿宋" w:hAnsi="仿宋" w:eastAsia="仿宋" w:cs="仿宋"/>
          <w:spacing w:val="4"/>
          <w:sz w:val="28"/>
          <w:szCs w:val="28"/>
        </w:rPr>
        <w:t>曲靖至文山铁路、东川至会泽至巧家铁路、南昆</w:t>
      </w:r>
      <w:r>
        <w:rPr>
          <w:rFonts w:ascii="仿宋" w:hAnsi="仿宋" w:eastAsia="仿宋" w:cs="仿宋"/>
          <w:spacing w:val="3"/>
          <w:sz w:val="28"/>
          <w:szCs w:val="28"/>
        </w:rPr>
        <w:t>高铁（</w:t>
      </w:r>
      <w:r>
        <w:rPr>
          <w:rFonts w:ascii="仿宋" w:hAnsi="仿宋" w:eastAsia="仿宋" w:cs="仿宋"/>
          <w:spacing w:val="-45"/>
          <w:sz w:val="28"/>
          <w:szCs w:val="28"/>
        </w:rPr>
        <w:t xml:space="preserve"> </w:t>
      </w:r>
      <w:r>
        <w:rPr>
          <w:rFonts w:ascii="仿宋" w:hAnsi="仿宋" w:eastAsia="仿宋" w:cs="仿宋"/>
          <w:spacing w:val="3"/>
          <w:sz w:val="28"/>
          <w:szCs w:val="28"/>
        </w:rPr>
        <w:t>昆明至罗平段）、</w:t>
      </w:r>
      <w:r>
        <w:rPr>
          <w:rFonts w:ascii="仿宋" w:hAnsi="仿宋" w:eastAsia="仿宋" w:cs="仿宋"/>
          <w:spacing w:val="6"/>
          <w:sz w:val="28"/>
          <w:szCs w:val="28"/>
        </w:rPr>
        <w:t>宣威至六盘水高速铁路的建设，适时启动昆明至曲靖城际、宣威至会泽至</w:t>
      </w:r>
      <w:r>
        <w:rPr>
          <w:rFonts w:ascii="仿宋" w:hAnsi="仿宋" w:eastAsia="仿宋" w:cs="仿宋"/>
          <w:spacing w:val="4"/>
          <w:sz w:val="28"/>
          <w:szCs w:val="28"/>
        </w:rPr>
        <w:t>巧家及羊场铁路延伸线等铁路的建设，形成</w:t>
      </w:r>
      <w:r>
        <w:rPr>
          <w:rFonts w:ascii="仿宋" w:hAnsi="仿宋" w:eastAsia="仿宋" w:cs="仿宋"/>
          <w:spacing w:val="-94"/>
          <w:sz w:val="28"/>
          <w:szCs w:val="28"/>
        </w:rPr>
        <w:t xml:space="preserve"> </w:t>
      </w:r>
      <w:r>
        <w:rPr>
          <w:rFonts w:ascii="仿宋" w:hAnsi="仿宋" w:eastAsia="仿宋" w:cs="仿宋"/>
          <w:spacing w:val="4"/>
          <w:sz w:val="28"/>
          <w:szCs w:val="28"/>
        </w:rPr>
        <w:t>“</w:t>
      </w:r>
      <w:r>
        <w:rPr>
          <w:rFonts w:ascii="仿宋" w:hAnsi="仿宋" w:eastAsia="仿宋" w:cs="仿宋"/>
          <w:spacing w:val="-106"/>
          <w:sz w:val="28"/>
          <w:szCs w:val="28"/>
        </w:rPr>
        <w:t xml:space="preserve"> </w:t>
      </w:r>
      <w:r>
        <w:rPr>
          <w:rFonts w:ascii="仿宋" w:hAnsi="仿宋" w:eastAsia="仿宋" w:cs="仿宋"/>
          <w:spacing w:val="4"/>
          <w:sz w:val="28"/>
          <w:szCs w:val="28"/>
        </w:rPr>
        <w:t>两纵三横三联”铁路网，完</w:t>
      </w:r>
      <w:r>
        <w:rPr>
          <w:rFonts w:ascii="仿宋" w:hAnsi="仿宋" w:eastAsia="仿宋" w:cs="仿宋"/>
          <w:spacing w:val="6"/>
          <w:sz w:val="28"/>
          <w:szCs w:val="28"/>
        </w:rPr>
        <w:t>善曲靖市密切联系滇中、滇南及西南地区的国内铁路通道，构建曲靖市连</w:t>
      </w:r>
      <w:r>
        <w:rPr>
          <w:rFonts w:ascii="仿宋" w:hAnsi="仿宋" w:eastAsia="仿宋" w:cs="仿宋"/>
          <w:spacing w:val="8"/>
          <w:sz w:val="28"/>
          <w:szCs w:val="28"/>
        </w:rPr>
        <w:t>接东南亚、南亚的出境铁路通道。大力推动以</w:t>
      </w:r>
      <w:r>
        <w:rPr>
          <w:rFonts w:ascii="仿宋" w:hAnsi="仿宋" w:eastAsia="仿宋" w:cs="仿宋"/>
          <w:spacing w:val="-77"/>
          <w:sz w:val="28"/>
          <w:szCs w:val="28"/>
        </w:rPr>
        <w:t xml:space="preserve"> </w:t>
      </w:r>
      <w:r>
        <w:rPr>
          <w:rFonts w:ascii="仿宋" w:hAnsi="仿宋" w:eastAsia="仿宋" w:cs="仿宋"/>
          <w:spacing w:val="8"/>
          <w:sz w:val="28"/>
          <w:szCs w:val="28"/>
        </w:rPr>
        <w:t>“</w:t>
      </w:r>
      <w:r>
        <w:rPr>
          <w:rFonts w:ascii="仿宋" w:hAnsi="仿宋" w:eastAsia="仿宋" w:cs="仿宋"/>
          <w:spacing w:val="-109"/>
          <w:sz w:val="28"/>
          <w:szCs w:val="28"/>
        </w:rPr>
        <w:t xml:space="preserve"> </w:t>
      </w:r>
      <w:r>
        <w:rPr>
          <w:rFonts w:ascii="仿宋" w:hAnsi="仿宋" w:eastAsia="仿宋" w:cs="仿宋"/>
          <w:spacing w:val="8"/>
          <w:sz w:val="28"/>
          <w:szCs w:val="28"/>
        </w:rPr>
        <w:t>马龙+珠江源”为核心节</w:t>
      </w:r>
      <w:r>
        <w:rPr>
          <w:rFonts w:ascii="仿宋" w:hAnsi="仿宋" w:eastAsia="仿宋" w:cs="仿宋"/>
          <w:spacing w:val="-4"/>
          <w:sz w:val="28"/>
          <w:szCs w:val="28"/>
        </w:rPr>
        <w:t>点的综合货运枢纽场站（</w:t>
      </w:r>
      <w:r>
        <w:rPr>
          <w:rFonts w:ascii="仿宋" w:hAnsi="仿宋" w:eastAsia="仿宋" w:cs="仿宋"/>
          <w:spacing w:val="-68"/>
          <w:sz w:val="28"/>
          <w:szCs w:val="28"/>
        </w:rPr>
        <w:t xml:space="preserve"> </w:t>
      </w:r>
      <w:r>
        <w:rPr>
          <w:rFonts w:ascii="仿宋" w:hAnsi="仿宋" w:eastAsia="仿宋" w:cs="仿宋"/>
          <w:spacing w:val="-4"/>
          <w:sz w:val="28"/>
          <w:szCs w:val="28"/>
        </w:rPr>
        <w:t>物流园区）建设，打造形成</w:t>
      </w:r>
      <w:r>
        <w:rPr>
          <w:rFonts w:ascii="仿宋" w:hAnsi="仿宋" w:eastAsia="仿宋" w:cs="仿宋"/>
          <w:spacing w:val="-90"/>
          <w:sz w:val="28"/>
          <w:szCs w:val="28"/>
        </w:rPr>
        <w:t xml:space="preserve"> </w:t>
      </w:r>
      <w:r>
        <w:rPr>
          <w:rFonts w:ascii="仿宋" w:hAnsi="仿宋" w:eastAsia="仿宋" w:cs="仿宋"/>
          <w:spacing w:val="-4"/>
          <w:sz w:val="28"/>
          <w:szCs w:val="28"/>
        </w:rPr>
        <w:t>“2</w:t>
      </w:r>
      <w:r>
        <w:rPr>
          <w:rFonts w:ascii="仿宋" w:hAnsi="仿宋" w:eastAsia="仿宋" w:cs="仿宋"/>
          <w:spacing w:val="-47"/>
          <w:sz w:val="28"/>
          <w:szCs w:val="28"/>
        </w:rPr>
        <w:t xml:space="preserve"> </w:t>
      </w:r>
      <w:r>
        <w:rPr>
          <w:rFonts w:ascii="仿宋" w:hAnsi="仿宋" w:eastAsia="仿宋" w:cs="仿宋"/>
          <w:spacing w:val="-4"/>
          <w:sz w:val="28"/>
          <w:szCs w:val="28"/>
        </w:rPr>
        <w:t>枢纽</w:t>
      </w:r>
      <w:r>
        <w:rPr>
          <w:rFonts w:ascii="仿宋" w:hAnsi="仿宋" w:eastAsia="仿宋" w:cs="仿宋"/>
          <w:spacing w:val="-28"/>
          <w:sz w:val="28"/>
          <w:szCs w:val="28"/>
        </w:rPr>
        <w:t xml:space="preserve"> </w:t>
      </w:r>
      <w:r>
        <w:rPr>
          <w:rFonts w:ascii="仿宋" w:hAnsi="仿宋" w:eastAsia="仿宋" w:cs="仿宋"/>
          <w:spacing w:val="-4"/>
          <w:sz w:val="28"/>
          <w:szCs w:val="28"/>
        </w:rPr>
        <w:t>3 园</w:t>
      </w:r>
      <w:r>
        <w:rPr>
          <w:rFonts w:ascii="仿宋" w:hAnsi="仿宋" w:eastAsia="仿宋" w:cs="仿宋"/>
          <w:spacing w:val="-81"/>
          <w:sz w:val="28"/>
          <w:szCs w:val="28"/>
        </w:rPr>
        <w:t xml:space="preserve"> </w:t>
      </w:r>
      <w:r>
        <w:rPr>
          <w:rFonts w:ascii="仿宋" w:hAnsi="仿宋" w:eastAsia="仿宋" w:cs="仿宋"/>
          <w:spacing w:val="-4"/>
          <w:sz w:val="28"/>
          <w:szCs w:val="28"/>
        </w:rPr>
        <w:t>区</w:t>
      </w:r>
      <w:r>
        <w:rPr>
          <w:rFonts w:ascii="仿宋" w:hAnsi="仿宋" w:eastAsia="仿宋" w:cs="仿宋"/>
          <w:spacing w:val="-42"/>
          <w:sz w:val="28"/>
          <w:szCs w:val="28"/>
        </w:rPr>
        <w:t xml:space="preserve"> </w:t>
      </w:r>
      <w:r>
        <w:rPr>
          <w:rFonts w:ascii="仿宋" w:hAnsi="仿宋" w:eastAsia="仿宋" w:cs="仿宋"/>
          <w:spacing w:val="-4"/>
          <w:sz w:val="28"/>
          <w:szCs w:val="28"/>
        </w:rPr>
        <w:t>4 中</w:t>
      </w:r>
      <w:r>
        <w:rPr>
          <w:rFonts w:ascii="仿宋" w:hAnsi="仿宋" w:eastAsia="仿宋" w:cs="仿宋"/>
          <w:spacing w:val="5"/>
          <w:sz w:val="28"/>
          <w:szCs w:val="28"/>
        </w:rPr>
        <w:t>心”为载体的</w:t>
      </w:r>
      <w:r>
        <w:rPr>
          <w:rFonts w:ascii="仿宋" w:hAnsi="仿宋" w:eastAsia="仿宋" w:cs="仿宋"/>
          <w:spacing w:val="-88"/>
          <w:sz w:val="28"/>
          <w:szCs w:val="28"/>
        </w:rPr>
        <w:t xml:space="preserve"> </w:t>
      </w:r>
      <w:r>
        <w:rPr>
          <w:rFonts w:ascii="仿宋" w:hAnsi="仿宋" w:eastAsia="仿宋" w:cs="仿宋"/>
          <w:spacing w:val="5"/>
          <w:sz w:val="28"/>
          <w:szCs w:val="28"/>
        </w:rPr>
        <w:t>“双芯引领、多点支撑”铁路物流节点布局体系，提升曲靖</w:t>
      </w:r>
      <w:r>
        <w:rPr>
          <w:rFonts w:ascii="仿宋" w:hAnsi="仿宋" w:eastAsia="仿宋" w:cs="仿宋"/>
          <w:spacing w:val="6"/>
          <w:sz w:val="28"/>
          <w:szCs w:val="28"/>
        </w:rPr>
        <w:t>市在区域交通中的战略地位，将曲靖市建设成为我国连接东南亚、南亚地</w:t>
      </w:r>
      <w:r>
        <w:rPr>
          <w:rFonts w:ascii="仿宋" w:hAnsi="仿宋" w:eastAsia="仿宋" w:cs="仿宋"/>
          <w:spacing w:val="7"/>
          <w:sz w:val="28"/>
          <w:szCs w:val="28"/>
        </w:rPr>
        <w:t>区的铁路重要物资集散地，是云南省仅次于昆明的铁路次中心。</w:t>
      </w:r>
    </w:p>
    <w:p w14:paraId="461AE72E">
      <w:pPr>
        <w:spacing w:before="1" w:line="343" w:lineRule="auto"/>
        <w:ind w:left="15" w:right="86" w:firstLine="579"/>
        <w:jc w:val="both"/>
        <w:rPr>
          <w:rFonts w:ascii="仿宋" w:hAnsi="仿宋" w:eastAsia="仿宋" w:cs="仿宋"/>
          <w:sz w:val="28"/>
          <w:szCs w:val="28"/>
        </w:rPr>
      </w:pPr>
      <w:r>
        <w:rPr>
          <w:rFonts w:ascii="仿宋" w:hAnsi="仿宋" w:eastAsia="仿宋" w:cs="仿宋"/>
          <w:spacing w:val="6"/>
          <w:sz w:val="28"/>
          <w:szCs w:val="28"/>
        </w:rPr>
        <w:t>继续推进公路建设。充分考虑曲靖及周边地区高速公路网布局形态，</w:t>
      </w:r>
      <w:r>
        <w:rPr>
          <w:rFonts w:ascii="仿宋" w:hAnsi="仿宋" w:eastAsia="仿宋" w:cs="仿宋"/>
          <w:spacing w:val="4"/>
          <w:sz w:val="28"/>
          <w:szCs w:val="28"/>
        </w:rPr>
        <w:t>深入推进</w:t>
      </w:r>
      <w:r>
        <w:rPr>
          <w:rFonts w:ascii="仿宋" w:hAnsi="仿宋" w:eastAsia="仿宋" w:cs="仿宋"/>
          <w:spacing w:val="-98"/>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互联互通”工程，加强与滇中城市群相关城市及周边省市区的交通联系，在续建</w:t>
      </w:r>
      <w:r>
        <w:rPr>
          <w:rFonts w:ascii="仿宋" w:hAnsi="仿宋" w:eastAsia="仿宋" w:cs="仿宋"/>
          <w:spacing w:val="-98"/>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十四五”期未完成项目的基础上，重点推动宣威至盘</w:t>
      </w:r>
      <w:r>
        <w:rPr>
          <w:rFonts w:ascii="仿宋" w:hAnsi="仿宋" w:eastAsia="仿宋" w:cs="仿宋"/>
          <w:spacing w:val="6"/>
          <w:sz w:val="28"/>
          <w:szCs w:val="28"/>
        </w:rPr>
        <w:t>州、陆良板桥至召夸、会泽至威宁、兴仁至麒麟、昭通至曲靖(会泽)至昆</w:t>
      </w:r>
    </w:p>
    <w:p w14:paraId="455CD0FB">
      <w:pPr>
        <w:spacing w:line="343" w:lineRule="auto"/>
        <w:rPr>
          <w:rFonts w:ascii="仿宋" w:hAnsi="仿宋" w:eastAsia="仿宋" w:cs="仿宋"/>
          <w:sz w:val="28"/>
          <w:szCs w:val="28"/>
        </w:rPr>
        <w:sectPr>
          <w:headerReference r:id="rId131" w:type="default"/>
          <w:footerReference r:id="rId132" w:type="default"/>
          <w:pgSz w:w="11906" w:h="16839"/>
          <w:pgMar w:top="1222" w:right="1054" w:bottom="1156" w:left="1587" w:header="885" w:footer="920" w:gutter="0"/>
          <w:cols w:space="720" w:num="1"/>
        </w:sectPr>
      </w:pPr>
    </w:p>
    <w:p w14:paraId="49A5BEA6">
      <w:pPr>
        <w:pStyle w:val="2"/>
        <w:spacing w:line="275" w:lineRule="auto"/>
      </w:pPr>
    </w:p>
    <w:p w14:paraId="2777E25E">
      <w:pPr>
        <w:spacing w:before="91" w:line="343" w:lineRule="auto"/>
        <w:ind w:left="9" w:firstLine="26"/>
        <w:jc w:val="both"/>
        <w:rPr>
          <w:rFonts w:ascii="仿宋" w:hAnsi="仿宋" w:eastAsia="仿宋" w:cs="仿宋"/>
          <w:sz w:val="28"/>
          <w:szCs w:val="28"/>
        </w:rPr>
      </w:pPr>
      <w:r>
        <w:rPr>
          <w:rFonts w:ascii="仿宋" w:hAnsi="仿宋" w:eastAsia="仿宋" w:cs="仿宋"/>
          <w:spacing w:val="3"/>
          <w:sz w:val="28"/>
          <w:szCs w:val="28"/>
        </w:rPr>
        <w:t>明、</w:t>
      </w:r>
      <w:r>
        <w:rPr>
          <w:rFonts w:ascii="仿宋" w:hAnsi="仿宋" w:eastAsia="仿宋" w:cs="仿宋"/>
          <w:spacing w:val="-65"/>
          <w:sz w:val="28"/>
          <w:szCs w:val="28"/>
        </w:rPr>
        <w:t xml:space="preserve"> </w:t>
      </w:r>
      <w:r>
        <w:rPr>
          <w:rFonts w:ascii="仿宋" w:hAnsi="仿宋" w:eastAsia="仿宋" w:cs="仿宋"/>
          <w:spacing w:val="3"/>
          <w:sz w:val="28"/>
          <w:szCs w:val="28"/>
        </w:rPr>
        <w:t>富村至长底</w:t>
      </w:r>
      <w:r>
        <w:rPr>
          <w:rFonts w:ascii="仿宋" w:hAnsi="仿宋" w:eastAsia="仿宋" w:cs="仿宋"/>
          <w:spacing w:val="-32"/>
          <w:sz w:val="28"/>
          <w:szCs w:val="28"/>
        </w:rPr>
        <w:t xml:space="preserve"> </w:t>
      </w:r>
      <w:r>
        <w:rPr>
          <w:rFonts w:ascii="仿宋" w:hAnsi="仿宋" w:eastAsia="仿宋" w:cs="仿宋"/>
          <w:spacing w:val="3"/>
          <w:sz w:val="28"/>
          <w:szCs w:val="28"/>
        </w:rPr>
        <w:t>6</w:t>
      </w:r>
      <w:r>
        <w:rPr>
          <w:rFonts w:ascii="仿宋" w:hAnsi="仿宋" w:eastAsia="仿宋" w:cs="仿宋"/>
          <w:spacing w:val="-45"/>
          <w:sz w:val="28"/>
          <w:szCs w:val="28"/>
        </w:rPr>
        <w:t xml:space="preserve"> </w:t>
      </w:r>
      <w:r>
        <w:rPr>
          <w:rFonts w:ascii="仿宋" w:hAnsi="仿宋" w:eastAsia="仿宋" w:cs="仿宋"/>
          <w:spacing w:val="3"/>
          <w:sz w:val="28"/>
          <w:szCs w:val="28"/>
        </w:rPr>
        <w:t>条高速公路的建设工作并适机启动建设，全面建成</w:t>
      </w:r>
      <w:r>
        <w:rPr>
          <w:rFonts w:ascii="仿宋" w:hAnsi="仿宋" w:eastAsia="仿宋" w:cs="仿宋"/>
          <w:spacing w:val="-90"/>
          <w:sz w:val="28"/>
          <w:szCs w:val="28"/>
        </w:rPr>
        <w:t xml:space="preserve"> </w:t>
      </w:r>
      <w:r>
        <w:rPr>
          <w:rFonts w:ascii="仿宋" w:hAnsi="仿宋" w:eastAsia="仿宋" w:cs="仿宋"/>
          <w:spacing w:val="3"/>
          <w:sz w:val="28"/>
          <w:szCs w:val="28"/>
        </w:rPr>
        <w:t>“</w:t>
      </w:r>
      <w:r>
        <w:rPr>
          <w:rFonts w:ascii="仿宋" w:hAnsi="仿宋" w:eastAsia="仿宋" w:cs="仿宋"/>
          <w:spacing w:val="-99"/>
          <w:sz w:val="28"/>
          <w:szCs w:val="28"/>
        </w:rPr>
        <w:t xml:space="preserve"> </w:t>
      </w:r>
      <w:r>
        <w:rPr>
          <w:rFonts w:ascii="仿宋" w:hAnsi="仿宋" w:eastAsia="仿宋" w:cs="仿宋"/>
          <w:spacing w:val="3"/>
          <w:sz w:val="28"/>
          <w:szCs w:val="28"/>
        </w:rPr>
        <w:t>1</w:t>
      </w:r>
      <w:r>
        <w:rPr>
          <w:rFonts w:ascii="仿宋" w:hAnsi="仿宋" w:eastAsia="仿宋" w:cs="仿宋"/>
          <w:sz w:val="28"/>
          <w:szCs w:val="28"/>
        </w:rPr>
        <w:t>环</w:t>
      </w:r>
      <w:r>
        <w:rPr>
          <w:rFonts w:ascii="仿宋" w:hAnsi="仿宋" w:eastAsia="仿宋" w:cs="仿宋"/>
          <w:spacing w:val="-27"/>
          <w:sz w:val="28"/>
          <w:szCs w:val="28"/>
        </w:rPr>
        <w:t xml:space="preserve"> </w:t>
      </w:r>
      <w:r>
        <w:rPr>
          <w:rFonts w:ascii="仿宋" w:hAnsi="仿宋" w:eastAsia="仿宋" w:cs="仿宋"/>
          <w:sz w:val="28"/>
          <w:szCs w:val="28"/>
        </w:rPr>
        <w:t>3</w:t>
      </w:r>
      <w:r>
        <w:rPr>
          <w:rFonts w:ascii="仿宋" w:hAnsi="仿宋" w:eastAsia="仿宋" w:cs="仿宋"/>
          <w:spacing w:val="-49"/>
          <w:sz w:val="28"/>
          <w:szCs w:val="28"/>
        </w:rPr>
        <w:t xml:space="preserve"> </w:t>
      </w:r>
      <w:r>
        <w:rPr>
          <w:rFonts w:ascii="仿宋" w:hAnsi="仿宋" w:eastAsia="仿宋" w:cs="仿宋"/>
          <w:sz w:val="28"/>
          <w:szCs w:val="28"/>
        </w:rPr>
        <w:t>纵</w:t>
      </w:r>
      <w:r>
        <w:rPr>
          <w:rFonts w:ascii="仿宋" w:hAnsi="仿宋" w:eastAsia="仿宋" w:cs="仿宋"/>
          <w:spacing w:val="-35"/>
          <w:sz w:val="28"/>
          <w:szCs w:val="28"/>
        </w:rPr>
        <w:t xml:space="preserve"> </w:t>
      </w:r>
      <w:r>
        <w:rPr>
          <w:rFonts w:ascii="仿宋" w:hAnsi="仿宋" w:eastAsia="仿宋" w:cs="仿宋"/>
          <w:sz w:val="28"/>
          <w:szCs w:val="28"/>
        </w:rPr>
        <w:t>5</w:t>
      </w:r>
      <w:r>
        <w:rPr>
          <w:rFonts w:ascii="仿宋" w:hAnsi="仿宋" w:eastAsia="仿宋" w:cs="仿宋"/>
          <w:spacing w:val="-52"/>
          <w:sz w:val="28"/>
          <w:szCs w:val="28"/>
        </w:rPr>
        <w:t xml:space="preserve"> </w:t>
      </w:r>
      <w:r>
        <w:rPr>
          <w:rFonts w:ascii="仿宋" w:hAnsi="仿宋" w:eastAsia="仿宋" w:cs="仿宋"/>
          <w:sz w:val="28"/>
          <w:szCs w:val="28"/>
        </w:rPr>
        <w:t>横</w:t>
      </w:r>
      <w:r>
        <w:rPr>
          <w:rFonts w:ascii="仿宋" w:hAnsi="仿宋" w:eastAsia="仿宋" w:cs="仿宋"/>
          <w:spacing w:val="-36"/>
          <w:sz w:val="28"/>
          <w:szCs w:val="28"/>
        </w:rPr>
        <w:t xml:space="preserve"> </w:t>
      </w:r>
      <w:r>
        <w:rPr>
          <w:rFonts w:ascii="仿宋" w:hAnsi="仿宋" w:eastAsia="仿宋" w:cs="仿宋"/>
          <w:sz w:val="28"/>
          <w:szCs w:val="28"/>
        </w:rPr>
        <w:t>7</w:t>
      </w:r>
      <w:r>
        <w:rPr>
          <w:rFonts w:ascii="仿宋" w:hAnsi="仿宋" w:eastAsia="仿宋" w:cs="仿宋"/>
          <w:spacing w:val="-54"/>
          <w:sz w:val="28"/>
          <w:szCs w:val="28"/>
        </w:rPr>
        <w:t xml:space="preserve"> </w:t>
      </w:r>
      <w:r>
        <w:rPr>
          <w:rFonts w:ascii="仿宋" w:hAnsi="仿宋" w:eastAsia="仿宋" w:cs="仿宋"/>
          <w:sz w:val="28"/>
          <w:szCs w:val="28"/>
        </w:rPr>
        <w:t>联”高速公路网，形成</w:t>
      </w:r>
      <w:r>
        <w:rPr>
          <w:rFonts w:ascii="仿宋" w:hAnsi="仿宋" w:eastAsia="仿宋" w:cs="仿宋"/>
          <w:spacing w:val="-97"/>
          <w:sz w:val="28"/>
          <w:szCs w:val="28"/>
        </w:rPr>
        <w:t xml:space="preserve"> </w:t>
      </w:r>
      <w:r>
        <w:rPr>
          <w:rFonts w:ascii="仿宋" w:hAnsi="仿宋" w:eastAsia="仿宋" w:cs="仿宋"/>
          <w:sz w:val="28"/>
          <w:szCs w:val="28"/>
        </w:rPr>
        <w:t>“八出省、五入昆、北上川渝、南向</w:t>
      </w:r>
      <w:r>
        <w:rPr>
          <w:rFonts w:ascii="仿宋" w:hAnsi="仿宋" w:eastAsia="仿宋" w:cs="仿宋"/>
          <w:spacing w:val="4"/>
          <w:sz w:val="28"/>
          <w:szCs w:val="28"/>
        </w:rPr>
        <w:t>出境”高速公路运输通道。</w:t>
      </w:r>
      <w:r>
        <w:rPr>
          <w:rFonts w:ascii="仿宋" w:hAnsi="仿宋" w:eastAsia="仿宋" w:cs="仿宋"/>
          <w:spacing w:val="-60"/>
          <w:sz w:val="28"/>
          <w:szCs w:val="28"/>
        </w:rPr>
        <w:t xml:space="preserve"> </w:t>
      </w:r>
      <w:r>
        <w:rPr>
          <w:rFonts w:ascii="仿宋" w:hAnsi="仿宋" w:eastAsia="仿宋" w:cs="仿宋"/>
          <w:spacing w:val="4"/>
          <w:sz w:val="28"/>
          <w:szCs w:val="28"/>
        </w:rPr>
        <w:t>以进一步优化完善路网结构和提升路网技术等</w:t>
      </w:r>
      <w:r>
        <w:rPr>
          <w:rFonts w:ascii="仿宋" w:hAnsi="仿宋" w:eastAsia="仿宋" w:cs="仿宋"/>
          <w:spacing w:val="-7"/>
          <w:sz w:val="28"/>
          <w:szCs w:val="28"/>
        </w:rPr>
        <w:t>级为</w:t>
      </w:r>
      <w:r>
        <w:rPr>
          <w:rFonts w:ascii="仿宋" w:hAnsi="仿宋" w:eastAsia="仿宋" w:cs="仿宋"/>
          <w:spacing w:val="-62"/>
          <w:sz w:val="28"/>
          <w:szCs w:val="28"/>
        </w:rPr>
        <w:t xml:space="preserve"> </w:t>
      </w:r>
      <w:r>
        <w:rPr>
          <w:rFonts w:ascii="仿宋" w:hAnsi="仿宋" w:eastAsia="仿宋" w:cs="仿宋"/>
          <w:spacing w:val="-7"/>
          <w:sz w:val="28"/>
          <w:szCs w:val="28"/>
        </w:rPr>
        <w:t>目标，全面推进</w:t>
      </w:r>
      <w:r>
        <w:rPr>
          <w:rFonts w:ascii="仿宋" w:hAnsi="仿宋" w:eastAsia="仿宋" w:cs="仿宋"/>
          <w:spacing w:val="-49"/>
          <w:sz w:val="28"/>
          <w:szCs w:val="28"/>
        </w:rPr>
        <w:t xml:space="preserve"> </w:t>
      </w:r>
      <w:r>
        <w:rPr>
          <w:rFonts w:ascii="仿宋" w:hAnsi="仿宋" w:eastAsia="仿宋" w:cs="仿宋"/>
          <w:spacing w:val="-7"/>
          <w:sz w:val="28"/>
          <w:szCs w:val="28"/>
        </w:rPr>
        <w:t>G248、G320、G324、G357</w:t>
      </w:r>
      <w:r>
        <w:rPr>
          <w:rFonts w:ascii="仿宋" w:hAnsi="仿宋" w:eastAsia="仿宋" w:cs="仿宋"/>
          <w:spacing w:val="-44"/>
          <w:sz w:val="28"/>
          <w:szCs w:val="28"/>
        </w:rPr>
        <w:t xml:space="preserve"> </w:t>
      </w:r>
      <w:r>
        <w:rPr>
          <w:rFonts w:ascii="仿宋" w:hAnsi="仿宋" w:eastAsia="仿宋" w:cs="仿宋"/>
          <w:spacing w:val="-7"/>
          <w:sz w:val="28"/>
          <w:szCs w:val="28"/>
        </w:rPr>
        <w:t>和</w:t>
      </w:r>
      <w:r>
        <w:rPr>
          <w:rFonts w:ascii="仿宋" w:hAnsi="仿宋" w:eastAsia="仿宋" w:cs="仿宋"/>
          <w:spacing w:val="-42"/>
          <w:sz w:val="28"/>
          <w:szCs w:val="28"/>
        </w:rPr>
        <w:t xml:space="preserve"> </w:t>
      </w:r>
      <w:r>
        <w:rPr>
          <w:rFonts w:ascii="仿宋" w:hAnsi="仿宋" w:eastAsia="仿宋" w:cs="仿宋"/>
          <w:spacing w:val="-7"/>
          <w:sz w:val="28"/>
          <w:szCs w:val="28"/>
        </w:rPr>
        <w:t>S204、S205、S206、S207、</w:t>
      </w:r>
      <w:r>
        <w:rPr>
          <w:rFonts w:ascii="仿宋" w:hAnsi="仿宋" w:eastAsia="仿宋" w:cs="仿宋"/>
          <w:sz w:val="28"/>
          <w:szCs w:val="28"/>
        </w:rPr>
        <w:t xml:space="preserve"> </w:t>
      </w:r>
      <w:r>
        <w:rPr>
          <w:rFonts w:ascii="仿宋" w:hAnsi="仿宋" w:eastAsia="仿宋" w:cs="仿宋"/>
          <w:spacing w:val="3"/>
          <w:sz w:val="28"/>
          <w:szCs w:val="28"/>
        </w:rPr>
        <w:t>S305、S306、S308、S309</w:t>
      </w:r>
      <w:r>
        <w:rPr>
          <w:rFonts w:ascii="仿宋" w:hAnsi="仿宋" w:eastAsia="仿宋" w:cs="仿宋"/>
          <w:spacing w:val="-38"/>
          <w:sz w:val="28"/>
          <w:szCs w:val="28"/>
        </w:rPr>
        <w:t xml:space="preserve"> </w:t>
      </w:r>
      <w:r>
        <w:rPr>
          <w:rFonts w:ascii="仿宋" w:hAnsi="仿宋" w:eastAsia="仿宋" w:cs="仿宋"/>
          <w:spacing w:val="3"/>
          <w:sz w:val="28"/>
          <w:szCs w:val="28"/>
        </w:rPr>
        <w:t>等普通国省道低</w:t>
      </w:r>
      <w:r>
        <w:rPr>
          <w:rFonts w:ascii="仿宋" w:hAnsi="仿宋" w:eastAsia="仿宋" w:cs="仿宋"/>
          <w:spacing w:val="2"/>
          <w:sz w:val="28"/>
          <w:szCs w:val="28"/>
        </w:rPr>
        <w:t>等级路段升级改造，形成内联外</w:t>
      </w:r>
      <w:r>
        <w:rPr>
          <w:rFonts w:ascii="仿宋" w:hAnsi="仿宋" w:eastAsia="仿宋" w:cs="仿宋"/>
          <w:spacing w:val="8"/>
          <w:sz w:val="28"/>
          <w:szCs w:val="28"/>
        </w:rPr>
        <w:t>通的</w:t>
      </w:r>
      <w:r>
        <w:rPr>
          <w:rFonts w:ascii="仿宋" w:hAnsi="仿宋" w:eastAsia="仿宋" w:cs="仿宋"/>
          <w:spacing w:val="-90"/>
          <w:sz w:val="28"/>
          <w:szCs w:val="28"/>
        </w:rPr>
        <w:t xml:space="preserve"> </w:t>
      </w:r>
      <w:r>
        <w:rPr>
          <w:rFonts w:ascii="仿宋" w:hAnsi="仿宋" w:eastAsia="仿宋" w:cs="仿宋"/>
          <w:spacing w:val="8"/>
          <w:sz w:val="28"/>
          <w:szCs w:val="28"/>
        </w:rPr>
        <w:t>“</w:t>
      </w:r>
      <w:r>
        <w:rPr>
          <w:rFonts w:ascii="仿宋" w:hAnsi="仿宋" w:eastAsia="仿宋" w:cs="仿宋"/>
          <w:spacing w:val="-104"/>
          <w:sz w:val="28"/>
          <w:szCs w:val="28"/>
        </w:rPr>
        <w:t xml:space="preserve"> </w:t>
      </w:r>
      <w:r>
        <w:rPr>
          <w:rFonts w:ascii="仿宋" w:hAnsi="仿宋" w:eastAsia="仿宋" w:cs="仿宋"/>
          <w:spacing w:val="8"/>
          <w:sz w:val="28"/>
          <w:szCs w:val="28"/>
        </w:rPr>
        <w:t>613”普通国省道网，满足市域内及与周边区域的运输</w:t>
      </w:r>
      <w:r>
        <w:rPr>
          <w:rFonts w:ascii="仿宋" w:hAnsi="仿宋" w:eastAsia="仿宋" w:cs="仿宋"/>
          <w:spacing w:val="7"/>
          <w:sz w:val="28"/>
          <w:szCs w:val="28"/>
        </w:rPr>
        <w:t>需求。继续</w:t>
      </w:r>
      <w:r>
        <w:rPr>
          <w:rFonts w:ascii="仿宋" w:hAnsi="仿宋" w:eastAsia="仿宋" w:cs="仿宋"/>
          <w:spacing w:val="3"/>
          <w:sz w:val="28"/>
          <w:szCs w:val="28"/>
        </w:rPr>
        <w:t>推动</w:t>
      </w:r>
      <w:r>
        <w:rPr>
          <w:rFonts w:ascii="仿宋" w:hAnsi="仿宋" w:eastAsia="仿宋" w:cs="仿宋"/>
          <w:spacing w:val="-88"/>
          <w:sz w:val="28"/>
          <w:szCs w:val="28"/>
        </w:rPr>
        <w:t xml:space="preserve"> </w:t>
      </w:r>
      <w:r>
        <w:rPr>
          <w:rFonts w:ascii="仿宋" w:hAnsi="仿宋" w:eastAsia="仿宋" w:cs="仿宋"/>
          <w:spacing w:val="3"/>
          <w:sz w:val="28"/>
          <w:szCs w:val="28"/>
        </w:rPr>
        <w:t>“</w:t>
      </w:r>
      <w:r>
        <w:rPr>
          <w:rFonts w:ascii="仿宋" w:hAnsi="仿宋" w:eastAsia="仿宋" w:cs="仿宋"/>
          <w:spacing w:val="-89"/>
          <w:sz w:val="28"/>
          <w:szCs w:val="28"/>
        </w:rPr>
        <w:t xml:space="preserve"> </w:t>
      </w:r>
      <w:r>
        <w:rPr>
          <w:rFonts w:ascii="仿宋" w:hAnsi="仿宋" w:eastAsia="仿宋" w:cs="仿宋"/>
          <w:spacing w:val="3"/>
          <w:sz w:val="28"/>
          <w:szCs w:val="28"/>
        </w:rPr>
        <w:t>四好农村路”高质量发展，服务乡村振兴战略实施。</w:t>
      </w:r>
    </w:p>
    <w:p w14:paraId="4CF9B11E">
      <w:pPr>
        <w:spacing w:line="343" w:lineRule="auto"/>
        <w:ind w:left="10" w:right="2" w:firstLine="569"/>
        <w:jc w:val="both"/>
        <w:rPr>
          <w:rFonts w:ascii="仿宋" w:hAnsi="仿宋" w:eastAsia="仿宋" w:cs="仿宋"/>
          <w:sz w:val="28"/>
          <w:szCs w:val="28"/>
        </w:rPr>
      </w:pPr>
      <w:r>
        <w:rPr>
          <w:rFonts w:ascii="仿宋" w:hAnsi="仿宋" w:eastAsia="仿宋" w:cs="仿宋"/>
          <w:spacing w:val="-14"/>
          <w:sz w:val="28"/>
          <w:szCs w:val="28"/>
        </w:rPr>
        <w:t>继续完善机场布局。推进民用运输机场规划布局，适时启动曲靖机场（</w:t>
      </w:r>
      <w:r>
        <w:rPr>
          <w:rFonts w:ascii="仿宋" w:hAnsi="仿宋" w:eastAsia="仿宋" w:cs="仿宋"/>
          <w:spacing w:val="-47"/>
          <w:sz w:val="28"/>
          <w:szCs w:val="28"/>
        </w:rPr>
        <w:t xml:space="preserve"> </w:t>
      </w:r>
      <w:r>
        <w:rPr>
          <w:rFonts w:ascii="仿宋" w:hAnsi="仿宋" w:eastAsia="仿宋" w:cs="仿宋"/>
          <w:spacing w:val="-14"/>
          <w:sz w:val="28"/>
          <w:szCs w:val="28"/>
        </w:rPr>
        <w:t>曲</w:t>
      </w:r>
      <w:r>
        <w:rPr>
          <w:rFonts w:ascii="仿宋" w:hAnsi="仿宋" w:eastAsia="仿宋" w:cs="仿宋"/>
          <w:spacing w:val="-2"/>
          <w:sz w:val="28"/>
          <w:szCs w:val="28"/>
        </w:rPr>
        <w:t>靖西南航空物流基地）的规划建设工作，协同</w:t>
      </w:r>
      <w:r>
        <w:fldChar w:fldCharType="begin"/>
      </w:r>
      <w:r>
        <w:instrText xml:space="preserve"> HYPERLINK "http://baike.baidu.com/view/945173.htm" </w:instrText>
      </w:r>
      <w:r>
        <w:fldChar w:fldCharType="separate"/>
      </w:r>
      <w:r>
        <w:rPr>
          <w:rFonts w:ascii="仿宋" w:hAnsi="仿宋" w:eastAsia="仿宋" w:cs="仿宋"/>
          <w:spacing w:val="-2"/>
          <w:sz w:val="28"/>
          <w:szCs w:val="28"/>
        </w:rPr>
        <w:t>昆明长水国际机场</w:t>
      </w:r>
      <w:r>
        <w:rPr>
          <w:rFonts w:ascii="仿宋" w:hAnsi="仿宋" w:eastAsia="仿宋" w:cs="仿宋"/>
          <w:spacing w:val="-2"/>
          <w:sz w:val="28"/>
          <w:szCs w:val="28"/>
        </w:rPr>
        <w:fldChar w:fldCharType="end"/>
      </w:r>
      <w:r>
        <w:rPr>
          <w:rFonts w:ascii="仿宋" w:hAnsi="仿宋" w:eastAsia="仿宋" w:cs="仿宋"/>
          <w:spacing w:val="-2"/>
          <w:sz w:val="28"/>
          <w:szCs w:val="28"/>
        </w:rPr>
        <w:t>构建辐射南</w:t>
      </w:r>
      <w:r>
        <w:rPr>
          <w:rFonts w:ascii="仿宋" w:hAnsi="仿宋" w:eastAsia="仿宋" w:cs="仿宋"/>
          <w:spacing w:val="-8"/>
          <w:sz w:val="28"/>
          <w:szCs w:val="28"/>
        </w:rPr>
        <w:t>亚东南亚地区的门户功能，满足国家“一带一路”和</w:t>
      </w:r>
      <w:r>
        <w:rPr>
          <w:rFonts w:hint="eastAsia" w:ascii="仿宋" w:hAnsi="仿宋" w:eastAsia="仿宋" w:cs="仿宋"/>
          <w:spacing w:val="-8"/>
          <w:sz w:val="28"/>
          <w:szCs w:val="28"/>
          <w:lang w:eastAsia="zh-CN"/>
        </w:rPr>
        <w:t>长江经济带发展战略</w:t>
      </w:r>
      <w:r>
        <w:rPr>
          <w:rFonts w:ascii="仿宋" w:hAnsi="仿宋" w:eastAsia="仿宋" w:cs="仿宋"/>
          <w:spacing w:val="-8"/>
          <w:sz w:val="28"/>
          <w:szCs w:val="28"/>
        </w:rPr>
        <w:t>需要，</w:t>
      </w:r>
      <w:r>
        <w:rPr>
          <w:rFonts w:ascii="仿宋" w:hAnsi="仿宋" w:eastAsia="仿宋" w:cs="仿宋"/>
          <w:sz w:val="28"/>
          <w:szCs w:val="28"/>
        </w:rPr>
        <w:t>成为我国尤其是西南地区面向南亚东南亚的航空物流基地。有序推动富源、</w:t>
      </w:r>
      <w:r>
        <w:rPr>
          <w:rFonts w:ascii="仿宋" w:hAnsi="仿宋" w:eastAsia="仿宋" w:cs="仿宋"/>
          <w:spacing w:val="-8"/>
          <w:sz w:val="28"/>
          <w:szCs w:val="28"/>
        </w:rPr>
        <w:t>麒麟、师宗、马龙、陆良等一批通用机场建设，持续壮大通用航空服务市场。</w:t>
      </w:r>
    </w:p>
    <w:p w14:paraId="4450D2C1">
      <w:pPr>
        <w:spacing w:before="3" w:line="342" w:lineRule="auto"/>
        <w:ind w:left="14" w:right="84" w:firstLine="565"/>
        <w:jc w:val="both"/>
        <w:rPr>
          <w:rFonts w:ascii="仿宋" w:hAnsi="仿宋" w:eastAsia="仿宋" w:cs="仿宋"/>
          <w:sz w:val="28"/>
          <w:szCs w:val="28"/>
        </w:rPr>
      </w:pPr>
      <w:r>
        <w:rPr>
          <w:rFonts w:ascii="仿宋" w:hAnsi="仿宋" w:eastAsia="仿宋" w:cs="仿宋"/>
          <w:spacing w:val="-3"/>
          <w:sz w:val="28"/>
          <w:szCs w:val="28"/>
        </w:rPr>
        <w:t>继续推进水运基础设施建设。在现有通航航道的基础上，继续推进云南</w:t>
      </w:r>
      <w:r>
        <w:rPr>
          <w:rFonts w:ascii="仿宋" w:hAnsi="仿宋" w:eastAsia="仿宋" w:cs="仿宋"/>
          <w:spacing w:val="-10"/>
          <w:sz w:val="28"/>
          <w:szCs w:val="28"/>
        </w:rPr>
        <w:t>会泽港和罗平、师宗境内便民交通码头（停靠点）建设</w:t>
      </w:r>
      <w:r>
        <w:rPr>
          <w:rFonts w:ascii="仿宋" w:hAnsi="仿宋" w:eastAsia="仿宋" w:cs="仿宋"/>
          <w:spacing w:val="-11"/>
          <w:sz w:val="28"/>
          <w:szCs w:val="28"/>
        </w:rPr>
        <w:t>和航道整治，形成“一</w:t>
      </w:r>
      <w:r>
        <w:rPr>
          <w:rFonts w:ascii="仿宋" w:hAnsi="仿宋" w:eastAsia="仿宋" w:cs="仿宋"/>
          <w:spacing w:val="-2"/>
          <w:sz w:val="28"/>
          <w:szCs w:val="28"/>
        </w:rPr>
        <w:t>南一北”（南盘江、金沙江）对外运输通道与市域以大中型水库、</w:t>
      </w:r>
      <w:r>
        <w:rPr>
          <w:rFonts w:ascii="仿宋" w:hAnsi="仿宋" w:eastAsia="仿宋" w:cs="仿宋"/>
          <w:spacing w:val="-3"/>
          <w:sz w:val="28"/>
          <w:szCs w:val="28"/>
        </w:rPr>
        <w:t>部分河道</w:t>
      </w:r>
      <w:r>
        <w:rPr>
          <w:rFonts w:ascii="仿宋" w:hAnsi="仿宋" w:eastAsia="仿宋" w:cs="仿宋"/>
          <w:spacing w:val="-4"/>
          <w:sz w:val="28"/>
          <w:szCs w:val="28"/>
        </w:rPr>
        <w:t>段落形成的</w:t>
      </w:r>
      <w:r>
        <w:rPr>
          <w:rFonts w:ascii="仿宋" w:hAnsi="仿宋" w:eastAsia="仿宋" w:cs="仿宋"/>
          <w:spacing w:val="-91"/>
          <w:sz w:val="28"/>
          <w:szCs w:val="28"/>
        </w:rPr>
        <w:t xml:space="preserve"> </w:t>
      </w:r>
      <w:r>
        <w:rPr>
          <w:rFonts w:ascii="仿宋" w:hAnsi="仿宋" w:eastAsia="仿宋" w:cs="仿宋"/>
          <w:spacing w:val="-4"/>
          <w:sz w:val="28"/>
          <w:szCs w:val="28"/>
        </w:rPr>
        <w:t>“多点多线”</w:t>
      </w:r>
      <w:r>
        <w:rPr>
          <w:rFonts w:ascii="仿宋" w:hAnsi="仿宋" w:eastAsia="仿宋" w:cs="仿宋"/>
          <w:spacing w:val="-108"/>
          <w:sz w:val="28"/>
          <w:szCs w:val="28"/>
        </w:rPr>
        <w:t xml:space="preserve"> </w:t>
      </w:r>
      <w:r>
        <w:rPr>
          <w:rFonts w:ascii="仿宋" w:hAnsi="仿宋" w:eastAsia="仿宋" w:cs="仿宋"/>
          <w:spacing w:val="-4"/>
          <w:sz w:val="28"/>
          <w:szCs w:val="28"/>
        </w:rPr>
        <w:t>片区网络相结合的水运格局。</w:t>
      </w:r>
    </w:p>
    <w:p w14:paraId="53D7E804">
      <w:pPr>
        <w:spacing w:line="339" w:lineRule="auto"/>
        <w:ind w:left="21" w:right="84" w:firstLine="552"/>
        <w:rPr>
          <w:rFonts w:ascii="仿宋" w:hAnsi="仿宋" w:eastAsia="仿宋" w:cs="仿宋"/>
          <w:sz w:val="28"/>
          <w:szCs w:val="28"/>
        </w:rPr>
      </w:pPr>
      <w:r>
        <w:rPr>
          <w:rFonts w:ascii="仿宋" w:hAnsi="仿宋" w:eastAsia="仿宋" w:cs="仿宋"/>
          <w:spacing w:val="-1"/>
          <w:sz w:val="28"/>
          <w:szCs w:val="28"/>
        </w:rPr>
        <w:t>适时启动城市轨道交通规划建设。根据麒沾马中心城市发展条件和要</w:t>
      </w:r>
      <w:r>
        <w:rPr>
          <w:rFonts w:ascii="仿宋" w:hAnsi="仿宋" w:eastAsia="仿宋" w:cs="仿宋"/>
          <w:spacing w:val="-2"/>
          <w:sz w:val="28"/>
          <w:szCs w:val="28"/>
        </w:rPr>
        <w:t>求，结合枢纽场站布局、交通走廊分布、重要客源</w:t>
      </w:r>
      <w:r>
        <w:rPr>
          <w:rFonts w:ascii="仿宋" w:hAnsi="仿宋" w:eastAsia="仿宋" w:cs="仿宋"/>
          <w:spacing w:val="-3"/>
          <w:sz w:val="28"/>
          <w:szCs w:val="28"/>
        </w:rPr>
        <w:t>点分布的情况，适时启动</w:t>
      </w:r>
      <w:r>
        <w:rPr>
          <w:rFonts w:ascii="仿宋" w:hAnsi="仿宋" w:eastAsia="仿宋" w:cs="仿宋"/>
          <w:spacing w:val="-2"/>
          <w:sz w:val="28"/>
          <w:szCs w:val="28"/>
        </w:rPr>
        <w:t>曲靖市城市轨道交通规划建设研究工作。</w:t>
      </w:r>
    </w:p>
    <w:tbl>
      <w:tblPr>
        <w:tblStyle w:val="5"/>
        <w:tblW w:w="8719" w:type="dxa"/>
        <w:tblInd w:w="2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19"/>
      </w:tblGrid>
      <w:tr w14:paraId="59C8F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8719" w:type="dxa"/>
            <w:vAlign w:val="top"/>
          </w:tcPr>
          <w:p w14:paraId="05D89E5B">
            <w:pPr>
              <w:pStyle w:val="6"/>
              <w:spacing w:before="137" w:line="228" w:lineRule="auto"/>
              <w:ind w:left="2590"/>
              <w:rPr>
                <w:rFonts w:ascii="宋体" w:hAnsi="宋体" w:eastAsia="宋体" w:cs="宋体"/>
              </w:rPr>
            </w:pPr>
            <w:r>
              <w:rPr>
                <w:rFonts w:ascii="宋体" w:hAnsi="宋体" w:eastAsia="宋体" w:cs="宋体"/>
                <w:b/>
                <w:bCs/>
                <w:spacing w:val="12"/>
              </w:rPr>
              <w:t>专栏</w:t>
            </w:r>
            <w:r>
              <w:rPr>
                <w:rFonts w:ascii="宋体" w:hAnsi="宋体" w:eastAsia="宋体" w:cs="宋体"/>
                <w:spacing w:val="-19"/>
              </w:rPr>
              <w:t xml:space="preserve"> </w:t>
            </w:r>
            <w:r>
              <w:rPr>
                <w:b/>
                <w:bCs/>
                <w:spacing w:val="12"/>
              </w:rPr>
              <w:t xml:space="preserve">10    </w:t>
            </w:r>
            <w:r>
              <w:rPr>
                <w:rFonts w:ascii="宋体" w:hAnsi="宋体" w:eastAsia="宋体" w:cs="宋体"/>
                <w:b/>
                <w:bCs/>
                <w:spacing w:val="12"/>
              </w:rPr>
              <w:t>远景展望综合交通建设重点项目</w:t>
            </w:r>
          </w:p>
        </w:tc>
      </w:tr>
      <w:tr w14:paraId="6585B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7" w:hRule="atLeast"/>
        </w:trPr>
        <w:tc>
          <w:tcPr>
            <w:tcW w:w="8719" w:type="dxa"/>
            <w:vAlign w:val="top"/>
          </w:tcPr>
          <w:p w14:paraId="14E5B480">
            <w:pPr>
              <w:pStyle w:val="6"/>
              <w:spacing w:before="102" w:line="274" w:lineRule="exact"/>
              <w:ind w:left="568"/>
              <w:rPr>
                <w:rFonts w:ascii="宋体" w:hAnsi="宋体" w:eastAsia="宋体" w:cs="宋体"/>
              </w:rPr>
            </w:pPr>
            <w:r>
              <w:rPr>
                <w:spacing w:val="11"/>
                <w:position w:val="1"/>
              </w:rPr>
              <w:t>1.</w:t>
            </w:r>
            <w:r>
              <w:rPr>
                <w:spacing w:val="14"/>
                <w:position w:val="1"/>
              </w:rPr>
              <w:t xml:space="preserve">  </w:t>
            </w:r>
            <w:r>
              <w:rPr>
                <w:rFonts w:ascii="宋体" w:hAnsi="宋体" w:eastAsia="宋体" w:cs="宋体"/>
                <w:spacing w:val="11"/>
                <w:position w:val="1"/>
              </w:rPr>
              <w:t>铁路建设工程项目</w:t>
            </w:r>
          </w:p>
          <w:p w14:paraId="5C1AEE3B">
            <w:pPr>
              <w:pStyle w:val="6"/>
              <w:spacing w:before="239" w:line="361" w:lineRule="auto"/>
              <w:ind w:left="114" w:right="115" w:firstLine="440"/>
              <w:rPr>
                <w:rFonts w:ascii="宋体" w:hAnsi="宋体" w:eastAsia="宋体" w:cs="宋体"/>
              </w:rPr>
            </w:pPr>
            <w:r>
              <w:rPr>
                <w:rFonts w:ascii="宋体" w:hAnsi="宋体" w:eastAsia="宋体" w:cs="宋体"/>
                <w:spacing w:val="16"/>
              </w:rPr>
              <w:t>续建“十四五</w:t>
            </w:r>
            <w:r>
              <w:rPr>
                <w:rFonts w:ascii="宋体" w:hAnsi="宋体" w:eastAsia="宋体" w:cs="宋体"/>
                <w:spacing w:val="-50"/>
              </w:rPr>
              <w:t xml:space="preserve"> </w:t>
            </w:r>
            <w:r>
              <w:rPr>
                <w:rFonts w:ascii="宋体" w:hAnsi="宋体" w:eastAsia="宋体" w:cs="宋体"/>
                <w:spacing w:val="16"/>
              </w:rPr>
              <w:t>”期未完成项目的基础上，积极推动曲靖至文山铁路、东川至会泽至巧家铁路、南昆高铁（昆明至罗平段）</w:t>
            </w:r>
            <w:r>
              <w:rPr>
                <w:rFonts w:ascii="宋体" w:hAnsi="宋体" w:eastAsia="宋体" w:cs="宋体"/>
                <w:spacing w:val="-41"/>
              </w:rPr>
              <w:t xml:space="preserve"> </w:t>
            </w:r>
            <w:r>
              <w:rPr>
                <w:rFonts w:ascii="宋体" w:hAnsi="宋体" w:eastAsia="宋体" w:cs="宋体"/>
                <w:spacing w:val="16"/>
              </w:rPr>
              <w:t>、宣威至六盘水高速铁路的建设，适时启动昆明至曲</w:t>
            </w:r>
            <w:r>
              <w:rPr>
                <w:rFonts w:ascii="宋体" w:hAnsi="宋体" w:eastAsia="宋体" w:cs="宋体"/>
                <w:spacing w:val="18"/>
              </w:rPr>
              <w:t>靖城际、宣威至会泽至巧家及羊场铁路延伸线等铁路的建设</w:t>
            </w:r>
            <w:r>
              <w:rPr>
                <w:rFonts w:ascii="宋体" w:hAnsi="宋体" w:eastAsia="宋体" w:cs="宋体"/>
                <w:spacing w:val="17"/>
              </w:rPr>
              <w:t>；</w:t>
            </w:r>
            <w:r>
              <w:rPr>
                <w:rFonts w:ascii="宋体" w:hAnsi="宋体" w:eastAsia="宋体" w:cs="宋体"/>
                <w:spacing w:val="-59"/>
              </w:rPr>
              <w:t xml:space="preserve"> </w:t>
            </w:r>
            <w:r>
              <w:rPr>
                <w:rFonts w:ascii="宋体" w:hAnsi="宋体" w:eastAsia="宋体" w:cs="宋体"/>
                <w:spacing w:val="17"/>
              </w:rPr>
              <w:t>推动以“马龙</w:t>
            </w:r>
            <w:r>
              <w:rPr>
                <w:spacing w:val="17"/>
              </w:rPr>
              <w:t>+</w:t>
            </w:r>
            <w:r>
              <w:rPr>
                <w:rFonts w:ascii="宋体" w:hAnsi="宋体" w:eastAsia="宋体" w:cs="宋体"/>
                <w:spacing w:val="17"/>
              </w:rPr>
              <w:t>珠江源</w:t>
            </w:r>
            <w:r>
              <w:rPr>
                <w:rFonts w:ascii="宋体" w:hAnsi="宋体" w:eastAsia="宋体" w:cs="宋体"/>
                <w:spacing w:val="-60"/>
              </w:rPr>
              <w:t xml:space="preserve"> </w:t>
            </w:r>
            <w:r>
              <w:rPr>
                <w:rFonts w:ascii="宋体" w:hAnsi="宋体" w:eastAsia="宋体" w:cs="宋体"/>
                <w:spacing w:val="17"/>
              </w:rPr>
              <w:t>”为</w:t>
            </w:r>
            <w:r>
              <w:rPr>
                <w:rFonts w:ascii="宋体" w:hAnsi="宋体" w:eastAsia="宋体" w:cs="宋体"/>
                <w:spacing w:val="16"/>
              </w:rPr>
              <w:t>核心节点的综合货运枢纽场站（物流园区）建设。</w:t>
            </w:r>
          </w:p>
          <w:p w14:paraId="287CD6B3">
            <w:pPr>
              <w:pStyle w:val="6"/>
              <w:spacing w:line="274" w:lineRule="exact"/>
              <w:ind w:left="531"/>
              <w:rPr>
                <w:rFonts w:ascii="宋体" w:hAnsi="宋体" w:eastAsia="宋体" w:cs="宋体"/>
              </w:rPr>
            </w:pPr>
            <w:r>
              <w:rPr>
                <w:spacing w:val="12"/>
                <w:position w:val="1"/>
              </w:rPr>
              <w:t>2.</w:t>
            </w:r>
            <w:r>
              <w:rPr>
                <w:spacing w:val="19"/>
                <w:position w:val="1"/>
              </w:rPr>
              <w:t xml:space="preserve">  </w:t>
            </w:r>
            <w:r>
              <w:rPr>
                <w:rFonts w:ascii="宋体" w:hAnsi="宋体" w:eastAsia="宋体" w:cs="宋体"/>
                <w:spacing w:val="12"/>
                <w:position w:val="1"/>
              </w:rPr>
              <w:t>公路建设工程项目</w:t>
            </w:r>
          </w:p>
          <w:p w14:paraId="2E01A114">
            <w:pPr>
              <w:pStyle w:val="6"/>
              <w:spacing w:before="238" w:line="306" w:lineRule="auto"/>
              <w:ind w:left="116" w:right="113" w:firstLine="437"/>
              <w:rPr>
                <w:rFonts w:ascii="宋体" w:hAnsi="宋体" w:eastAsia="宋体" w:cs="宋体"/>
              </w:rPr>
            </w:pPr>
            <w:r>
              <w:rPr>
                <w:rFonts w:ascii="宋体" w:hAnsi="宋体" w:eastAsia="宋体" w:cs="宋体"/>
                <w:spacing w:val="16"/>
              </w:rPr>
              <w:t>续建“十四五</w:t>
            </w:r>
            <w:r>
              <w:rPr>
                <w:rFonts w:ascii="宋体" w:hAnsi="宋体" w:eastAsia="宋体" w:cs="宋体"/>
                <w:spacing w:val="-47"/>
              </w:rPr>
              <w:t xml:space="preserve"> </w:t>
            </w:r>
            <w:r>
              <w:rPr>
                <w:rFonts w:ascii="宋体" w:hAnsi="宋体" w:eastAsia="宋体" w:cs="宋体"/>
                <w:spacing w:val="16"/>
              </w:rPr>
              <w:t>”期未完成项目的基础上，重点推动宣威至盘州、陆良板桥至召夸、会</w:t>
            </w:r>
            <w:r>
              <w:rPr>
                <w:rFonts w:ascii="宋体" w:hAnsi="宋体" w:eastAsia="宋体" w:cs="宋体"/>
                <w:spacing w:val="17"/>
              </w:rPr>
              <w:t>泽至威宁、兴仁至麒麟、昭通至曲靖</w:t>
            </w:r>
            <w:r>
              <w:rPr>
                <w:spacing w:val="17"/>
              </w:rPr>
              <w:t>(</w:t>
            </w:r>
            <w:r>
              <w:rPr>
                <w:rFonts w:ascii="宋体" w:hAnsi="宋体" w:eastAsia="宋体" w:cs="宋体"/>
                <w:spacing w:val="17"/>
              </w:rPr>
              <w:t>会泽</w:t>
            </w:r>
            <w:r>
              <w:rPr>
                <w:spacing w:val="17"/>
              </w:rPr>
              <w:t>)</w:t>
            </w:r>
            <w:r>
              <w:rPr>
                <w:rFonts w:ascii="宋体" w:hAnsi="宋体" w:eastAsia="宋体" w:cs="宋体"/>
                <w:spacing w:val="17"/>
              </w:rPr>
              <w:t>至昆明、富村</w:t>
            </w:r>
            <w:r>
              <w:rPr>
                <w:rFonts w:ascii="宋体" w:hAnsi="宋体" w:eastAsia="宋体" w:cs="宋体"/>
                <w:spacing w:val="16"/>
              </w:rPr>
              <w:t>至长底</w:t>
            </w:r>
            <w:r>
              <w:rPr>
                <w:rFonts w:ascii="宋体" w:hAnsi="宋体" w:eastAsia="宋体" w:cs="宋体"/>
                <w:spacing w:val="-26"/>
              </w:rPr>
              <w:t xml:space="preserve"> </w:t>
            </w:r>
            <w:r>
              <w:rPr>
                <w:spacing w:val="16"/>
              </w:rPr>
              <w:t>6</w:t>
            </w:r>
            <w:r>
              <w:rPr>
                <w:spacing w:val="18"/>
                <w:w w:val="101"/>
              </w:rPr>
              <w:t xml:space="preserve"> </w:t>
            </w:r>
            <w:r>
              <w:rPr>
                <w:rFonts w:ascii="宋体" w:hAnsi="宋体" w:eastAsia="宋体" w:cs="宋体"/>
                <w:spacing w:val="16"/>
              </w:rPr>
              <w:t>条高速公路的建设；</w:t>
            </w:r>
            <w:r>
              <w:rPr>
                <w:rFonts w:ascii="宋体" w:hAnsi="宋体" w:eastAsia="宋体" w:cs="宋体"/>
                <w:spacing w:val="-59"/>
              </w:rPr>
              <w:t xml:space="preserve"> </w:t>
            </w:r>
            <w:r>
              <w:rPr>
                <w:rFonts w:ascii="宋体" w:hAnsi="宋体" w:eastAsia="宋体" w:cs="宋体"/>
                <w:spacing w:val="16"/>
              </w:rPr>
              <w:t>全</w:t>
            </w:r>
          </w:p>
        </w:tc>
      </w:tr>
    </w:tbl>
    <w:p w14:paraId="45D10443">
      <w:pPr>
        <w:pStyle w:val="2"/>
      </w:pPr>
    </w:p>
    <w:p w14:paraId="3D7BBCAD">
      <w:pPr>
        <w:sectPr>
          <w:headerReference r:id="rId133" w:type="default"/>
          <w:footerReference r:id="rId134" w:type="default"/>
          <w:pgSz w:w="11906" w:h="16839"/>
          <w:pgMar w:top="1222" w:right="1501" w:bottom="1156" w:left="1134" w:header="885" w:footer="920" w:gutter="0"/>
          <w:cols w:space="720" w:num="1"/>
        </w:sectPr>
      </w:pPr>
    </w:p>
    <w:p w14:paraId="2D9592B3">
      <w:pPr>
        <w:spacing w:line="194" w:lineRule="exact"/>
      </w:pPr>
    </w:p>
    <w:tbl>
      <w:tblPr>
        <w:tblStyle w:val="5"/>
        <w:tblW w:w="8719" w:type="dxa"/>
        <w:tblInd w:w="23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19"/>
      </w:tblGrid>
      <w:tr w14:paraId="49690E02">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963" w:hRule="atLeast"/>
        </w:trPr>
        <w:tc>
          <w:tcPr>
            <w:tcW w:w="8719" w:type="dxa"/>
            <w:vAlign w:val="top"/>
          </w:tcPr>
          <w:p w14:paraId="023D7666">
            <w:pPr>
              <w:pStyle w:val="6"/>
              <w:spacing w:before="113" w:line="361" w:lineRule="auto"/>
              <w:ind w:left="116" w:right="99"/>
              <w:rPr>
                <w:rFonts w:ascii="宋体" w:hAnsi="宋体" w:eastAsia="宋体" w:cs="宋体"/>
              </w:rPr>
            </w:pPr>
            <w:r>
              <w:rPr>
                <w:rFonts w:ascii="宋体" w:hAnsi="宋体" w:eastAsia="宋体" w:cs="宋体"/>
                <w:spacing w:val="2"/>
              </w:rPr>
              <w:t>面推进</w:t>
            </w:r>
            <w:r>
              <w:rPr>
                <w:rFonts w:ascii="宋体" w:hAnsi="宋体" w:eastAsia="宋体" w:cs="宋体"/>
                <w:spacing w:val="-29"/>
              </w:rPr>
              <w:t xml:space="preserve"> </w:t>
            </w:r>
            <w:r>
              <w:rPr>
                <w:spacing w:val="2"/>
              </w:rPr>
              <w:t>G248</w:t>
            </w:r>
            <w:r>
              <w:rPr>
                <w:spacing w:val="-18"/>
              </w:rPr>
              <w:t xml:space="preserve"> </w:t>
            </w:r>
            <w:r>
              <w:rPr>
                <w:rFonts w:ascii="宋体" w:hAnsi="宋体" w:eastAsia="宋体" w:cs="宋体"/>
                <w:spacing w:val="2"/>
              </w:rPr>
              <w:t>、</w:t>
            </w:r>
            <w:r>
              <w:rPr>
                <w:spacing w:val="2"/>
              </w:rPr>
              <w:t>G320</w:t>
            </w:r>
            <w:r>
              <w:rPr>
                <w:spacing w:val="-17"/>
              </w:rPr>
              <w:t xml:space="preserve"> </w:t>
            </w:r>
            <w:r>
              <w:rPr>
                <w:rFonts w:ascii="宋体" w:hAnsi="宋体" w:eastAsia="宋体" w:cs="宋体"/>
                <w:spacing w:val="2"/>
              </w:rPr>
              <w:t>、</w:t>
            </w:r>
            <w:r>
              <w:rPr>
                <w:spacing w:val="2"/>
              </w:rPr>
              <w:t>G324</w:t>
            </w:r>
            <w:r>
              <w:rPr>
                <w:spacing w:val="-16"/>
              </w:rPr>
              <w:t xml:space="preserve"> </w:t>
            </w:r>
            <w:r>
              <w:rPr>
                <w:rFonts w:ascii="宋体" w:hAnsi="宋体" w:eastAsia="宋体" w:cs="宋体"/>
                <w:spacing w:val="2"/>
              </w:rPr>
              <w:t>、</w:t>
            </w:r>
            <w:r>
              <w:rPr>
                <w:spacing w:val="2"/>
              </w:rPr>
              <w:t>G357</w:t>
            </w:r>
            <w:r>
              <w:rPr>
                <w:spacing w:val="22"/>
                <w:w w:val="101"/>
              </w:rPr>
              <w:t xml:space="preserve"> </w:t>
            </w:r>
            <w:r>
              <w:rPr>
                <w:rFonts w:ascii="宋体" w:hAnsi="宋体" w:eastAsia="宋体" w:cs="宋体"/>
                <w:spacing w:val="2"/>
              </w:rPr>
              <w:t>和</w:t>
            </w:r>
            <w:r>
              <w:rPr>
                <w:rFonts w:ascii="宋体" w:hAnsi="宋体" w:eastAsia="宋体" w:cs="宋体"/>
                <w:spacing w:val="-23"/>
              </w:rPr>
              <w:t xml:space="preserve"> </w:t>
            </w:r>
            <w:r>
              <w:rPr>
                <w:spacing w:val="2"/>
              </w:rPr>
              <w:t>S204</w:t>
            </w:r>
            <w:r>
              <w:rPr>
                <w:spacing w:val="-19"/>
              </w:rPr>
              <w:t xml:space="preserve"> </w:t>
            </w:r>
            <w:r>
              <w:rPr>
                <w:rFonts w:ascii="宋体" w:hAnsi="宋体" w:eastAsia="宋体" w:cs="宋体"/>
                <w:spacing w:val="1"/>
              </w:rPr>
              <w:t>、</w:t>
            </w:r>
            <w:r>
              <w:rPr>
                <w:spacing w:val="1"/>
              </w:rPr>
              <w:t>S205</w:t>
            </w:r>
            <w:r>
              <w:rPr>
                <w:spacing w:val="-16"/>
              </w:rPr>
              <w:t xml:space="preserve"> </w:t>
            </w:r>
            <w:r>
              <w:rPr>
                <w:rFonts w:ascii="宋体" w:hAnsi="宋体" w:eastAsia="宋体" w:cs="宋体"/>
                <w:spacing w:val="1"/>
              </w:rPr>
              <w:t>、</w:t>
            </w:r>
            <w:r>
              <w:rPr>
                <w:spacing w:val="1"/>
              </w:rPr>
              <w:t>S206</w:t>
            </w:r>
            <w:r>
              <w:rPr>
                <w:spacing w:val="-19"/>
              </w:rPr>
              <w:t xml:space="preserve"> </w:t>
            </w:r>
            <w:r>
              <w:rPr>
                <w:rFonts w:ascii="宋体" w:hAnsi="宋体" w:eastAsia="宋体" w:cs="宋体"/>
                <w:spacing w:val="1"/>
              </w:rPr>
              <w:t>、</w:t>
            </w:r>
            <w:r>
              <w:rPr>
                <w:spacing w:val="1"/>
              </w:rPr>
              <w:t>S207</w:t>
            </w:r>
            <w:r>
              <w:rPr>
                <w:spacing w:val="-19"/>
              </w:rPr>
              <w:t xml:space="preserve"> </w:t>
            </w:r>
            <w:r>
              <w:rPr>
                <w:rFonts w:ascii="宋体" w:hAnsi="宋体" w:eastAsia="宋体" w:cs="宋体"/>
                <w:spacing w:val="1"/>
              </w:rPr>
              <w:t>、</w:t>
            </w:r>
            <w:r>
              <w:rPr>
                <w:spacing w:val="1"/>
              </w:rPr>
              <w:t>S305</w:t>
            </w:r>
            <w:r>
              <w:rPr>
                <w:spacing w:val="-19"/>
              </w:rPr>
              <w:t xml:space="preserve"> </w:t>
            </w:r>
            <w:r>
              <w:rPr>
                <w:rFonts w:ascii="宋体" w:hAnsi="宋体" w:eastAsia="宋体" w:cs="宋体"/>
                <w:spacing w:val="1"/>
              </w:rPr>
              <w:t>、</w:t>
            </w:r>
            <w:r>
              <w:rPr>
                <w:spacing w:val="1"/>
              </w:rPr>
              <w:t>S306</w:t>
            </w:r>
            <w:r>
              <w:rPr>
                <w:spacing w:val="-19"/>
              </w:rPr>
              <w:t xml:space="preserve"> </w:t>
            </w:r>
            <w:r>
              <w:rPr>
                <w:rFonts w:ascii="宋体" w:hAnsi="宋体" w:eastAsia="宋体" w:cs="宋体"/>
                <w:spacing w:val="1"/>
              </w:rPr>
              <w:t>、</w:t>
            </w:r>
            <w:r>
              <w:rPr>
                <w:spacing w:val="1"/>
              </w:rPr>
              <w:t>S308</w:t>
            </w:r>
            <w:r>
              <w:rPr>
                <w:spacing w:val="-19"/>
              </w:rPr>
              <w:t xml:space="preserve"> </w:t>
            </w:r>
            <w:r>
              <w:rPr>
                <w:rFonts w:ascii="宋体" w:hAnsi="宋体" w:eastAsia="宋体" w:cs="宋体"/>
                <w:spacing w:val="1"/>
              </w:rPr>
              <w:t>、</w:t>
            </w:r>
            <w:r>
              <w:rPr>
                <w:spacing w:val="1"/>
              </w:rPr>
              <w:t>S309</w:t>
            </w:r>
            <w:r>
              <w:rPr>
                <w:rFonts w:ascii="宋体" w:hAnsi="宋体" w:eastAsia="宋体" w:cs="宋体"/>
                <w:spacing w:val="15"/>
              </w:rPr>
              <w:t>等普通国省道低等级路段升级改造；继续推动</w:t>
            </w:r>
            <w:r>
              <w:rPr>
                <w:rFonts w:ascii="宋体" w:hAnsi="宋体" w:eastAsia="宋体" w:cs="宋体"/>
                <w:spacing w:val="14"/>
              </w:rPr>
              <w:t>“</w:t>
            </w:r>
            <w:r>
              <w:rPr>
                <w:rFonts w:ascii="宋体" w:hAnsi="宋体" w:eastAsia="宋体" w:cs="宋体"/>
                <w:spacing w:val="-63"/>
              </w:rPr>
              <w:t xml:space="preserve"> </w:t>
            </w:r>
            <w:r>
              <w:rPr>
                <w:rFonts w:ascii="宋体" w:hAnsi="宋体" w:eastAsia="宋体" w:cs="宋体"/>
                <w:spacing w:val="14"/>
              </w:rPr>
              <w:t>四好农村路</w:t>
            </w:r>
            <w:r>
              <w:rPr>
                <w:rFonts w:ascii="宋体" w:hAnsi="宋体" w:eastAsia="宋体" w:cs="宋体"/>
                <w:spacing w:val="-63"/>
              </w:rPr>
              <w:t xml:space="preserve"> </w:t>
            </w:r>
            <w:r>
              <w:rPr>
                <w:rFonts w:ascii="宋体" w:hAnsi="宋体" w:eastAsia="宋体" w:cs="宋体"/>
                <w:spacing w:val="14"/>
              </w:rPr>
              <w:t>”高质量发展。</w:t>
            </w:r>
          </w:p>
          <w:p w14:paraId="70F2F92D">
            <w:pPr>
              <w:pStyle w:val="6"/>
              <w:spacing w:before="11" w:line="275" w:lineRule="exact"/>
              <w:ind w:left="535"/>
              <w:rPr>
                <w:rFonts w:ascii="宋体" w:hAnsi="宋体" w:eastAsia="宋体" w:cs="宋体"/>
              </w:rPr>
            </w:pPr>
            <w:r>
              <w:rPr>
                <w:spacing w:val="12"/>
                <w:position w:val="1"/>
              </w:rPr>
              <w:t>3.</w:t>
            </w:r>
            <w:r>
              <w:rPr>
                <w:spacing w:val="17"/>
                <w:position w:val="1"/>
              </w:rPr>
              <w:t xml:space="preserve">  </w:t>
            </w:r>
            <w:r>
              <w:rPr>
                <w:rFonts w:ascii="宋体" w:hAnsi="宋体" w:eastAsia="宋体" w:cs="宋体"/>
                <w:spacing w:val="12"/>
                <w:position w:val="1"/>
              </w:rPr>
              <w:t>机场建设工程项目</w:t>
            </w:r>
          </w:p>
          <w:p w14:paraId="29C298B3">
            <w:pPr>
              <w:spacing w:before="242" w:line="351" w:lineRule="auto"/>
              <w:ind w:left="115" w:right="115" w:firstLine="440"/>
              <w:rPr>
                <w:rFonts w:ascii="宋体" w:hAnsi="宋体" w:eastAsia="宋体" w:cs="宋体"/>
                <w:sz w:val="20"/>
                <w:szCs w:val="20"/>
              </w:rPr>
            </w:pPr>
            <w:r>
              <w:rPr>
                <w:rFonts w:ascii="宋体" w:hAnsi="宋体" w:eastAsia="宋体" w:cs="宋体"/>
                <w:spacing w:val="16"/>
                <w:sz w:val="20"/>
                <w:szCs w:val="20"/>
              </w:rPr>
              <w:t>继续推进“十四五</w:t>
            </w:r>
            <w:r>
              <w:rPr>
                <w:rFonts w:ascii="宋体" w:hAnsi="宋体" w:eastAsia="宋体" w:cs="宋体"/>
                <w:spacing w:val="-51"/>
                <w:sz w:val="20"/>
                <w:szCs w:val="20"/>
              </w:rPr>
              <w:t xml:space="preserve"> </w:t>
            </w:r>
            <w:r>
              <w:rPr>
                <w:rFonts w:ascii="宋体" w:hAnsi="宋体" w:eastAsia="宋体" w:cs="宋体"/>
                <w:spacing w:val="16"/>
                <w:sz w:val="20"/>
                <w:szCs w:val="20"/>
              </w:rPr>
              <w:t>”期未完成项目的基础上，适时启动曲靖机场（曲靖西南航空物流</w:t>
            </w:r>
            <w:r>
              <w:rPr>
                <w:rFonts w:ascii="宋体" w:hAnsi="宋体" w:eastAsia="宋体" w:cs="宋体"/>
                <w:spacing w:val="17"/>
                <w:sz w:val="20"/>
                <w:szCs w:val="20"/>
              </w:rPr>
              <w:t>基地）规划建设，有序推动富源、麒麟、师宗、马龙、陆良等一批通用机场建设。</w:t>
            </w:r>
          </w:p>
          <w:p w14:paraId="544AB90F">
            <w:pPr>
              <w:pStyle w:val="6"/>
              <w:spacing w:line="274" w:lineRule="exact"/>
              <w:ind w:left="530"/>
              <w:rPr>
                <w:rFonts w:ascii="宋体" w:hAnsi="宋体" w:eastAsia="宋体" w:cs="宋体"/>
              </w:rPr>
            </w:pPr>
            <w:r>
              <w:rPr>
                <w:spacing w:val="14"/>
                <w:position w:val="1"/>
              </w:rPr>
              <w:t xml:space="preserve">4.  </w:t>
            </w:r>
            <w:r>
              <w:rPr>
                <w:rFonts w:ascii="宋体" w:hAnsi="宋体" w:eastAsia="宋体" w:cs="宋体"/>
                <w:spacing w:val="14"/>
                <w:position w:val="1"/>
              </w:rPr>
              <w:t>水运基础设施建设工程项目</w:t>
            </w:r>
          </w:p>
          <w:p w14:paraId="6825AFEE">
            <w:pPr>
              <w:spacing w:before="240" w:line="228" w:lineRule="auto"/>
              <w:ind w:left="556"/>
              <w:rPr>
                <w:rFonts w:ascii="宋体" w:hAnsi="宋体" w:eastAsia="宋体" w:cs="宋体"/>
                <w:sz w:val="20"/>
                <w:szCs w:val="20"/>
              </w:rPr>
            </w:pPr>
            <w:r>
              <w:rPr>
                <w:rFonts w:ascii="宋体" w:hAnsi="宋体" w:eastAsia="宋体" w:cs="宋体"/>
                <w:spacing w:val="17"/>
                <w:sz w:val="20"/>
                <w:szCs w:val="20"/>
              </w:rPr>
              <w:t>继续推进云南会泽港和罗平、师宗境内便民交通码头（停靠点）建设</w:t>
            </w:r>
            <w:r>
              <w:rPr>
                <w:rFonts w:ascii="宋体" w:hAnsi="宋体" w:eastAsia="宋体" w:cs="宋体"/>
                <w:spacing w:val="16"/>
                <w:sz w:val="20"/>
                <w:szCs w:val="20"/>
              </w:rPr>
              <w:t>和航道整治。</w:t>
            </w:r>
          </w:p>
        </w:tc>
      </w:tr>
    </w:tbl>
    <w:p w14:paraId="51436560">
      <w:pPr>
        <w:pStyle w:val="2"/>
        <w:spacing w:line="267" w:lineRule="auto"/>
      </w:pPr>
    </w:p>
    <w:p w14:paraId="3EB3FADF">
      <w:pPr>
        <w:pStyle w:val="2"/>
        <w:spacing w:line="267" w:lineRule="auto"/>
      </w:pPr>
    </w:p>
    <w:p w14:paraId="2A58C841">
      <w:pPr>
        <w:spacing w:before="101" w:line="228" w:lineRule="auto"/>
        <w:ind w:left="662"/>
        <w:outlineLvl w:val="0"/>
        <w:rPr>
          <w:rFonts w:ascii="黑体" w:hAnsi="黑体" w:eastAsia="黑体" w:cs="黑体"/>
          <w:sz w:val="31"/>
          <w:szCs w:val="31"/>
        </w:rPr>
      </w:pPr>
      <w:bookmarkStart w:id="61" w:name="bookmark50"/>
      <w:bookmarkEnd w:id="61"/>
      <w:bookmarkStart w:id="62" w:name="bookmark51"/>
      <w:bookmarkEnd w:id="62"/>
      <w:r>
        <w:rPr>
          <w:rFonts w:ascii="黑体" w:hAnsi="黑体" w:eastAsia="黑体" w:cs="黑体"/>
          <w:b/>
          <w:bCs/>
          <w:spacing w:val="3"/>
          <w:sz w:val="31"/>
          <w:szCs w:val="31"/>
        </w:rPr>
        <w:t>六、保障措施</w:t>
      </w:r>
    </w:p>
    <w:p w14:paraId="2608A470">
      <w:pPr>
        <w:pStyle w:val="2"/>
        <w:spacing w:line="263" w:lineRule="auto"/>
      </w:pPr>
    </w:p>
    <w:p w14:paraId="7960921A">
      <w:pPr>
        <w:spacing w:before="98" w:line="222" w:lineRule="auto"/>
        <w:ind w:left="635"/>
        <w:outlineLvl w:val="0"/>
        <w:rPr>
          <w:rFonts w:ascii="黑体" w:hAnsi="黑体" w:eastAsia="黑体" w:cs="黑体"/>
          <w:sz w:val="30"/>
          <w:szCs w:val="30"/>
        </w:rPr>
      </w:pPr>
      <w:bookmarkStart w:id="63" w:name="bookmark72"/>
      <w:bookmarkEnd w:id="63"/>
      <w:r>
        <w:rPr>
          <w:rFonts w:ascii="黑体" w:hAnsi="黑体" w:eastAsia="黑体" w:cs="黑体"/>
          <w:spacing w:val="-5"/>
          <w:sz w:val="30"/>
          <w:szCs w:val="30"/>
        </w:rPr>
        <w:t>（一）加强组织管理</w:t>
      </w:r>
    </w:p>
    <w:p w14:paraId="7D41A84A">
      <w:pPr>
        <w:spacing w:before="281" w:line="343" w:lineRule="auto"/>
        <w:ind w:left="8" w:right="77" w:firstLine="562"/>
        <w:rPr>
          <w:rFonts w:ascii="仿宋" w:hAnsi="仿宋" w:eastAsia="仿宋" w:cs="仿宋"/>
          <w:sz w:val="28"/>
          <w:szCs w:val="28"/>
        </w:rPr>
      </w:pPr>
      <w:r>
        <w:rPr>
          <w:rFonts w:ascii="仿宋" w:hAnsi="仿宋" w:eastAsia="仿宋" w:cs="仿宋"/>
          <w:spacing w:val="-2"/>
          <w:sz w:val="28"/>
          <w:szCs w:val="28"/>
        </w:rPr>
        <w:t>全面深化交通运输重点领域和关键环节改革，激发行业内生动</w:t>
      </w:r>
      <w:r>
        <w:rPr>
          <w:rFonts w:ascii="仿宋" w:hAnsi="仿宋" w:eastAsia="仿宋" w:cs="仿宋"/>
          <w:spacing w:val="-3"/>
          <w:sz w:val="28"/>
          <w:szCs w:val="28"/>
        </w:rPr>
        <w:t>力，推动交通运输从高速增长阶段向高质量发展阶段转变。</w:t>
      </w:r>
      <w:r>
        <w:rPr>
          <w:rFonts w:ascii="仿宋" w:hAnsi="仿宋" w:eastAsia="仿宋" w:cs="仿宋"/>
          <w:spacing w:val="-53"/>
          <w:sz w:val="28"/>
          <w:szCs w:val="28"/>
        </w:rPr>
        <w:t xml:space="preserve"> </w:t>
      </w:r>
      <w:r>
        <w:rPr>
          <w:rFonts w:ascii="仿宋" w:hAnsi="仿宋" w:eastAsia="仿宋" w:cs="仿宋"/>
          <w:spacing w:val="-3"/>
          <w:sz w:val="28"/>
          <w:szCs w:val="28"/>
        </w:rPr>
        <w:t>由市政府牵头成立跨部</w:t>
      </w:r>
      <w:r>
        <w:rPr>
          <w:rFonts w:ascii="仿宋" w:hAnsi="仿宋" w:eastAsia="仿宋" w:cs="仿宋"/>
          <w:spacing w:val="-2"/>
          <w:sz w:val="28"/>
          <w:szCs w:val="28"/>
        </w:rPr>
        <w:t>门、多层面的统筹协调领导小组，在规划实施过程中，对重大问题加强统筹</w:t>
      </w:r>
      <w:r>
        <w:rPr>
          <w:rFonts w:ascii="仿宋" w:hAnsi="仿宋" w:eastAsia="仿宋" w:cs="仿宋"/>
          <w:spacing w:val="6"/>
          <w:sz w:val="28"/>
          <w:szCs w:val="28"/>
        </w:rPr>
        <w:t>协调与指导，形成政策合力，保障资金、土地等发展要</w:t>
      </w:r>
      <w:r>
        <w:rPr>
          <w:rFonts w:ascii="仿宋" w:hAnsi="仿宋" w:eastAsia="仿宋" w:cs="仿宋"/>
          <w:spacing w:val="5"/>
          <w:sz w:val="28"/>
          <w:szCs w:val="28"/>
        </w:rPr>
        <w:t>素的有效供给。进</w:t>
      </w:r>
      <w:r>
        <w:rPr>
          <w:rFonts w:ascii="仿宋" w:hAnsi="仿宋" w:eastAsia="仿宋" w:cs="仿宋"/>
          <w:spacing w:val="7"/>
          <w:sz w:val="28"/>
          <w:szCs w:val="28"/>
        </w:rPr>
        <w:t>一步整合交通运输行业政府管理职能，实现机构设置由分</w:t>
      </w:r>
      <w:r>
        <w:rPr>
          <w:rFonts w:ascii="仿宋" w:hAnsi="仿宋" w:eastAsia="仿宋" w:cs="仿宋"/>
          <w:spacing w:val="6"/>
          <w:sz w:val="28"/>
          <w:szCs w:val="28"/>
        </w:rPr>
        <w:t>散向集中转变，</w:t>
      </w:r>
      <w:r>
        <w:rPr>
          <w:rFonts w:ascii="仿宋" w:hAnsi="仿宋" w:eastAsia="仿宋" w:cs="仿宋"/>
          <w:spacing w:val="7"/>
          <w:sz w:val="28"/>
          <w:szCs w:val="28"/>
        </w:rPr>
        <w:t>提高行政效能。优化交通部门职能结构，实行决策权、执</w:t>
      </w:r>
      <w:r>
        <w:rPr>
          <w:rFonts w:ascii="仿宋" w:hAnsi="仿宋" w:eastAsia="仿宋" w:cs="仿宋"/>
          <w:spacing w:val="6"/>
          <w:sz w:val="28"/>
          <w:szCs w:val="28"/>
        </w:rPr>
        <w:t>行权、监督权相</w:t>
      </w:r>
      <w:r>
        <w:rPr>
          <w:rFonts w:ascii="仿宋" w:hAnsi="仿宋" w:eastAsia="仿宋" w:cs="仿宋"/>
          <w:spacing w:val="-1"/>
          <w:sz w:val="28"/>
          <w:szCs w:val="28"/>
        </w:rPr>
        <w:t>互制约又相互协调的管理模式。</w:t>
      </w:r>
    </w:p>
    <w:p w14:paraId="60B25FC3">
      <w:pPr>
        <w:spacing w:before="1" w:line="343" w:lineRule="auto"/>
        <w:ind w:left="10" w:right="77" w:firstLine="559"/>
        <w:jc w:val="both"/>
        <w:rPr>
          <w:rFonts w:ascii="仿宋" w:hAnsi="仿宋" w:eastAsia="仿宋" w:cs="仿宋"/>
          <w:sz w:val="28"/>
          <w:szCs w:val="28"/>
        </w:rPr>
      </w:pPr>
      <w:r>
        <w:rPr>
          <w:rFonts w:ascii="仿宋" w:hAnsi="仿宋" w:eastAsia="仿宋" w:cs="仿宋"/>
          <w:spacing w:val="-2"/>
          <w:sz w:val="28"/>
          <w:szCs w:val="28"/>
        </w:rPr>
        <w:t>做好本规划与国土空间开发、重大产业布局、生态环境建设等规划</w:t>
      </w:r>
      <w:r>
        <w:rPr>
          <w:rFonts w:ascii="仿宋" w:hAnsi="仿宋" w:eastAsia="仿宋" w:cs="仿宋"/>
          <w:spacing w:val="-3"/>
          <w:sz w:val="28"/>
          <w:szCs w:val="28"/>
        </w:rPr>
        <w:t>的衔</w:t>
      </w:r>
      <w:r>
        <w:rPr>
          <w:rFonts w:ascii="仿宋" w:hAnsi="仿宋" w:eastAsia="仿宋" w:cs="仿宋"/>
          <w:spacing w:val="-2"/>
          <w:sz w:val="28"/>
          <w:szCs w:val="28"/>
        </w:rPr>
        <w:t>接，针对重点交通项目建设，由领导小组牵头组织各相关部门负责人共同参与，统一协调交通建设与运营的重大问题。强化本规划对交通运输领域专项规划和县（市、区）规划的指导作用。加强规划实施事中事后监管和动态监</w:t>
      </w:r>
      <w:r>
        <w:rPr>
          <w:rFonts w:ascii="仿宋" w:hAnsi="仿宋" w:eastAsia="仿宋" w:cs="仿宋"/>
          <w:spacing w:val="-1"/>
          <w:sz w:val="28"/>
          <w:szCs w:val="28"/>
        </w:rPr>
        <w:t>测分析，根据规划落实情况及时动态调整。</w:t>
      </w:r>
    </w:p>
    <w:p w14:paraId="2E6EA517">
      <w:pPr>
        <w:spacing w:before="54" w:line="223" w:lineRule="auto"/>
        <w:ind w:left="635"/>
        <w:outlineLvl w:val="0"/>
        <w:rPr>
          <w:rFonts w:ascii="黑体" w:hAnsi="黑体" w:eastAsia="黑体" w:cs="黑体"/>
          <w:sz w:val="30"/>
          <w:szCs w:val="30"/>
        </w:rPr>
      </w:pPr>
      <w:bookmarkStart w:id="64" w:name="bookmark52"/>
      <w:bookmarkEnd w:id="64"/>
      <w:r>
        <w:rPr>
          <w:rFonts w:ascii="黑体" w:hAnsi="黑体" w:eastAsia="黑体" w:cs="黑体"/>
          <w:spacing w:val="-5"/>
          <w:sz w:val="30"/>
          <w:szCs w:val="30"/>
        </w:rPr>
        <w:t>（二）加强用地保障</w:t>
      </w:r>
    </w:p>
    <w:p w14:paraId="7DC6AF89">
      <w:pPr>
        <w:spacing w:before="281" w:line="343" w:lineRule="auto"/>
        <w:ind w:left="10" w:right="77" w:firstLine="558"/>
        <w:jc w:val="both"/>
        <w:rPr>
          <w:rFonts w:ascii="仿宋" w:hAnsi="仿宋" w:eastAsia="仿宋" w:cs="仿宋"/>
          <w:sz w:val="28"/>
          <w:szCs w:val="28"/>
        </w:rPr>
      </w:pPr>
      <w:r>
        <w:rPr>
          <w:rFonts w:ascii="仿宋" w:hAnsi="仿宋" w:eastAsia="仿宋" w:cs="仿宋"/>
          <w:spacing w:val="-2"/>
          <w:sz w:val="28"/>
          <w:szCs w:val="28"/>
        </w:rPr>
        <w:t>根据交通基础设施建设发展的客观实际需求，落实和完善支持综合交通发展的用地政策和用地标准。在处理好综合交通建设与“三区三线”空间管控关系的基础上，加强交通基础设施建设用地需求的统筹平衡，提前做好建设用地的预留和控制。加强各种运输方式的资源共享、通道线路集中布局和</w:t>
      </w:r>
    </w:p>
    <w:p w14:paraId="0C05CEE5">
      <w:pPr>
        <w:spacing w:line="343" w:lineRule="auto"/>
        <w:rPr>
          <w:rFonts w:ascii="仿宋" w:hAnsi="仿宋" w:eastAsia="仿宋" w:cs="仿宋"/>
          <w:sz w:val="28"/>
          <w:szCs w:val="28"/>
        </w:rPr>
        <w:sectPr>
          <w:headerReference r:id="rId135" w:type="default"/>
          <w:footerReference r:id="rId136" w:type="default"/>
          <w:pgSz w:w="11906" w:h="16839"/>
          <w:pgMar w:top="1222" w:right="1054" w:bottom="1156" w:left="1587" w:header="885" w:footer="920" w:gutter="0"/>
          <w:cols w:space="720" w:num="1"/>
        </w:sectPr>
      </w:pPr>
    </w:p>
    <w:p w14:paraId="0CC11D52">
      <w:pPr>
        <w:pStyle w:val="2"/>
        <w:spacing w:line="283" w:lineRule="auto"/>
      </w:pPr>
    </w:p>
    <w:p w14:paraId="6E3326ED">
      <w:pPr>
        <w:spacing w:before="91" w:line="343" w:lineRule="auto"/>
        <w:ind w:left="6" w:firstLine="6"/>
        <w:rPr>
          <w:rFonts w:ascii="仿宋" w:hAnsi="仿宋" w:eastAsia="仿宋" w:cs="仿宋"/>
          <w:sz w:val="28"/>
          <w:szCs w:val="28"/>
        </w:rPr>
      </w:pPr>
      <w:r>
        <w:rPr>
          <w:rFonts w:ascii="仿宋" w:hAnsi="仿宋" w:eastAsia="仿宋" w:cs="仿宋"/>
          <w:spacing w:val="-2"/>
          <w:sz w:val="28"/>
          <w:szCs w:val="28"/>
        </w:rPr>
        <w:t>土地空间综合利用，最大程度地节约土地资源。各县（市、区）需在此</w:t>
      </w:r>
      <w:r>
        <w:rPr>
          <w:rFonts w:ascii="仿宋" w:hAnsi="仿宋" w:eastAsia="仿宋" w:cs="仿宋"/>
          <w:spacing w:val="-3"/>
          <w:sz w:val="28"/>
          <w:szCs w:val="28"/>
        </w:rPr>
        <w:t>基础</w:t>
      </w:r>
      <w:r>
        <w:rPr>
          <w:rFonts w:ascii="仿宋" w:hAnsi="仿宋" w:eastAsia="仿宋" w:cs="仿宋"/>
          <w:spacing w:val="-8"/>
          <w:sz w:val="28"/>
          <w:szCs w:val="28"/>
        </w:rPr>
        <w:t>上做好交通基础设施国土空间规划，进一步论证线路走向、场站布局等问题，</w:t>
      </w:r>
      <w:r>
        <w:rPr>
          <w:rFonts w:ascii="仿宋" w:hAnsi="仿宋" w:eastAsia="仿宋" w:cs="仿宋"/>
          <w:sz w:val="28"/>
          <w:szCs w:val="28"/>
        </w:rPr>
        <w:t>使得规划方案能够落到实处。城市公共交通场站用地纳入</w:t>
      </w:r>
      <w:r>
        <w:rPr>
          <w:rFonts w:ascii="仿宋" w:hAnsi="仿宋" w:eastAsia="仿宋" w:cs="仿宋"/>
          <w:spacing w:val="-1"/>
          <w:sz w:val="28"/>
          <w:szCs w:val="28"/>
        </w:rPr>
        <w:t>土地利用总体规</w:t>
      </w:r>
      <w:r>
        <w:rPr>
          <w:rFonts w:ascii="仿宋" w:hAnsi="仿宋" w:eastAsia="仿宋" w:cs="仿宋"/>
          <w:sz w:val="28"/>
          <w:szCs w:val="28"/>
        </w:rPr>
        <w:t xml:space="preserve"> </w:t>
      </w:r>
      <w:r>
        <w:rPr>
          <w:rFonts w:ascii="仿宋" w:hAnsi="仿宋" w:eastAsia="仿宋" w:cs="仿宋"/>
          <w:spacing w:val="-2"/>
          <w:sz w:val="28"/>
          <w:szCs w:val="28"/>
        </w:rPr>
        <w:t>划，符合《划拨用地目录》的，以划拨方式供地；对新建公共交通设施用地</w:t>
      </w:r>
      <w:r>
        <w:rPr>
          <w:rFonts w:ascii="仿宋" w:hAnsi="仿宋" w:eastAsia="仿宋" w:cs="仿宋"/>
          <w:spacing w:val="-8"/>
          <w:sz w:val="28"/>
          <w:szCs w:val="28"/>
        </w:rPr>
        <w:t>的地上、地下空间，按照市场化原则实施土地综合开发；保障公交场站用地，</w:t>
      </w:r>
      <w:r>
        <w:rPr>
          <w:rFonts w:ascii="仿宋" w:hAnsi="仿宋" w:eastAsia="仿宋" w:cs="仿宋"/>
          <w:spacing w:val="-2"/>
          <w:sz w:val="28"/>
          <w:szCs w:val="28"/>
        </w:rPr>
        <w:t>在城市道路(绿地)新建、改造中要预留港湾式公交站及枢纽换乘站等公交设</w:t>
      </w:r>
      <w:bookmarkStart w:id="65" w:name="bookmark53"/>
      <w:bookmarkEnd w:id="65"/>
      <w:r>
        <w:rPr>
          <w:rFonts w:ascii="仿宋" w:hAnsi="仿宋" w:eastAsia="仿宋" w:cs="仿宋"/>
          <w:spacing w:val="-2"/>
          <w:sz w:val="28"/>
          <w:szCs w:val="28"/>
        </w:rPr>
        <w:t>施用地。</w:t>
      </w:r>
    </w:p>
    <w:p w14:paraId="38A71416">
      <w:pPr>
        <w:spacing w:before="45" w:line="222" w:lineRule="auto"/>
        <w:ind w:left="635"/>
        <w:outlineLvl w:val="0"/>
        <w:rPr>
          <w:rFonts w:ascii="黑体" w:hAnsi="黑体" w:eastAsia="黑体" w:cs="黑体"/>
          <w:sz w:val="30"/>
          <w:szCs w:val="30"/>
        </w:rPr>
      </w:pPr>
      <w:bookmarkStart w:id="66" w:name="bookmark73"/>
      <w:bookmarkEnd w:id="66"/>
      <w:r>
        <w:rPr>
          <w:rFonts w:ascii="黑体" w:hAnsi="黑体" w:eastAsia="黑体" w:cs="黑体"/>
          <w:spacing w:val="-5"/>
          <w:sz w:val="30"/>
          <w:szCs w:val="30"/>
        </w:rPr>
        <w:t>（三）加强资金保障</w:t>
      </w:r>
    </w:p>
    <w:p w14:paraId="4C84BB8A">
      <w:pPr>
        <w:spacing w:before="289" w:line="343" w:lineRule="auto"/>
        <w:ind w:left="7" w:firstLine="566"/>
        <w:jc w:val="both"/>
        <w:rPr>
          <w:rFonts w:ascii="仿宋" w:hAnsi="仿宋" w:eastAsia="仿宋" w:cs="仿宋"/>
          <w:sz w:val="28"/>
          <w:szCs w:val="28"/>
        </w:rPr>
      </w:pPr>
      <w:r>
        <w:rPr>
          <w:rFonts w:ascii="仿宋" w:hAnsi="仿宋" w:eastAsia="仿宋" w:cs="仿宋"/>
          <w:sz w:val="28"/>
          <w:szCs w:val="28"/>
        </w:rPr>
        <w:t>积极争取国家、省上对曲靖市交通建设的资金支持，建议在政策支持、</w:t>
      </w:r>
      <w:r>
        <w:rPr>
          <w:rFonts w:ascii="仿宋" w:hAnsi="仿宋" w:eastAsia="仿宋" w:cs="仿宋"/>
          <w:spacing w:val="-2"/>
          <w:sz w:val="28"/>
          <w:szCs w:val="28"/>
        </w:rPr>
        <w:t>资金投入等方面给予更大的倾斜。积极争取“一带一路”、西部大开发财政倾斜和税收优惠政策，全面落实国家结构性减税、企业技术创新等各项税收优惠政策，支持优先用于交通基础设施项目建设。进一步研究出台更加优惠的政策，简化项目建设的审批程序，落实地方政府的配套支持政策及财政预</w:t>
      </w:r>
      <w:r>
        <w:rPr>
          <w:rFonts w:ascii="仿宋" w:hAnsi="仿宋" w:eastAsia="仿宋" w:cs="仿宋"/>
          <w:sz w:val="28"/>
          <w:szCs w:val="28"/>
        </w:rPr>
        <w:t>算中用于交通建设发展的支持资金。贯彻落实深化投融资体制改革的意见，</w:t>
      </w:r>
      <w:r>
        <w:rPr>
          <w:rFonts w:ascii="仿宋" w:hAnsi="仿宋" w:eastAsia="仿宋" w:cs="仿宋"/>
          <w:spacing w:val="-8"/>
          <w:sz w:val="28"/>
          <w:szCs w:val="28"/>
        </w:rPr>
        <w:t>优化政府投资安排方式，防范和化解地方政府债务风险。优化财政投入结构，</w:t>
      </w:r>
      <w:r>
        <w:rPr>
          <w:rFonts w:ascii="仿宋" w:hAnsi="仿宋" w:eastAsia="仿宋" w:cs="仿宋"/>
          <w:spacing w:val="-2"/>
          <w:sz w:val="28"/>
          <w:szCs w:val="28"/>
        </w:rPr>
        <w:t>强化资本金注入，增加发行地方政府专项债券及项目配套融资。加大招商引资力度，鼓励和激发民间资金投入交通基础设施建设。完善政府和社会资本合作模式为基本路径，继续探索采用合资经营、合作经营、转让经营权等多</w:t>
      </w:r>
      <w:r>
        <w:rPr>
          <w:rFonts w:ascii="仿宋" w:hAnsi="仿宋" w:eastAsia="仿宋" w:cs="仿宋"/>
          <w:sz w:val="28"/>
          <w:szCs w:val="28"/>
        </w:rPr>
        <w:t>种方式，合法合规推进</w:t>
      </w:r>
      <w:r>
        <w:rPr>
          <w:rFonts w:ascii="仿宋" w:hAnsi="仿宋" w:eastAsia="仿宋" w:cs="仿宋"/>
          <w:spacing w:val="-60"/>
          <w:sz w:val="28"/>
          <w:szCs w:val="28"/>
        </w:rPr>
        <w:t xml:space="preserve"> </w:t>
      </w:r>
      <w:r>
        <w:rPr>
          <w:rFonts w:ascii="仿宋" w:hAnsi="仿宋" w:eastAsia="仿宋" w:cs="仿宋"/>
          <w:sz w:val="28"/>
          <w:szCs w:val="28"/>
        </w:rPr>
        <w:t>PPP</w:t>
      </w:r>
      <w:r>
        <w:rPr>
          <w:rFonts w:ascii="仿宋" w:hAnsi="仿宋" w:eastAsia="仿宋" w:cs="仿宋"/>
          <w:spacing w:val="-64"/>
          <w:sz w:val="28"/>
          <w:szCs w:val="28"/>
        </w:rPr>
        <w:t xml:space="preserve"> </w:t>
      </w:r>
      <w:r>
        <w:rPr>
          <w:rFonts w:ascii="仿宋" w:hAnsi="仿宋" w:eastAsia="仿宋" w:cs="仿宋"/>
          <w:sz w:val="28"/>
          <w:szCs w:val="28"/>
        </w:rPr>
        <w:t>模式，加快构建完善主体多元化、渠道</w:t>
      </w:r>
      <w:r>
        <w:rPr>
          <w:rFonts w:ascii="仿宋" w:hAnsi="仿宋" w:eastAsia="仿宋" w:cs="仿宋"/>
          <w:spacing w:val="-1"/>
          <w:sz w:val="28"/>
          <w:szCs w:val="28"/>
        </w:rPr>
        <w:t>多样化、</w:t>
      </w:r>
      <w:r>
        <w:rPr>
          <w:rFonts w:ascii="仿宋" w:hAnsi="仿宋" w:eastAsia="仿宋" w:cs="仿宋"/>
          <w:spacing w:val="-2"/>
          <w:sz w:val="28"/>
          <w:szCs w:val="28"/>
        </w:rPr>
        <w:t>机制市场化的交通投融资新体制，引领社会资本参与曲靖市重大交通项目建</w:t>
      </w:r>
      <w:bookmarkStart w:id="67" w:name="bookmark54"/>
      <w:bookmarkEnd w:id="67"/>
      <w:r>
        <w:rPr>
          <w:rFonts w:ascii="仿宋" w:hAnsi="仿宋" w:eastAsia="仿宋" w:cs="仿宋"/>
          <w:spacing w:val="-4"/>
          <w:sz w:val="28"/>
          <w:szCs w:val="28"/>
        </w:rPr>
        <w:t>设。</w:t>
      </w:r>
    </w:p>
    <w:p w14:paraId="3BD6755F">
      <w:pPr>
        <w:spacing w:before="48" w:line="222" w:lineRule="auto"/>
        <w:ind w:left="635"/>
        <w:outlineLvl w:val="0"/>
        <w:rPr>
          <w:rFonts w:ascii="黑体" w:hAnsi="黑体" w:eastAsia="黑体" w:cs="黑体"/>
          <w:sz w:val="30"/>
          <w:szCs w:val="30"/>
        </w:rPr>
      </w:pPr>
      <w:bookmarkStart w:id="68" w:name="bookmark74"/>
      <w:bookmarkEnd w:id="68"/>
      <w:r>
        <w:rPr>
          <w:rFonts w:ascii="黑体" w:hAnsi="黑体" w:eastAsia="黑体" w:cs="黑体"/>
          <w:spacing w:val="-5"/>
          <w:sz w:val="30"/>
          <w:szCs w:val="30"/>
        </w:rPr>
        <w:t>（四）加强项目管理</w:t>
      </w:r>
    </w:p>
    <w:p w14:paraId="7767E7CD">
      <w:pPr>
        <w:spacing w:before="285" w:line="343" w:lineRule="auto"/>
        <w:ind w:left="7" w:right="71" w:firstLine="559"/>
        <w:jc w:val="both"/>
        <w:rPr>
          <w:rFonts w:ascii="仿宋" w:hAnsi="仿宋" w:eastAsia="仿宋" w:cs="仿宋"/>
          <w:sz w:val="28"/>
          <w:szCs w:val="28"/>
        </w:rPr>
      </w:pPr>
      <w:r>
        <w:rPr>
          <w:rFonts w:ascii="仿宋" w:hAnsi="仿宋" w:eastAsia="仿宋" w:cs="仿宋"/>
          <w:spacing w:val="-2"/>
          <w:sz w:val="28"/>
          <w:szCs w:val="28"/>
        </w:rPr>
        <w:t>健全完善监督考核机制，将重点项目建设完成情况纳入县（市、区）人民政府年度综合考评范围，确保项目顺利推进。进一步优化项目审批流程、精简审批事项，缩短审批时间，加强事中事后监管。按照国务院关于中期财政规划管理的要求，编制三年滚动行动计划和方案，结合目标执行情况、需</w:t>
      </w:r>
    </w:p>
    <w:p w14:paraId="573338EE">
      <w:pPr>
        <w:spacing w:line="343" w:lineRule="auto"/>
        <w:rPr>
          <w:rFonts w:ascii="仿宋" w:hAnsi="仿宋" w:eastAsia="仿宋" w:cs="仿宋"/>
          <w:sz w:val="28"/>
          <w:szCs w:val="28"/>
        </w:rPr>
        <w:sectPr>
          <w:headerReference r:id="rId137" w:type="default"/>
          <w:footerReference r:id="rId138" w:type="default"/>
          <w:pgSz w:w="11906" w:h="16839"/>
          <w:pgMar w:top="1222" w:right="1510" w:bottom="1156" w:left="1134" w:header="885" w:footer="920" w:gutter="0"/>
          <w:cols w:space="720" w:num="1"/>
        </w:sectPr>
      </w:pPr>
    </w:p>
    <w:p w14:paraId="12107DA0">
      <w:pPr>
        <w:pStyle w:val="2"/>
        <w:spacing w:line="277" w:lineRule="auto"/>
      </w:pPr>
    </w:p>
    <w:p w14:paraId="0DE836A2">
      <w:pPr>
        <w:spacing w:before="91" w:line="344" w:lineRule="auto"/>
        <w:ind w:left="17" w:right="74" w:firstLine="5"/>
        <w:jc w:val="both"/>
        <w:rPr>
          <w:rFonts w:ascii="仿宋" w:hAnsi="仿宋" w:eastAsia="仿宋" w:cs="仿宋"/>
          <w:sz w:val="28"/>
          <w:szCs w:val="28"/>
        </w:rPr>
      </w:pPr>
      <w:r>
        <w:rPr>
          <w:rFonts w:ascii="仿宋" w:hAnsi="仿宋" w:eastAsia="仿宋" w:cs="仿宋"/>
          <w:spacing w:val="-2"/>
          <w:sz w:val="28"/>
          <w:szCs w:val="28"/>
        </w:rPr>
        <w:t>求变化及前期工作推进情况动态编报年度投资计划。建立</w:t>
      </w:r>
      <w:r>
        <w:rPr>
          <w:rFonts w:ascii="仿宋" w:hAnsi="仿宋" w:eastAsia="仿宋" w:cs="仿宋"/>
          <w:spacing w:val="-3"/>
          <w:sz w:val="28"/>
          <w:szCs w:val="28"/>
        </w:rPr>
        <w:t>和完善高速公路、</w:t>
      </w:r>
      <w:r>
        <w:rPr>
          <w:rFonts w:ascii="仿宋" w:hAnsi="仿宋" w:eastAsia="仿宋" w:cs="仿宋"/>
          <w:spacing w:val="-2"/>
          <w:sz w:val="28"/>
          <w:szCs w:val="28"/>
        </w:rPr>
        <w:t>普通国省道、农村公路规划管理系统，利用地理信息平台进一</w:t>
      </w:r>
      <w:r>
        <w:rPr>
          <w:rFonts w:ascii="仿宋" w:hAnsi="仿宋" w:eastAsia="仿宋" w:cs="仿宋"/>
          <w:spacing w:val="-3"/>
          <w:sz w:val="28"/>
          <w:szCs w:val="28"/>
        </w:rPr>
        <w:t>步提高规划决</w:t>
      </w:r>
      <w:r>
        <w:rPr>
          <w:rFonts w:ascii="仿宋" w:hAnsi="仿宋" w:eastAsia="仿宋" w:cs="仿宋"/>
          <w:spacing w:val="-2"/>
          <w:sz w:val="28"/>
          <w:szCs w:val="28"/>
        </w:rPr>
        <w:t>策和项目管理水平。加强造价管理，合理控制项目投资，有效</w:t>
      </w:r>
      <w:r>
        <w:rPr>
          <w:rFonts w:ascii="仿宋" w:hAnsi="仿宋" w:eastAsia="仿宋" w:cs="仿宋"/>
          <w:spacing w:val="-3"/>
          <w:sz w:val="28"/>
          <w:szCs w:val="28"/>
        </w:rPr>
        <w:t>提升资金使用</w:t>
      </w:r>
      <w:bookmarkStart w:id="69" w:name="bookmark55"/>
      <w:bookmarkEnd w:id="69"/>
      <w:r>
        <w:rPr>
          <w:rFonts w:ascii="仿宋" w:hAnsi="仿宋" w:eastAsia="仿宋" w:cs="仿宋"/>
          <w:spacing w:val="-6"/>
          <w:sz w:val="28"/>
          <w:szCs w:val="28"/>
        </w:rPr>
        <w:t>效率。</w:t>
      </w:r>
    </w:p>
    <w:p w14:paraId="30222863">
      <w:pPr>
        <w:spacing w:before="47" w:line="221" w:lineRule="auto"/>
        <w:ind w:left="635"/>
        <w:outlineLvl w:val="1"/>
        <w:rPr>
          <w:rFonts w:ascii="黑体" w:hAnsi="黑体" w:eastAsia="黑体" w:cs="黑体"/>
          <w:sz w:val="30"/>
          <w:szCs w:val="30"/>
        </w:rPr>
      </w:pPr>
      <w:bookmarkStart w:id="70" w:name="bookmark75"/>
      <w:bookmarkEnd w:id="70"/>
      <w:r>
        <w:rPr>
          <w:rFonts w:ascii="黑体" w:hAnsi="黑体" w:eastAsia="黑体" w:cs="黑体"/>
          <w:spacing w:val="-5"/>
          <w:sz w:val="30"/>
          <w:szCs w:val="30"/>
        </w:rPr>
        <w:t>（五）加强人才培养</w:t>
      </w:r>
    </w:p>
    <w:p w14:paraId="726E5257">
      <w:pPr>
        <w:spacing w:before="286" w:line="343" w:lineRule="auto"/>
        <w:ind w:left="1" w:right="77" w:firstLine="570"/>
        <w:jc w:val="both"/>
        <w:rPr>
          <w:rFonts w:ascii="仿宋" w:hAnsi="仿宋" w:eastAsia="仿宋" w:cs="仿宋"/>
          <w:sz w:val="28"/>
          <w:szCs w:val="28"/>
        </w:rPr>
      </w:pPr>
      <w:r>
        <w:rPr>
          <w:rFonts w:ascii="仿宋" w:hAnsi="仿宋" w:eastAsia="仿宋" w:cs="仿宋"/>
          <w:spacing w:val="-2"/>
          <w:sz w:val="28"/>
          <w:szCs w:val="28"/>
        </w:rPr>
        <w:t>优化完善交通人力资源保障体系和人才双向流动政策，构建</w:t>
      </w:r>
      <w:r>
        <w:rPr>
          <w:rFonts w:ascii="仿宋" w:hAnsi="仿宋" w:eastAsia="仿宋" w:cs="仿宋"/>
          <w:spacing w:val="-3"/>
          <w:sz w:val="28"/>
          <w:szCs w:val="28"/>
        </w:rPr>
        <w:t>更灵活、更</w:t>
      </w:r>
      <w:r>
        <w:rPr>
          <w:rFonts w:ascii="仿宋" w:hAnsi="仿宋" w:eastAsia="仿宋" w:cs="仿宋"/>
          <w:spacing w:val="-2"/>
          <w:sz w:val="28"/>
          <w:szCs w:val="28"/>
        </w:rPr>
        <w:t>有效的人才管理机制。优化调整现有交通运输专业人才结构，拓展交通服务领域的高端人才；加强复杂地形条件下综合交通运输网建设技术、生态交通网建设技术、智能化信息化技术、交通运输网养护前沿技术等专业人才的培养引进，加强对复合型综合交通管理人才的培养引进，积极营造人才成长的环境，逐步形成一支高素质、高层次的专业人才队伍，为新时代曲靖市综合交通运输发展提供智力支撑。鼓励科技人才从基层干起，建立源于基层的人才选拔机制。加强与高等院校、科研单位的科技合作和交流，搭建科技人才</w:t>
      </w:r>
      <w:r>
        <w:rPr>
          <w:rFonts w:ascii="仿宋" w:hAnsi="仿宋" w:eastAsia="仿宋" w:cs="仿宋"/>
          <w:sz w:val="28"/>
          <w:szCs w:val="28"/>
        </w:rPr>
        <w:t>服务曲靖交通实践的平台，以解决交通运输生产中的工程技术问</w:t>
      </w:r>
      <w:r>
        <w:rPr>
          <w:rFonts w:ascii="仿宋" w:hAnsi="仿宋" w:eastAsia="仿宋" w:cs="仿宋"/>
          <w:spacing w:val="-1"/>
          <w:sz w:val="28"/>
          <w:szCs w:val="28"/>
        </w:rPr>
        <w:t>题。</w:t>
      </w:r>
    </w:p>
    <w:p w14:paraId="7DC2B881">
      <w:pPr>
        <w:spacing w:before="140" w:line="227" w:lineRule="auto"/>
        <w:ind w:left="651"/>
        <w:outlineLvl w:val="0"/>
        <w:rPr>
          <w:rFonts w:ascii="黑体" w:hAnsi="黑体" w:eastAsia="黑体" w:cs="黑体"/>
          <w:sz w:val="31"/>
          <w:szCs w:val="31"/>
        </w:rPr>
      </w:pPr>
      <w:bookmarkStart w:id="71" w:name="bookmark57"/>
      <w:bookmarkEnd w:id="71"/>
      <w:bookmarkStart w:id="72" w:name="bookmark56"/>
      <w:bookmarkEnd w:id="72"/>
      <w:r>
        <w:rPr>
          <w:rFonts w:ascii="黑体" w:hAnsi="黑体" w:eastAsia="黑体" w:cs="黑体"/>
          <w:b/>
          <w:bCs/>
          <w:spacing w:val="6"/>
          <w:sz w:val="31"/>
          <w:szCs w:val="31"/>
        </w:rPr>
        <w:t>七、环境影响及对策</w:t>
      </w:r>
    </w:p>
    <w:p w14:paraId="4D53C447">
      <w:pPr>
        <w:pStyle w:val="2"/>
        <w:spacing w:line="267" w:lineRule="auto"/>
      </w:pPr>
    </w:p>
    <w:p w14:paraId="4139D38F">
      <w:pPr>
        <w:spacing w:before="97" w:line="222" w:lineRule="auto"/>
        <w:ind w:left="635"/>
        <w:outlineLvl w:val="1"/>
        <w:rPr>
          <w:rFonts w:ascii="黑体" w:hAnsi="黑体" w:eastAsia="黑体" w:cs="黑体"/>
          <w:sz w:val="30"/>
          <w:szCs w:val="30"/>
        </w:rPr>
      </w:pPr>
      <w:bookmarkStart w:id="73" w:name="bookmark76"/>
      <w:bookmarkEnd w:id="73"/>
      <w:r>
        <w:rPr>
          <w:rFonts w:ascii="黑体" w:hAnsi="黑体" w:eastAsia="黑体" w:cs="黑体"/>
          <w:spacing w:val="-3"/>
          <w:sz w:val="30"/>
          <w:szCs w:val="30"/>
        </w:rPr>
        <w:t>（一）规划实施环境影响分析</w:t>
      </w:r>
    </w:p>
    <w:p w14:paraId="25977DCF">
      <w:pPr>
        <w:spacing w:before="287" w:line="343" w:lineRule="auto"/>
        <w:ind w:left="12" w:right="77" w:firstLine="559"/>
        <w:jc w:val="both"/>
        <w:rPr>
          <w:rFonts w:ascii="仿宋" w:hAnsi="仿宋" w:eastAsia="仿宋" w:cs="仿宋"/>
          <w:sz w:val="28"/>
          <w:szCs w:val="28"/>
        </w:rPr>
      </w:pPr>
      <w:r>
        <w:rPr>
          <w:rFonts w:ascii="仿宋" w:hAnsi="仿宋" w:eastAsia="仿宋" w:cs="仿宋"/>
          <w:spacing w:val="-2"/>
          <w:sz w:val="28"/>
          <w:szCs w:val="28"/>
        </w:rPr>
        <w:t>本规划实施不可避免地会对环境产生影响，主要体现在资源</w:t>
      </w:r>
      <w:r>
        <w:rPr>
          <w:rFonts w:ascii="仿宋" w:hAnsi="仿宋" w:eastAsia="仿宋" w:cs="仿宋"/>
          <w:spacing w:val="-3"/>
          <w:sz w:val="28"/>
          <w:szCs w:val="28"/>
        </w:rPr>
        <w:t>占用、生态</w:t>
      </w:r>
      <w:r>
        <w:rPr>
          <w:rFonts w:ascii="仿宋" w:hAnsi="仿宋" w:eastAsia="仿宋" w:cs="仿宋"/>
          <w:spacing w:val="-2"/>
          <w:sz w:val="28"/>
          <w:szCs w:val="28"/>
        </w:rPr>
        <w:t>影响、污染排放和社会经济影响等四个方面。交通基础设施建设和运营会消耗土地和大量物资资源，并可能会对局部生态环境产生影响。同时</w:t>
      </w:r>
      <w:r>
        <w:rPr>
          <w:rFonts w:ascii="仿宋" w:hAnsi="仿宋" w:eastAsia="仿宋" w:cs="仿宋"/>
          <w:spacing w:val="-3"/>
          <w:sz w:val="28"/>
          <w:szCs w:val="28"/>
        </w:rPr>
        <w:t>，运输装</w:t>
      </w:r>
      <w:r>
        <w:rPr>
          <w:rFonts w:ascii="仿宋" w:hAnsi="仿宋" w:eastAsia="仿宋" w:cs="仿宋"/>
          <w:spacing w:val="-2"/>
          <w:sz w:val="28"/>
          <w:szCs w:val="28"/>
        </w:rPr>
        <w:t>备运营和服务系统运行向周边环境排放废气、污水、噪声和固体废物等污染物，在一定程度上会对环境产生影响。在规划实施期间，要严格控制好新增</w:t>
      </w:r>
      <w:r>
        <w:rPr>
          <w:rFonts w:ascii="仿宋" w:hAnsi="仿宋" w:eastAsia="仿宋" w:cs="仿宋"/>
          <w:spacing w:val="-1"/>
          <w:sz w:val="28"/>
          <w:szCs w:val="28"/>
        </w:rPr>
        <w:t>交通用地、能源消耗、新增二氧化碳(CO)排放等指标。</w:t>
      </w:r>
    </w:p>
    <w:p w14:paraId="447207EE">
      <w:pPr>
        <w:spacing w:before="49" w:line="222" w:lineRule="auto"/>
        <w:ind w:left="635"/>
        <w:outlineLvl w:val="1"/>
        <w:rPr>
          <w:rFonts w:ascii="黑体" w:hAnsi="黑体" w:eastAsia="黑体" w:cs="黑体"/>
          <w:sz w:val="30"/>
          <w:szCs w:val="30"/>
        </w:rPr>
      </w:pPr>
      <w:bookmarkStart w:id="74" w:name="bookmark58"/>
      <w:bookmarkEnd w:id="74"/>
      <w:r>
        <w:rPr>
          <w:rFonts w:ascii="黑体" w:hAnsi="黑体" w:eastAsia="黑体" w:cs="黑体"/>
          <w:spacing w:val="-3"/>
          <w:sz w:val="30"/>
          <w:szCs w:val="30"/>
        </w:rPr>
        <w:t>（二）规划实施环境影响评价</w:t>
      </w:r>
    </w:p>
    <w:p w14:paraId="6FC2C2F2">
      <w:pPr>
        <w:spacing w:before="286" w:line="344" w:lineRule="auto"/>
        <w:ind w:left="19" w:right="86" w:firstLine="567"/>
        <w:rPr>
          <w:rFonts w:ascii="仿宋" w:hAnsi="仿宋" w:eastAsia="仿宋" w:cs="仿宋"/>
          <w:sz w:val="28"/>
          <w:szCs w:val="28"/>
        </w:rPr>
      </w:pPr>
      <w:r>
        <w:rPr>
          <w:rFonts w:ascii="仿宋" w:hAnsi="仿宋" w:eastAsia="仿宋" w:cs="仿宋"/>
          <w:spacing w:val="6"/>
          <w:sz w:val="28"/>
          <w:szCs w:val="28"/>
        </w:rPr>
        <w:t>本规划与国家、省级及市级相关政策和发展战略规划相一致。规划编制以建设人民满意交通为宗旨，以深化供给侧结构性改革和高质量发展为</w:t>
      </w:r>
    </w:p>
    <w:p w14:paraId="6ECF4DF5">
      <w:pPr>
        <w:spacing w:line="344" w:lineRule="auto"/>
        <w:rPr>
          <w:rFonts w:ascii="仿宋" w:hAnsi="仿宋" w:eastAsia="仿宋" w:cs="仿宋"/>
          <w:sz w:val="28"/>
          <w:szCs w:val="28"/>
        </w:rPr>
        <w:sectPr>
          <w:headerReference r:id="rId139" w:type="default"/>
          <w:footerReference r:id="rId140" w:type="default"/>
          <w:pgSz w:w="11906" w:h="16839"/>
          <w:pgMar w:top="1222" w:right="1054" w:bottom="1156" w:left="1587" w:header="885" w:footer="920" w:gutter="0"/>
          <w:cols w:space="720" w:num="1"/>
        </w:sectPr>
      </w:pPr>
    </w:p>
    <w:p w14:paraId="77A9B899">
      <w:pPr>
        <w:pStyle w:val="2"/>
        <w:spacing w:line="275" w:lineRule="auto"/>
      </w:pPr>
    </w:p>
    <w:p w14:paraId="2F732060">
      <w:pPr>
        <w:spacing w:before="91" w:line="343" w:lineRule="auto"/>
        <w:ind w:right="168" w:firstLine="22"/>
        <w:rPr>
          <w:rFonts w:ascii="仿宋" w:hAnsi="仿宋" w:eastAsia="仿宋" w:cs="仿宋"/>
          <w:sz w:val="28"/>
          <w:szCs w:val="28"/>
        </w:rPr>
      </w:pPr>
      <w:r>
        <w:rPr>
          <w:rFonts w:ascii="仿宋" w:hAnsi="仿宋" w:eastAsia="仿宋" w:cs="仿宋"/>
          <w:spacing w:val="1"/>
          <w:sz w:val="28"/>
          <w:szCs w:val="28"/>
        </w:rPr>
        <w:t>主线，加快构建便捷安全、经济高效、绿色智能的现代综合交通运输体系，</w:t>
      </w:r>
      <w:r>
        <w:rPr>
          <w:rFonts w:ascii="仿宋" w:hAnsi="仿宋" w:eastAsia="仿宋" w:cs="仿宋"/>
          <w:spacing w:val="3"/>
          <w:sz w:val="28"/>
          <w:szCs w:val="28"/>
        </w:rPr>
        <w:t>为曲靖市实现</w:t>
      </w:r>
      <w:r>
        <w:rPr>
          <w:rFonts w:ascii="仿宋" w:hAnsi="仿宋" w:eastAsia="仿宋" w:cs="仿宋"/>
          <w:spacing w:val="-102"/>
          <w:sz w:val="28"/>
          <w:szCs w:val="28"/>
        </w:rPr>
        <w:t xml:space="preserve"> </w:t>
      </w:r>
      <w:r>
        <w:rPr>
          <w:rFonts w:ascii="仿宋" w:hAnsi="仿宋" w:eastAsia="仿宋" w:cs="仿宋"/>
          <w:spacing w:val="3"/>
          <w:sz w:val="28"/>
          <w:szCs w:val="28"/>
        </w:rPr>
        <w:t>“</w:t>
      </w:r>
      <w:r>
        <w:rPr>
          <w:rFonts w:ascii="仿宋" w:hAnsi="仿宋" w:eastAsia="仿宋" w:cs="仿宋"/>
          <w:spacing w:val="-89"/>
          <w:sz w:val="28"/>
          <w:szCs w:val="28"/>
        </w:rPr>
        <w:t xml:space="preserve"> </w:t>
      </w:r>
      <w:r>
        <w:rPr>
          <w:rFonts w:ascii="仿宋" w:hAnsi="仿宋" w:eastAsia="仿宋" w:cs="仿宋"/>
          <w:spacing w:val="3"/>
          <w:sz w:val="28"/>
          <w:szCs w:val="28"/>
        </w:rPr>
        <w:t>四个定位”</w:t>
      </w:r>
      <w:r>
        <w:rPr>
          <w:rFonts w:ascii="仿宋" w:hAnsi="仿宋" w:eastAsia="仿宋" w:cs="仿宋"/>
          <w:spacing w:val="-99"/>
          <w:sz w:val="28"/>
          <w:szCs w:val="28"/>
        </w:rPr>
        <w:t xml:space="preserve"> </w:t>
      </w:r>
      <w:r>
        <w:rPr>
          <w:rFonts w:ascii="仿宋" w:hAnsi="仿宋" w:eastAsia="仿宋" w:cs="仿宋"/>
          <w:spacing w:val="3"/>
          <w:sz w:val="28"/>
          <w:szCs w:val="28"/>
        </w:rPr>
        <w:t>目标和高质量跨越式发展提</w:t>
      </w:r>
      <w:r>
        <w:rPr>
          <w:rFonts w:ascii="仿宋" w:hAnsi="仿宋" w:eastAsia="仿宋" w:cs="仿宋"/>
          <w:spacing w:val="2"/>
          <w:sz w:val="28"/>
          <w:szCs w:val="28"/>
        </w:rPr>
        <w:t>供坚强支撑。从与</w:t>
      </w:r>
      <w:r>
        <w:rPr>
          <w:rFonts w:ascii="仿宋" w:hAnsi="仿宋" w:eastAsia="仿宋" w:cs="仿宋"/>
          <w:spacing w:val="7"/>
          <w:sz w:val="28"/>
          <w:szCs w:val="28"/>
        </w:rPr>
        <w:t>国家、省级及市级相关规划的符合性看，本规划符合《中华</w:t>
      </w:r>
      <w:r>
        <w:rPr>
          <w:rFonts w:ascii="仿宋" w:hAnsi="仿宋" w:eastAsia="仿宋" w:cs="仿宋"/>
          <w:spacing w:val="6"/>
          <w:sz w:val="28"/>
          <w:szCs w:val="28"/>
        </w:rPr>
        <w:t>人民共和国国</w:t>
      </w:r>
      <w:r>
        <w:rPr>
          <w:rFonts w:ascii="仿宋" w:hAnsi="仿宋" w:eastAsia="仿宋" w:cs="仿宋"/>
          <w:spacing w:val="-2"/>
          <w:sz w:val="28"/>
          <w:szCs w:val="28"/>
        </w:rPr>
        <w:t>民经济和社会发展第十四个五年规划纲要》、《交通强国建设纲要》、《国</w:t>
      </w:r>
      <w:r>
        <w:rPr>
          <w:rFonts w:ascii="仿宋" w:hAnsi="仿宋" w:eastAsia="仿宋" w:cs="仿宋"/>
          <w:spacing w:val="7"/>
          <w:sz w:val="28"/>
          <w:szCs w:val="28"/>
        </w:rPr>
        <w:t>家综合立体交通网规划纲要》、《数字交通发展规划纲要》、《国</w:t>
      </w:r>
      <w:r>
        <w:rPr>
          <w:rFonts w:ascii="仿宋" w:hAnsi="仿宋" w:eastAsia="仿宋" w:cs="仿宋"/>
          <w:spacing w:val="6"/>
          <w:sz w:val="28"/>
          <w:szCs w:val="28"/>
        </w:rPr>
        <w:t>家公路</w:t>
      </w:r>
      <w:r>
        <w:rPr>
          <w:rFonts w:ascii="仿宋" w:hAnsi="仿宋" w:eastAsia="仿宋" w:cs="仿宋"/>
          <w:spacing w:val="7"/>
          <w:sz w:val="28"/>
          <w:szCs w:val="28"/>
        </w:rPr>
        <w:t>网规划》、《中长期铁路网规划》、《国家物流枢纽布局和建设规</w:t>
      </w:r>
      <w:r>
        <w:rPr>
          <w:rFonts w:ascii="仿宋" w:hAnsi="仿宋" w:eastAsia="仿宋" w:cs="仿宋"/>
          <w:spacing w:val="6"/>
          <w:sz w:val="28"/>
          <w:szCs w:val="28"/>
        </w:rPr>
        <w:t>划》及</w:t>
      </w:r>
      <w:r>
        <w:rPr>
          <w:rFonts w:ascii="仿宋" w:hAnsi="仿宋" w:eastAsia="仿宋" w:cs="仿宋"/>
          <w:spacing w:val="7"/>
          <w:sz w:val="28"/>
          <w:szCs w:val="28"/>
        </w:rPr>
        <w:t>《全国民用运输机场布局规划》的指导思想、规划目标和方</w:t>
      </w:r>
      <w:r>
        <w:rPr>
          <w:rFonts w:ascii="仿宋" w:hAnsi="仿宋" w:eastAsia="仿宋" w:cs="仿宋"/>
          <w:spacing w:val="6"/>
          <w:sz w:val="28"/>
          <w:szCs w:val="28"/>
        </w:rPr>
        <w:t>案，符合《云南省国民经济和社会发展第十四个五年规划和</w:t>
      </w:r>
      <w:r>
        <w:rPr>
          <w:rFonts w:hint="eastAsia" w:ascii="仿宋" w:hAnsi="仿宋" w:eastAsia="仿宋" w:cs="仿宋"/>
          <w:spacing w:val="6"/>
          <w:sz w:val="28"/>
          <w:szCs w:val="28"/>
          <w:lang w:eastAsia="zh-CN"/>
        </w:rPr>
        <w:t>二〇三五年远景目标</w:t>
      </w:r>
      <w:r>
        <w:rPr>
          <w:rFonts w:ascii="仿宋" w:hAnsi="仿宋" w:eastAsia="仿宋" w:cs="仿宋"/>
          <w:spacing w:val="6"/>
          <w:sz w:val="28"/>
          <w:szCs w:val="28"/>
        </w:rPr>
        <w:t>纲要》、</w:t>
      </w:r>
      <w:r>
        <w:rPr>
          <w:rFonts w:ascii="仿宋" w:hAnsi="仿宋" w:eastAsia="仿宋" w:cs="仿宋"/>
          <w:spacing w:val="1"/>
          <w:sz w:val="28"/>
          <w:szCs w:val="28"/>
        </w:rPr>
        <w:t xml:space="preserve"> </w:t>
      </w:r>
      <w:r>
        <w:rPr>
          <w:rFonts w:ascii="仿宋" w:hAnsi="仿宋" w:eastAsia="仿宋" w:cs="仿宋"/>
          <w:spacing w:val="10"/>
          <w:sz w:val="28"/>
          <w:szCs w:val="28"/>
        </w:rPr>
        <w:t>《中共云南省委</w:t>
      </w:r>
      <w:r>
        <w:rPr>
          <w:rFonts w:ascii="仿宋" w:hAnsi="仿宋" w:eastAsia="仿宋" w:cs="仿宋"/>
          <w:spacing w:val="43"/>
          <w:sz w:val="28"/>
          <w:szCs w:val="28"/>
        </w:rPr>
        <w:t xml:space="preserve"> </w:t>
      </w:r>
      <w:r>
        <w:rPr>
          <w:rFonts w:ascii="仿宋" w:hAnsi="仿宋" w:eastAsia="仿宋" w:cs="仿宋"/>
          <w:spacing w:val="10"/>
          <w:sz w:val="28"/>
          <w:szCs w:val="28"/>
        </w:rPr>
        <w:t>云南省人民政府关于贯彻落实&lt;交通强国</w:t>
      </w:r>
      <w:r>
        <w:rPr>
          <w:rFonts w:ascii="仿宋" w:hAnsi="仿宋" w:eastAsia="仿宋" w:cs="仿宋"/>
          <w:spacing w:val="9"/>
          <w:sz w:val="28"/>
          <w:szCs w:val="28"/>
        </w:rPr>
        <w:t>建设纲要&gt;的实</w:t>
      </w:r>
      <w:r>
        <w:rPr>
          <w:rFonts w:ascii="仿宋" w:hAnsi="仿宋" w:eastAsia="仿宋" w:cs="仿宋"/>
          <w:spacing w:val="6"/>
          <w:sz w:val="28"/>
          <w:szCs w:val="28"/>
        </w:rPr>
        <w:t>施意见》、《云南省生物多样性保护战略与行动计划（</w:t>
      </w:r>
      <w:r>
        <w:rPr>
          <w:rFonts w:ascii="仿宋" w:hAnsi="仿宋" w:eastAsia="仿宋" w:cs="仿宋"/>
          <w:spacing w:val="-71"/>
          <w:sz w:val="28"/>
          <w:szCs w:val="28"/>
        </w:rPr>
        <w:t xml:space="preserve"> </w:t>
      </w:r>
      <w:r>
        <w:rPr>
          <w:rFonts w:ascii="仿宋" w:hAnsi="仿宋" w:eastAsia="仿宋" w:cs="仿宋"/>
          <w:spacing w:val="6"/>
          <w:sz w:val="28"/>
          <w:szCs w:val="28"/>
        </w:rPr>
        <w:t>2012-203</w:t>
      </w:r>
      <w:r>
        <w:rPr>
          <w:rFonts w:ascii="仿宋" w:hAnsi="仿宋" w:eastAsia="仿宋" w:cs="仿宋"/>
          <w:spacing w:val="5"/>
          <w:sz w:val="28"/>
          <w:szCs w:val="28"/>
        </w:rPr>
        <w:t>0</w:t>
      </w:r>
      <w:r>
        <w:rPr>
          <w:rFonts w:ascii="仿宋" w:hAnsi="仿宋" w:eastAsia="仿宋" w:cs="仿宋"/>
          <w:spacing w:val="-45"/>
          <w:sz w:val="28"/>
          <w:szCs w:val="28"/>
        </w:rPr>
        <w:t xml:space="preserve"> </w:t>
      </w:r>
      <w:r>
        <w:rPr>
          <w:rFonts w:ascii="仿宋" w:hAnsi="仿宋" w:eastAsia="仿宋" w:cs="仿宋"/>
          <w:spacing w:val="5"/>
          <w:sz w:val="28"/>
          <w:szCs w:val="28"/>
        </w:rPr>
        <w:t>年）》</w:t>
      </w:r>
    </w:p>
    <w:p w14:paraId="3922785A">
      <w:pPr>
        <w:spacing w:before="14" w:line="342" w:lineRule="auto"/>
        <w:ind w:firstLine="34"/>
        <w:rPr>
          <w:rFonts w:ascii="仿宋" w:hAnsi="仿宋" w:eastAsia="仿宋" w:cs="仿宋"/>
          <w:sz w:val="28"/>
          <w:szCs w:val="28"/>
        </w:rPr>
      </w:pPr>
      <w:r>
        <w:rPr>
          <w:rFonts w:ascii="仿宋" w:hAnsi="仿宋" w:eastAsia="仿宋" w:cs="仿宋"/>
          <w:spacing w:val="6"/>
          <w:sz w:val="28"/>
          <w:szCs w:val="28"/>
        </w:rPr>
        <w:t>的相关要求，与《云南省综合立体交通网规划纲要》、《云南</w:t>
      </w:r>
      <w:r>
        <w:rPr>
          <w:rFonts w:ascii="仿宋" w:hAnsi="仿宋" w:eastAsia="仿宋" w:cs="仿宋"/>
          <w:spacing w:val="5"/>
          <w:sz w:val="28"/>
          <w:szCs w:val="28"/>
        </w:rPr>
        <w:t>省“十四五”</w:t>
      </w:r>
      <w:r>
        <w:rPr>
          <w:rFonts w:ascii="仿宋" w:hAnsi="仿宋" w:eastAsia="仿宋" w:cs="仿宋"/>
          <w:spacing w:val="4"/>
          <w:sz w:val="28"/>
          <w:szCs w:val="28"/>
        </w:rPr>
        <w:t>综合交通运输发展规划》、《云南省铁路</w:t>
      </w:r>
      <w:r>
        <w:rPr>
          <w:rFonts w:ascii="仿宋" w:hAnsi="仿宋" w:eastAsia="仿宋" w:cs="仿宋"/>
          <w:spacing w:val="-80"/>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十四五”发展规划》、《云南</w:t>
      </w:r>
      <w:r>
        <w:rPr>
          <w:rFonts w:ascii="仿宋" w:hAnsi="仿宋" w:eastAsia="仿宋" w:cs="仿宋"/>
          <w:sz w:val="28"/>
          <w:szCs w:val="28"/>
        </w:rPr>
        <w:t xml:space="preserve"> </w:t>
      </w:r>
      <w:r>
        <w:rPr>
          <w:rFonts w:ascii="仿宋" w:hAnsi="仿宋" w:eastAsia="仿宋" w:cs="仿宋"/>
          <w:spacing w:val="-2"/>
          <w:sz w:val="28"/>
          <w:szCs w:val="28"/>
        </w:rPr>
        <w:t>省公路“十四五”发展规划》、《云南省民航“十四五”发展规划》、《云</w:t>
      </w:r>
      <w:r>
        <w:rPr>
          <w:rFonts w:ascii="仿宋" w:hAnsi="仿宋" w:eastAsia="仿宋" w:cs="仿宋"/>
          <w:spacing w:val="3"/>
          <w:sz w:val="28"/>
          <w:szCs w:val="28"/>
        </w:rPr>
        <w:t xml:space="preserve"> </w:t>
      </w:r>
      <w:r>
        <w:rPr>
          <w:rFonts w:ascii="仿宋" w:hAnsi="仿宋" w:eastAsia="仿宋" w:cs="仿宋"/>
          <w:spacing w:val="5"/>
          <w:sz w:val="28"/>
          <w:szCs w:val="28"/>
        </w:rPr>
        <w:t>南省水路交通</w:t>
      </w:r>
      <w:r>
        <w:rPr>
          <w:rFonts w:ascii="仿宋" w:hAnsi="仿宋" w:eastAsia="仿宋" w:cs="仿宋"/>
          <w:spacing w:val="-82"/>
          <w:sz w:val="28"/>
          <w:szCs w:val="28"/>
        </w:rPr>
        <w:t xml:space="preserve"> </w:t>
      </w:r>
      <w:r>
        <w:rPr>
          <w:rFonts w:ascii="仿宋" w:hAnsi="仿宋" w:eastAsia="仿宋" w:cs="仿宋"/>
          <w:spacing w:val="5"/>
          <w:sz w:val="28"/>
          <w:szCs w:val="28"/>
        </w:rPr>
        <w:t>“十四五”发展规划》及《云南省滇中城市群综合交通中长</w:t>
      </w:r>
      <w:r>
        <w:rPr>
          <w:rFonts w:ascii="仿宋" w:hAnsi="仿宋" w:eastAsia="仿宋" w:cs="仿宋"/>
          <w:sz w:val="28"/>
          <w:szCs w:val="28"/>
        </w:rPr>
        <w:t xml:space="preserve"> </w:t>
      </w:r>
      <w:r>
        <w:rPr>
          <w:rFonts w:ascii="仿宋" w:hAnsi="仿宋" w:eastAsia="仿宋" w:cs="仿宋"/>
          <w:spacing w:val="7"/>
          <w:sz w:val="28"/>
          <w:szCs w:val="28"/>
        </w:rPr>
        <w:t>期发展规划（</w:t>
      </w:r>
      <w:r>
        <w:rPr>
          <w:rFonts w:ascii="仿宋" w:hAnsi="仿宋" w:eastAsia="仿宋" w:cs="仿宋"/>
          <w:spacing w:val="-66"/>
          <w:sz w:val="28"/>
          <w:szCs w:val="28"/>
        </w:rPr>
        <w:t xml:space="preserve"> </w:t>
      </w:r>
      <w:r>
        <w:rPr>
          <w:rFonts w:ascii="仿宋" w:hAnsi="仿宋" w:eastAsia="仿宋" w:cs="仿宋"/>
          <w:spacing w:val="7"/>
          <w:sz w:val="28"/>
          <w:szCs w:val="28"/>
        </w:rPr>
        <w:t>2021-2035</w:t>
      </w:r>
      <w:r>
        <w:rPr>
          <w:rFonts w:ascii="仿宋" w:hAnsi="仿宋" w:eastAsia="仿宋" w:cs="仿宋"/>
          <w:spacing w:val="-46"/>
          <w:sz w:val="28"/>
          <w:szCs w:val="28"/>
        </w:rPr>
        <w:t xml:space="preserve"> </w:t>
      </w:r>
      <w:r>
        <w:rPr>
          <w:rFonts w:ascii="仿宋" w:hAnsi="仿宋" w:eastAsia="仿宋" w:cs="仿宋"/>
          <w:spacing w:val="7"/>
          <w:sz w:val="28"/>
          <w:szCs w:val="28"/>
        </w:rPr>
        <w:t>年）》总体部署相统一，与周边省区</w:t>
      </w:r>
      <w:r>
        <w:rPr>
          <w:rFonts w:ascii="仿宋" w:hAnsi="仿宋" w:eastAsia="仿宋" w:cs="仿宋"/>
          <w:spacing w:val="-92"/>
          <w:sz w:val="28"/>
          <w:szCs w:val="28"/>
        </w:rPr>
        <w:t xml:space="preserve"> </w:t>
      </w:r>
      <w:r>
        <w:rPr>
          <w:rFonts w:ascii="仿宋" w:hAnsi="仿宋" w:eastAsia="仿宋" w:cs="仿宋"/>
          <w:spacing w:val="7"/>
          <w:sz w:val="28"/>
          <w:szCs w:val="28"/>
        </w:rPr>
        <w:t>“</w:t>
      </w:r>
      <w:r>
        <w:rPr>
          <w:rFonts w:ascii="仿宋" w:hAnsi="仿宋" w:eastAsia="仿宋" w:cs="仿宋"/>
          <w:spacing w:val="-110"/>
          <w:sz w:val="28"/>
          <w:szCs w:val="28"/>
        </w:rPr>
        <w:t xml:space="preserve"> </w:t>
      </w:r>
      <w:r>
        <w:rPr>
          <w:rFonts w:ascii="仿宋" w:hAnsi="仿宋" w:eastAsia="仿宋" w:cs="仿宋"/>
          <w:spacing w:val="7"/>
          <w:sz w:val="28"/>
          <w:szCs w:val="28"/>
        </w:rPr>
        <w:t>十四五”综合交通发展规划进行了充分对接；规划方案经优化完善后</w:t>
      </w:r>
      <w:r>
        <w:rPr>
          <w:rFonts w:ascii="仿宋" w:hAnsi="仿宋" w:eastAsia="仿宋" w:cs="仿宋"/>
          <w:spacing w:val="6"/>
          <w:sz w:val="28"/>
          <w:szCs w:val="28"/>
        </w:rPr>
        <w:t>，符合《曲靖</w:t>
      </w:r>
      <w:r>
        <w:rPr>
          <w:rFonts w:ascii="仿宋" w:hAnsi="仿宋" w:eastAsia="仿宋" w:cs="仿宋"/>
          <w:spacing w:val="11"/>
          <w:sz w:val="28"/>
          <w:szCs w:val="28"/>
        </w:rPr>
        <w:t>市国民经济和社会发展第十四个五年规划和</w:t>
      </w:r>
      <w:r>
        <w:rPr>
          <w:rFonts w:hint="eastAsia" w:ascii="仿宋" w:hAnsi="仿宋" w:eastAsia="仿宋" w:cs="仿宋"/>
          <w:spacing w:val="11"/>
          <w:sz w:val="28"/>
          <w:szCs w:val="28"/>
          <w:lang w:eastAsia="zh-CN"/>
        </w:rPr>
        <w:t>二〇三五年远景目标</w:t>
      </w:r>
      <w:r>
        <w:rPr>
          <w:rFonts w:ascii="仿宋" w:hAnsi="仿宋" w:eastAsia="仿宋" w:cs="仿宋"/>
          <w:spacing w:val="11"/>
          <w:sz w:val="28"/>
          <w:szCs w:val="28"/>
        </w:rPr>
        <w:t>纲要》中</w:t>
      </w:r>
      <w:r>
        <w:rPr>
          <w:rFonts w:ascii="仿宋" w:hAnsi="仿宋" w:eastAsia="仿宋" w:cs="仿宋"/>
          <w:spacing w:val="2"/>
          <w:sz w:val="28"/>
          <w:szCs w:val="28"/>
        </w:rPr>
        <w:t xml:space="preserve"> </w:t>
      </w:r>
      <w:r>
        <w:rPr>
          <w:rFonts w:ascii="仿宋" w:hAnsi="仿宋" w:eastAsia="仿宋" w:cs="仿宋"/>
          <w:spacing w:val="3"/>
          <w:sz w:val="28"/>
          <w:szCs w:val="28"/>
        </w:rPr>
        <w:t>的综合交通运输要求，与《曲靖市国土空间总体规划</w:t>
      </w:r>
      <w:r>
        <w:rPr>
          <w:rFonts w:ascii="仿宋" w:hAnsi="仿宋" w:eastAsia="仿宋" w:cs="仿宋"/>
          <w:spacing w:val="2"/>
          <w:sz w:val="28"/>
          <w:szCs w:val="28"/>
        </w:rPr>
        <w:t>（</w:t>
      </w:r>
      <w:r>
        <w:rPr>
          <w:rFonts w:ascii="仿宋" w:hAnsi="仿宋" w:eastAsia="仿宋" w:cs="仿宋"/>
          <w:spacing w:val="-74"/>
          <w:sz w:val="28"/>
          <w:szCs w:val="28"/>
        </w:rPr>
        <w:t xml:space="preserve"> </w:t>
      </w:r>
      <w:r>
        <w:rPr>
          <w:rFonts w:ascii="仿宋" w:hAnsi="仿宋" w:eastAsia="仿宋" w:cs="仿宋"/>
          <w:spacing w:val="2"/>
          <w:sz w:val="28"/>
          <w:szCs w:val="28"/>
        </w:rPr>
        <w:t>2020-2035</w:t>
      </w:r>
      <w:r>
        <w:rPr>
          <w:rFonts w:ascii="仿宋" w:hAnsi="仿宋" w:eastAsia="仿宋" w:cs="仿宋"/>
          <w:spacing w:val="-48"/>
          <w:sz w:val="28"/>
          <w:szCs w:val="28"/>
        </w:rPr>
        <w:t xml:space="preserve"> </w:t>
      </w:r>
      <w:r>
        <w:rPr>
          <w:rFonts w:ascii="仿宋" w:hAnsi="仿宋" w:eastAsia="仿宋" w:cs="仿宋"/>
          <w:spacing w:val="2"/>
          <w:sz w:val="28"/>
          <w:szCs w:val="28"/>
        </w:rPr>
        <w:t>年）》、</w:t>
      </w:r>
      <w:r>
        <w:rPr>
          <w:rFonts w:ascii="仿宋" w:hAnsi="仿宋" w:eastAsia="仿宋" w:cs="仿宋"/>
          <w:sz w:val="28"/>
          <w:szCs w:val="28"/>
        </w:rPr>
        <w:t xml:space="preserve"> </w:t>
      </w:r>
      <w:r>
        <w:rPr>
          <w:rFonts w:ascii="仿宋" w:hAnsi="仿宋" w:eastAsia="仿宋" w:cs="仿宋"/>
          <w:spacing w:val="2"/>
          <w:sz w:val="28"/>
          <w:szCs w:val="28"/>
        </w:rPr>
        <w:t>《曲靖市生态环境保护</w:t>
      </w:r>
      <w:r>
        <w:rPr>
          <w:rFonts w:ascii="仿宋" w:hAnsi="仿宋" w:eastAsia="仿宋" w:cs="仿宋"/>
          <w:spacing w:val="-87"/>
          <w:sz w:val="28"/>
          <w:szCs w:val="28"/>
        </w:rPr>
        <w:t xml:space="preserve"> </w:t>
      </w:r>
      <w:r>
        <w:rPr>
          <w:rFonts w:ascii="仿宋" w:hAnsi="仿宋" w:eastAsia="仿宋" w:cs="仿宋"/>
          <w:spacing w:val="2"/>
          <w:sz w:val="28"/>
          <w:szCs w:val="28"/>
        </w:rPr>
        <w:t>“</w:t>
      </w:r>
      <w:r>
        <w:rPr>
          <w:rFonts w:ascii="仿宋" w:hAnsi="仿宋" w:eastAsia="仿宋" w:cs="仿宋"/>
          <w:spacing w:val="-110"/>
          <w:sz w:val="28"/>
          <w:szCs w:val="28"/>
        </w:rPr>
        <w:t xml:space="preserve"> </w:t>
      </w:r>
      <w:r>
        <w:rPr>
          <w:rFonts w:ascii="仿宋" w:hAnsi="仿宋" w:eastAsia="仿宋" w:cs="仿宋"/>
          <w:spacing w:val="2"/>
          <w:sz w:val="28"/>
          <w:szCs w:val="28"/>
        </w:rPr>
        <w:t>十四五”规划》、《曲靖市</w:t>
      </w:r>
      <w:r>
        <w:rPr>
          <w:rFonts w:ascii="仿宋" w:hAnsi="仿宋" w:eastAsia="仿宋" w:cs="仿宋"/>
          <w:spacing w:val="-96"/>
          <w:sz w:val="28"/>
          <w:szCs w:val="28"/>
        </w:rPr>
        <w:t xml:space="preserve"> </w:t>
      </w:r>
      <w:r>
        <w:rPr>
          <w:rFonts w:ascii="仿宋" w:hAnsi="仿宋" w:eastAsia="仿宋" w:cs="仿宋"/>
          <w:spacing w:val="2"/>
          <w:sz w:val="28"/>
          <w:szCs w:val="28"/>
        </w:rPr>
        <w:t>“</w:t>
      </w:r>
      <w:r>
        <w:rPr>
          <w:rFonts w:ascii="仿宋" w:hAnsi="仿宋" w:eastAsia="仿宋" w:cs="仿宋"/>
          <w:spacing w:val="-110"/>
          <w:sz w:val="28"/>
          <w:szCs w:val="28"/>
        </w:rPr>
        <w:t xml:space="preserve"> </w:t>
      </w:r>
      <w:r>
        <w:rPr>
          <w:rFonts w:ascii="仿宋" w:hAnsi="仿宋" w:eastAsia="仿宋" w:cs="仿宋"/>
          <w:spacing w:val="2"/>
          <w:sz w:val="28"/>
          <w:szCs w:val="28"/>
        </w:rPr>
        <w:t>十四五”文化和旅</w:t>
      </w:r>
      <w:r>
        <w:rPr>
          <w:rFonts w:ascii="仿宋" w:hAnsi="仿宋" w:eastAsia="仿宋" w:cs="仿宋"/>
          <w:sz w:val="28"/>
          <w:szCs w:val="28"/>
        </w:rPr>
        <w:t xml:space="preserve"> </w:t>
      </w:r>
      <w:r>
        <w:rPr>
          <w:rFonts w:ascii="仿宋" w:hAnsi="仿宋" w:eastAsia="仿宋" w:cs="仿宋"/>
          <w:spacing w:val="4"/>
          <w:sz w:val="28"/>
          <w:szCs w:val="28"/>
        </w:rPr>
        <w:t>游发展规划》、《曲靖市水利发展</w:t>
      </w:r>
      <w:r>
        <w:rPr>
          <w:rFonts w:ascii="仿宋" w:hAnsi="仿宋" w:eastAsia="仿宋" w:cs="仿宋"/>
          <w:spacing w:val="-77"/>
          <w:sz w:val="28"/>
          <w:szCs w:val="28"/>
        </w:rPr>
        <w:t xml:space="preserve"> </w:t>
      </w:r>
      <w:r>
        <w:rPr>
          <w:rFonts w:ascii="仿宋" w:hAnsi="仿宋" w:eastAsia="仿宋" w:cs="仿宋"/>
          <w:spacing w:val="4"/>
          <w:sz w:val="28"/>
          <w:szCs w:val="28"/>
        </w:rPr>
        <w:t>“</w:t>
      </w:r>
      <w:r>
        <w:rPr>
          <w:rFonts w:ascii="仿宋" w:hAnsi="仿宋" w:eastAsia="仿宋" w:cs="仿宋"/>
          <w:spacing w:val="-110"/>
          <w:sz w:val="28"/>
          <w:szCs w:val="28"/>
        </w:rPr>
        <w:t xml:space="preserve"> </w:t>
      </w:r>
      <w:r>
        <w:rPr>
          <w:rFonts w:ascii="仿宋" w:hAnsi="仿宋" w:eastAsia="仿宋" w:cs="仿宋"/>
          <w:spacing w:val="4"/>
          <w:sz w:val="28"/>
          <w:szCs w:val="28"/>
        </w:rPr>
        <w:t>十四五”规划》等发展规划相互之间</w:t>
      </w:r>
      <w:r>
        <w:rPr>
          <w:rFonts w:ascii="仿宋" w:hAnsi="仿宋" w:eastAsia="仿宋" w:cs="仿宋"/>
          <w:sz w:val="28"/>
          <w:szCs w:val="28"/>
        </w:rPr>
        <w:t xml:space="preserve"> </w:t>
      </w:r>
      <w:r>
        <w:rPr>
          <w:rFonts w:ascii="仿宋" w:hAnsi="仿宋" w:eastAsia="仿宋" w:cs="仿宋"/>
          <w:spacing w:val="5"/>
          <w:sz w:val="28"/>
          <w:szCs w:val="28"/>
        </w:rPr>
        <w:t>不存在冲突。</w:t>
      </w:r>
    </w:p>
    <w:p w14:paraId="465C8498">
      <w:pPr>
        <w:spacing w:line="343" w:lineRule="auto"/>
        <w:ind w:left="10" w:right="288" w:firstLine="584"/>
        <w:jc w:val="both"/>
        <w:rPr>
          <w:rFonts w:ascii="仿宋" w:hAnsi="仿宋" w:eastAsia="仿宋" w:cs="仿宋"/>
          <w:sz w:val="28"/>
          <w:szCs w:val="28"/>
        </w:rPr>
      </w:pPr>
      <w:r>
        <w:rPr>
          <w:rFonts w:ascii="仿宋" w:hAnsi="仿宋" w:eastAsia="仿宋" w:cs="仿宋"/>
          <w:spacing w:val="6"/>
          <w:sz w:val="28"/>
          <w:szCs w:val="28"/>
        </w:rPr>
        <w:t>规划建设项目对环境的影响具有可控性。从已建类似项目看，交通基础设施项目建设对环境可能产生的影响，可通过采取有力措施和先进技术加以控制，使其降低至可承受范围之内。采取必要的工程和植物防护措施可有效控制水土流失，优化选线可以减少对生态环境的影响，制定适当的法规标准、安装必要的防护装置、改进运输装备技术水平可有效控制噪声</w:t>
      </w:r>
    </w:p>
    <w:p w14:paraId="0CDC4938">
      <w:pPr>
        <w:spacing w:line="343" w:lineRule="auto"/>
        <w:rPr>
          <w:rFonts w:ascii="仿宋" w:hAnsi="仿宋" w:eastAsia="仿宋" w:cs="仿宋"/>
          <w:sz w:val="28"/>
          <w:szCs w:val="28"/>
        </w:rPr>
        <w:sectPr>
          <w:headerReference r:id="rId141" w:type="default"/>
          <w:footerReference r:id="rId142" w:type="default"/>
          <w:pgSz w:w="11906" w:h="16839"/>
          <w:pgMar w:top="1222" w:right="1304" w:bottom="1156" w:left="1133" w:header="885" w:footer="920" w:gutter="0"/>
          <w:cols w:space="720" w:num="1"/>
        </w:sectPr>
      </w:pPr>
    </w:p>
    <w:p w14:paraId="63D8159B">
      <w:pPr>
        <w:pStyle w:val="2"/>
        <w:spacing w:line="276" w:lineRule="auto"/>
      </w:pPr>
    </w:p>
    <w:p w14:paraId="029E0B21">
      <w:pPr>
        <w:spacing w:before="91" w:line="343" w:lineRule="auto"/>
        <w:ind w:left="11" w:right="7" w:firstLine="10"/>
        <w:jc w:val="both"/>
        <w:rPr>
          <w:rFonts w:ascii="仿宋" w:hAnsi="仿宋" w:eastAsia="仿宋" w:cs="仿宋"/>
          <w:sz w:val="28"/>
          <w:szCs w:val="28"/>
        </w:rPr>
      </w:pPr>
      <w:r>
        <w:rPr>
          <w:rFonts w:ascii="仿宋" w:hAnsi="仿宋" w:eastAsia="仿宋" w:cs="仿宋"/>
          <w:spacing w:val="6"/>
          <w:sz w:val="28"/>
          <w:szCs w:val="28"/>
        </w:rPr>
        <w:t>污染和振动。生产废水、生活性污水经适当生化工艺处理后可达到各级排放标准的要求。运输工具运行中产生的空气污染，可采用新型、节能的运</w:t>
      </w:r>
      <w:r>
        <w:rPr>
          <w:rFonts w:ascii="仿宋" w:hAnsi="仿宋" w:eastAsia="仿宋" w:cs="仿宋"/>
          <w:sz w:val="28"/>
          <w:szCs w:val="28"/>
        </w:rPr>
        <w:t>输工具和推行较高排放标准，可减少车辆、船舶等运输工具的污染物排放。</w:t>
      </w:r>
    </w:p>
    <w:p w14:paraId="769A8DD3">
      <w:pPr>
        <w:spacing w:before="55" w:line="221" w:lineRule="auto"/>
        <w:ind w:left="635"/>
        <w:outlineLvl w:val="1"/>
        <w:rPr>
          <w:rFonts w:ascii="黑体" w:hAnsi="黑体" w:eastAsia="黑体" w:cs="黑体"/>
          <w:sz w:val="30"/>
          <w:szCs w:val="30"/>
        </w:rPr>
      </w:pPr>
      <w:bookmarkStart w:id="75" w:name="bookmark59"/>
      <w:bookmarkEnd w:id="75"/>
      <w:r>
        <w:rPr>
          <w:rFonts w:ascii="黑体" w:hAnsi="黑体" w:eastAsia="黑体" w:cs="黑体"/>
          <w:spacing w:val="-3"/>
          <w:sz w:val="30"/>
          <w:szCs w:val="30"/>
        </w:rPr>
        <w:t>（三）预防和减缓环境不良影响的措施</w:t>
      </w:r>
    </w:p>
    <w:p w14:paraId="63EE0D90">
      <w:pPr>
        <w:spacing w:before="282" w:line="343" w:lineRule="auto"/>
        <w:ind w:left="6" w:firstLine="588"/>
        <w:jc w:val="both"/>
        <w:rPr>
          <w:rFonts w:ascii="仿宋" w:hAnsi="仿宋" w:eastAsia="仿宋" w:cs="仿宋"/>
          <w:sz w:val="28"/>
          <w:szCs w:val="28"/>
        </w:rPr>
      </w:pPr>
      <w:r>
        <w:rPr>
          <w:rFonts w:ascii="仿宋" w:hAnsi="仿宋" w:eastAsia="仿宋" w:cs="仿宋"/>
          <w:spacing w:val="6"/>
          <w:sz w:val="28"/>
          <w:szCs w:val="28"/>
        </w:rPr>
        <w:t>节约集约利用资源和减少污染排放。优化交通运输结构，优先发展轨道交通等资源节约型、环境友好型运输方式。采取综合立体交通廊带的方</w:t>
      </w:r>
      <w:r>
        <w:rPr>
          <w:rFonts w:ascii="仿宋" w:hAnsi="仿宋" w:eastAsia="仿宋" w:cs="仿宋"/>
          <w:spacing w:val="1"/>
          <w:sz w:val="28"/>
          <w:szCs w:val="28"/>
        </w:rPr>
        <w:t>式，整合铁路、公路等线状交通项目的路由，鼓励铁</w:t>
      </w:r>
      <w:r>
        <w:rPr>
          <w:rFonts w:ascii="仿宋" w:hAnsi="仿宋" w:eastAsia="仿宋" w:cs="仿宋"/>
          <w:sz w:val="28"/>
          <w:szCs w:val="28"/>
        </w:rPr>
        <w:t>路、公路等共用线位、</w:t>
      </w:r>
      <w:r>
        <w:rPr>
          <w:rFonts w:ascii="仿宋" w:hAnsi="仿宋" w:eastAsia="仿宋" w:cs="仿宋"/>
          <w:spacing w:val="7"/>
          <w:sz w:val="28"/>
          <w:szCs w:val="28"/>
        </w:rPr>
        <w:t>桥位资源，减少土地占用。鼓励建设综合交</w:t>
      </w:r>
      <w:r>
        <w:rPr>
          <w:rFonts w:ascii="仿宋" w:hAnsi="仿宋" w:eastAsia="仿宋" w:cs="仿宋"/>
          <w:spacing w:val="6"/>
          <w:sz w:val="28"/>
          <w:szCs w:val="28"/>
        </w:rPr>
        <w:t>通枢纽，提高场站资源利用效</w:t>
      </w:r>
      <w:r>
        <w:rPr>
          <w:rFonts w:ascii="仿宋" w:hAnsi="仿宋" w:eastAsia="仿宋" w:cs="仿宋"/>
          <w:spacing w:val="7"/>
          <w:sz w:val="28"/>
          <w:szCs w:val="28"/>
        </w:rPr>
        <w:t>率。发展先进适用的运输节能减排技术，采</w:t>
      </w:r>
      <w:r>
        <w:rPr>
          <w:rFonts w:ascii="仿宋" w:hAnsi="仿宋" w:eastAsia="仿宋" w:cs="仿宋"/>
          <w:spacing w:val="6"/>
          <w:sz w:val="28"/>
          <w:szCs w:val="28"/>
        </w:rPr>
        <w:t>用新型节能的运输工具，推行</w:t>
      </w:r>
      <w:r>
        <w:rPr>
          <w:rFonts w:ascii="仿宋" w:hAnsi="仿宋" w:eastAsia="仿宋" w:cs="仿宋"/>
          <w:spacing w:val="7"/>
          <w:sz w:val="28"/>
          <w:szCs w:val="28"/>
        </w:rPr>
        <w:t>更高的排放标准；鼓励使用清洁能源，逐步</w:t>
      </w:r>
      <w:r>
        <w:rPr>
          <w:rFonts w:ascii="仿宋" w:hAnsi="仿宋" w:eastAsia="仿宋" w:cs="仿宋"/>
          <w:spacing w:val="6"/>
          <w:sz w:val="28"/>
          <w:szCs w:val="28"/>
        </w:rPr>
        <w:t>淘汰落后技术和高能耗、低效率的运输设备，提高铁路电气化水平，实施营运车辆燃料排放消耗限制标准，推广清洁环保车辆；优化运输组织，提高运输效率。鼓励运输企业清</w:t>
      </w:r>
      <w:r>
        <w:rPr>
          <w:rFonts w:ascii="仿宋" w:hAnsi="仿宋" w:eastAsia="仿宋" w:cs="仿宋"/>
          <w:spacing w:val="4"/>
          <w:sz w:val="28"/>
          <w:szCs w:val="28"/>
        </w:rPr>
        <w:t>洁生产，加强交通运输业</w:t>
      </w:r>
      <w:r>
        <w:rPr>
          <w:rFonts w:ascii="仿宋" w:hAnsi="仿宋" w:eastAsia="仿宋" w:cs="仿宋"/>
          <w:spacing w:val="-98"/>
          <w:sz w:val="28"/>
          <w:szCs w:val="28"/>
        </w:rPr>
        <w:t xml:space="preserve"> </w:t>
      </w:r>
      <w:r>
        <w:rPr>
          <w:rFonts w:ascii="仿宋" w:hAnsi="仿宋" w:eastAsia="仿宋" w:cs="仿宋"/>
          <w:spacing w:val="4"/>
          <w:sz w:val="28"/>
          <w:szCs w:val="28"/>
        </w:rPr>
        <w:t>“</w:t>
      </w:r>
      <w:r>
        <w:rPr>
          <w:rFonts w:ascii="仿宋" w:hAnsi="仿宋" w:eastAsia="仿宋" w:cs="仿宋"/>
          <w:spacing w:val="-101"/>
          <w:sz w:val="28"/>
          <w:szCs w:val="28"/>
        </w:rPr>
        <w:t xml:space="preserve"> </w:t>
      </w:r>
      <w:r>
        <w:rPr>
          <w:rFonts w:ascii="仿宋" w:hAnsi="仿宋" w:eastAsia="仿宋" w:cs="仿宋"/>
          <w:spacing w:val="4"/>
          <w:sz w:val="28"/>
          <w:szCs w:val="28"/>
        </w:rPr>
        <w:t>三废”和生活废物的资源化利用以及开展烟气</w:t>
      </w:r>
      <w:r>
        <w:rPr>
          <w:rFonts w:ascii="仿宋" w:hAnsi="仿宋" w:eastAsia="仿宋" w:cs="仿宋"/>
          <w:spacing w:val="6"/>
          <w:sz w:val="28"/>
          <w:szCs w:val="28"/>
        </w:rPr>
        <w:t>脱硫除尘、机动车尾气净化工作。</w:t>
      </w:r>
    </w:p>
    <w:p w14:paraId="0A8FEFB1">
      <w:pPr>
        <w:spacing w:before="1" w:line="343" w:lineRule="auto"/>
        <w:ind w:left="8" w:right="91" w:firstLine="580"/>
        <w:jc w:val="both"/>
        <w:rPr>
          <w:rFonts w:ascii="仿宋" w:hAnsi="仿宋" w:eastAsia="仿宋" w:cs="仿宋"/>
          <w:sz w:val="28"/>
          <w:szCs w:val="28"/>
        </w:rPr>
      </w:pPr>
      <w:r>
        <w:rPr>
          <w:rFonts w:ascii="仿宋" w:hAnsi="仿宋" w:eastAsia="仿宋" w:cs="仿宋"/>
          <w:spacing w:val="6"/>
          <w:sz w:val="28"/>
          <w:szCs w:val="28"/>
        </w:rPr>
        <w:t>积极开展环境恢复和污染治理。积极采取措施，防止水土流失，做好地形、地貌、生态环境恢复和土地复垦工作。严格按照《中华人民共和国环境保护法》等相关法律法规，合理设计项目线路走向和场站选址，严守生态环境的相关禁止性规定，尽量绕避环境敏感</w:t>
      </w:r>
      <w:r>
        <w:rPr>
          <w:rFonts w:ascii="仿宋" w:hAnsi="仿宋" w:eastAsia="仿宋" w:cs="仿宋"/>
          <w:spacing w:val="5"/>
          <w:sz w:val="28"/>
          <w:szCs w:val="28"/>
        </w:rPr>
        <w:t>区，全面保护生态环境。</w:t>
      </w:r>
    </w:p>
    <w:p w14:paraId="1289951E">
      <w:pPr>
        <w:spacing w:before="11" w:line="342" w:lineRule="auto"/>
        <w:ind w:left="3" w:right="91" w:firstLine="582"/>
        <w:jc w:val="both"/>
        <w:rPr>
          <w:rFonts w:ascii="仿宋" w:hAnsi="仿宋" w:eastAsia="仿宋" w:cs="仿宋"/>
          <w:sz w:val="28"/>
          <w:szCs w:val="28"/>
        </w:rPr>
      </w:pPr>
      <w:r>
        <w:rPr>
          <w:rFonts w:ascii="仿宋" w:hAnsi="仿宋" w:eastAsia="仿宋" w:cs="仿宋"/>
          <w:spacing w:val="6"/>
          <w:sz w:val="28"/>
          <w:szCs w:val="28"/>
        </w:rPr>
        <w:t>加强环境管理，完善环境监控体系。严格执行《中华人民共和国环境</w:t>
      </w:r>
      <w:r>
        <w:rPr>
          <w:rFonts w:ascii="仿宋" w:hAnsi="仿宋" w:eastAsia="仿宋" w:cs="仿宋"/>
          <w:spacing w:val="7"/>
          <w:sz w:val="28"/>
          <w:szCs w:val="28"/>
        </w:rPr>
        <w:t>保护法》、《中华人民共和国环境影响评价法》和</w:t>
      </w:r>
      <w:r>
        <w:rPr>
          <w:rFonts w:ascii="仿宋" w:hAnsi="仿宋" w:eastAsia="仿宋" w:cs="仿宋"/>
          <w:spacing w:val="6"/>
          <w:sz w:val="28"/>
          <w:szCs w:val="28"/>
        </w:rPr>
        <w:t>《建设项目环境保护管</w:t>
      </w:r>
      <w:r>
        <w:rPr>
          <w:rFonts w:ascii="仿宋" w:hAnsi="仿宋" w:eastAsia="仿宋" w:cs="仿宋"/>
          <w:spacing w:val="7"/>
          <w:sz w:val="28"/>
          <w:szCs w:val="28"/>
        </w:rPr>
        <w:t>理条例》等法律法规，严格项目审批和土地、</w:t>
      </w:r>
      <w:r>
        <w:rPr>
          <w:rFonts w:ascii="仿宋" w:hAnsi="仿宋" w:eastAsia="仿宋" w:cs="仿宋"/>
          <w:spacing w:val="6"/>
          <w:sz w:val="28"/>
          <w:szCs w:val="28"/>
        </w:rPr>
        <w:t>环保准入。加强交通环境监</w:t>
      </w:r>
      <w:r>
        <w:rPr>
          <w:rFonts w:ascii="仿宋" w:hAnsi="仿宋" w:eastAsia="仿宋" w:cs="仿宋"/>
          <w:spacing w:val="7"/>
          <w:sz w:val="28"/>
          <w:szCs w:val="28"/>
        </w:rPr>
        <w:t>测网络建设，实现高速公路和重点干线公路全</w:t>
      </w:r>
      <w:r>
        <w:rPr>
          <w:rFonts w:ascii="仿宋" w:hAnsi="仿宋" w:eastAsia="仿宋" w:cs="仿宋"/>
          <w:spacing w:val="6"/>
          <w:sz w:val="28"/>
          <w:szCs w:val="28"/>
        </w:rPr>
        <w:t>覆盖。充分利用机动车遥感</w:t>
      </w:r>
      <w:r>
        <w:rPr>
          <w:rFonts w:ascii="仿宋" w:hAnsi="仿宋" w:eastAsia="仿宋" w:cs="仿宋"/>
          <w:spacing w:val="7"/>
          <w:sz w:val="28"/>
          <w:szCs w:val="28"/>
        </w:rPr>
        <w:t>监测、排放检验机构联网，以及道路和停放地</w:t>
      </w:r>
      <w:r>
        <w:rPr>
          <w:rFonts w:ascii="仿宋" w:hAnsi="仿宋" w:eastAsia="仿宋" w:cs="仿宋"/>
          <w:spacing w:val="6"/>
          <w:sz w:val="28"/>
          <w:szCs w:val="28"/>
        </w:rPr>
        <w:t>监督抽测对机动车实施全天</w:t>
      </w:r>
      <w:r>
        <w:rPr>
          <w:rFonts w:ascii="仿宋" w:hAnsi="仿宋" w:eastAsia="仿宋" w:cs="仿宋"/>
          <w:spacing w:val="4"/>
          <w:sz w:val="28"/>
          <w:szCs w:val="28"/>
        </w:rPr>
        <w:t>候、全方位的实施监控。规划建设覆盖全市核心城区、主要进城</w:t>
      </w:r>
      <w:r>
        <w:rPr>
          <w:rFonts w:ascii="仿宋" w:hAnsi="仿宋" w:eastAsia="仿宋" w:cs="仿宋"/>
          <w:spacing w:val="-56"/>
          <w:sz w:val="28"/>
          <w:szCs w:val="28"/>
        </w:rPr>
        <w:t xml:space="preserve"> </w:t>
      </w:r>
      <w:r>
        <w:rPr>
          <w:rFonts w:ascii="仿宋" w:hAnsi="仿宋" w:eastAsia="仿宋" w:cs="仿宋"/>
          <w:spacing w:val="4"/>
          <w:sz w:val="28"/>
          <w:szCs w:val="28"/>
        </w:rPr>
        <w:t>口、重点</w:t>
      </w:r>
      <w:r>
        <w:rPr>
          <w:rFonts w:ascii="仿宋" w:hAnsi="仿宋" w:eastAsia="仿宋" w:cs="仿宋"/>
          <w:spacing w:val="7"/>
          <w:sz w:val="28"/>
          <w:szCs w:val="28"/>
        </w:rPr>
        <w:t>路段的固定式遥感监测网络，对行驶中机动车</w:t>
      </w:r>
      <w:r>
        <w:rPr>
          <w:rFonts w:ascii="仿宋" w:hAnsi="仿宋" w:eastAsia="仿宋" w:cs="仿宋"/>
          <w:spacing w:val="6"/>
          <w:sz w:val="28"/>
          <w:szCs w:val="28"/>
        </w:rPr>
        <w:t>尾气进行实时检测。严格实</w:t>
      </w:r>
      <w:r>
        <w:rPr>
          <w:rFonts w:ascii="仿宋" w:hAnsi="仿宋" w:eastAsia="仿宋" w:cs="仿宋"/>
          <w:spacing w:val="7"/>
          <w:sz w:val="28"/>
          <w:szCs w:val="28"/>
        </w:rPr>
        <w:t>施非道路移动机械大气排放标准。开展非道路</w:t>
      </w:r>
      <w:r>
        <w:rPr>
          <w:rFonts w:ascii="仿宋" w:hAnsi="仿宋" w:eastAsia="仿宋" w:cs="仿宋"/>
          <w:spacing w:val="6"/>
          <w:sz w:val="28"/>
          <w:szCs w:val="28"/>
        </w:rPr>
        <w:t>移动机械摸排、台账登记及</w:t>
      </w:r>
    </w:p>
    <w:p w14:paraId="7CF74558">
      <w:pPr>
        <w:spacing w:line="342" w:lineRule="auto"/>
        <w:rPr>
          <w:rFonts w:ascii="仿宋" w:hAnsi="仿宋" w:eastAsia="仿宋" w:cs="仿宋"/>
          <w:sz w:val="28"/>
          <w:szCs w:val="28"/>
        </w:rPr>
        <w:sectPr>
          <w:headerReference r:id="rId143" w:type="default"/>
          <w:footerReference r:id="rId144" w:type="default"/>
          <w:pgSz w:w="11906" w:h="16839"/>
          <w:pgMar w:top="1222" w:right="1047" w:bottom="1156" w:left="1587" w:header="885" w:footer="920" w:gutter="0"/>
          <w:cols w:space="720" w:num="1"/>
        </w:sectPr>
      </w:pPr>
    </w:p>
    <w:p w14:paraId="53156EBA">
      <w:pPr>
        <w:pStyle w:val="2"/>
        <w:spacing w:line="276" w:lineRule="auto"/>
      </w:pPr>
    </w:p>
    <w:p w14:paraId="1FA567F6">
      <w:pPr>
        <w:spacing w:before="91" w:line="343" w:lineRule="auto"/>
        <w:ind w:left="2" w:firstLine="23"/>
        <w:jc w:val="both"/>
        <w:rPr>
          <w:rFonts w:ascii="仿宋" w:hAnsi="仿宋" w:eastAsia="仿宋" w:cs="仿宋"/>
          <w:sz w:val="28"/>
          <w:szCs w:val="28"/>
        </w:rPr>
      </w:pPr>
      <w:r>
        <w:rPr>
          <w:rFonts w:ascii="仿宋" w:hAnsi="仿宋" w:eastAsia="仿宋" w:cs="仿宋"/>
          <w:spacing w:val="6"/>
          <w:sz w:val="28"/>
          <w:szCs w:val="28"/>
        </w:rPr>
        <w:t>动态管理工作，重点加强建筑工地、道路施工场地等领域非道路移动机机</w:t>
      </w:r>
      <w:r>
        <w:rPr>
          <w:rFonts w:ascii="仿宋" w:hAnsi="仿宋" w:eastAsia="仿宋" w:cs="仿宋"/>
          <w:spacing w:val="7"/>
          <w:sz w:val="28"/>
          <w:szCs w:val="28"/>
        </w:rPr>
        <w:t>械达标监督检查，严禁使用尾气排放不合格的非道路</w:t>
      </w:r>
      <w:r>
        <w:rPr>
          <w:rFonts w:ascii="仿宋" w:hAnsi="仿宋" w:eastAsia="仿宋" w:cs="仿宋"/>
          <w:spacing w:val="6"/>
          <w:sz w:val="28"/>
          <w:szCs w:val="28"/>
        </w:rPr>
        <w:t>移动机械。按照规划</w:t>
      </w:r>
      <w:r>
        <w:rPr>
          <w:rFonts w:ascii="仿宋" w:hAnsi="仿宋" w:eastAsia="仿宋" w:cs="仿宋"/>
          <w:spacing w:val="1"/>
          <w:sz w:val="28"/>
          <w:szCs w:val="28"/>
        </w:rPr>
        <w:t>管理制度和监测方法，强化建设项目全过程环境管理，建立起</w:t>
      </w:r>
      <w:r>
        <w:rPr>
          <w:rFonts w:ascii="仿宋" w:hAnsi="仿宋" w:eastAsia="仿宋" w:cs="仿宋"/>
          <w:sz w:val="28"/>
          <w:szCs w:val="28"/>
        </w:rPr>
        <w:t>完善、统一、</w:t>
      </w:r>
      <w:r>
        <w:rPr>
          <w:rFonts w:ascii="仿宋" w:hAnsi="仿宋" w:eastAsia="仿宋" w:cs="仿宋"/>
          <w:spacing w:val="6"/>
          <w:sz w:val="28"/>
          <w:szCs w:val="28"/>
        </w:rPr>
        <w:t>高效的环境监测体系。</w:t>
      </w:r>
    </w:p>
    <w:p w14:paraId="092631FD">
      <w:pPr>
        <w:spacing w:before="3" w:line="343" w:lineRule="auto"/>
        <w:ind w:left="13" w:firstLine="572"/>
        <w:jc w:val="both"/>
        <w:rPr>
          <w:rFonts w:ascii="仿宋" w:hAnsi="仿宋" w:eastAsia="仿宋" w:cs="仿宋"/>
          <w:sz w:val="28"/>
          <w:szCs w:val="28"/>
        </w:rPr>
      </w:pPr>
      <w:r>
        <w:rPr>
          <w:rFonts w:ascii="仿宋" w:hAnsi="仿宋" w:eastAsia="仿宋" w:cs="仿宋"/>
          <w:spacing w:val="6"/>
          <w:sz w:val="28"/>
          <w:szCs w:val="28"/>
        </w:rPr>
        <w:t>推进绿色交通规划设计、建设。</w:t>
      </w:r>
      <w:r>
        <w:rPr>
          <w:rFonts w:ascii="仿宋" w:hAnsi="仿宋" w:eastAsia="仿宋" w:cs="仿宋"/>
          <w:spacing w:val="-62"/>
          <w:sz w:val="28"/>
          <w:szCs w:val="28"/>
        </w:rPr>
        <w:t xml:space="preserve"> </w:t>
      </w:r>
      <w:r>
        <w:rPr>
          <w:rFonts w:ascii="仿宋" w:hAnsi="仿宋" w:eastAsia="仿宋" w:cs="仿宋"/>
          <w:spacing w:val="6"/>
          <w:sz w:val="28"/>
          <w:szCs w:val="28"/>
        </w:rPr>
        <w:t>以资源集约化、精细化开发为主旨，在项目设计和实施过程中，通过改造、扩容等手段提高各类既有交通设施的资源利用效率，尽量减少土地占用，实现对能源、资金、土地和环境等资源的节约集约利用。严守生态红线，在交通基础设施建设中牢固树立生</w:t>
      </w:r>
      <w:r>
        <w:rPr>
          <w:rFonts w:ascii="仿宋" w:hAnsi="仿宋" w:eastAsia="仿宋" w:cs="仿宋"/>
          <w:sz w:val="28"/>
          <w:szCs w:val="28"/>
        </w:rPr>
        <w:t>态环保理念，提高道路、桥梁等建设标准，严格环评和变更审查；配合县、</w:t>
      </w:r>
      <w:r>
        <w:rPr>
          <w:rFonts w:ascii="仿宋" w:hAnsi="仿宋" w:eastAsia="仿宋" w:cs="仿宋"/>
          <w:spacing w:val="15"/>
          <w:sz w:val="28"/>
          <w:szCs w:val="28"/>
        </w:rPr>
        <w:t>乡人民政府因地制宜实施交通廊道绿化行动；加强交通设施施工现场管</w:t>
      </w:r>
      <w:r>
        <w:rPr>
          <w:rFonts w:ascii="仿宋" w:hAnsi="仿宋" w:eastAsia="仿宋" w:cs="仿宋"/>
          <w:spacing w:val="6"/>
          <w:sz w:val="28"/>
          <w:szCs w:val="28"/>
        </w:rPr>
        <w:t>理，及时做好取、弃土场生态恢复、动物通道建设等工作，确保交通设施</w:t>
      </w:r>
      <w:r>
        <w:rPr>
          <w:rFonts w:ascii="仿宋" w:hAnsi="仿宋" w:eastAsia="仿宋" w:cs="仿宋"/>
          <w:spacing w:val="1"/>
          <w:sz w:val="28"/>
          <w:szCs w:val="28"/>
        </w:rPr>
        <w:t>与</w:t>
      </w:r>
      <w:r>
        <w:rPr>
          <w:rFonts w:ascii="仿宋" w:hAnsi="仿宋" w:eastAsia="仿宋" w:cs="仿宋"/>
          <w:spacing w:val="-66"/>
          <w:sz w:val="28"/>
          <w:szCs w:val="28"/>
        </w:rPr>
        <w:t xml:space="preserve"> </w:t>
      </w:r>
      <w:r>
        <w:rPr>
          <w:rFonts w:ascii="仿宋" w:hAnsi="仿宋" w:eastAsia="仿宋" w:cs="仿宋"/>
          <w:spacing w:val="1"/>
          <w:sz w:val="28"/>
          <w:szCs w:val="28"/>
        </w:rPr>
        <w:t>自然生态环境之间的和谐统一。</w:t>
      </w:r>
    </w:p>
    <w:p w14:paraId="6F4118CA">
      <w:pPr>
        <w:spacing w:line="343" w:lineRule="auto"/>
        <w:rPr>
          <w:rFonts w:ascii="仿宋" w:hAnsi="仿宋" w:eastAsia="仿宋" w:cs="仿宋"/>
          <w:sz w:val="28"/>
          <w:szCs w:val="28"/>
        </w:rPr>
        <w:sectPr>
          <w:headerReference r:id="rId145" w:type="default"/>
          <w:footerReference r:id="rId146" w:type="default"/>
          <w:pgSz w:w="11906" w:h="16839"/>
          <w:pgMar w:top="1222" w:right="1501" w:bottom="1156" w:left="1134" w:header="885" w:footer="920" w:gutter="0"/>
          <w:cols w:space="720" w:num="1"/>
        </w:sectPr>
      </w:pPr>
    </w:p>
    <w:p w14:paraId="08AA97FA">
      <w:pPr>
        <w:pStyle w:val="2"/>
        <w:spacing w:line="366" w:lineRule="auto"/>
      </w:pPr>
    </w:p>
    <w:p w14:paraId="08F2C981">
      <w:pPr>
        <w:spacing w:before="78" w:line="221" w:lineRule="auto"/>
        <w:ind w:left="6970"/>
        <w:outlineLvl w:val="0"/>
        <w:rPr>
          <w:rFonts w:ascii="黑体" w:hAnsi="黑体" w:eastAsia="黑体" w:cs="黑体"/>
          <w:sz w:val="24"/>
          <w:szCs w:val="24"/>
        </w:rPr>
      </w:pPr>
      <w:r>
        <w:rPr>
          <w:rFonts w:ascii="黑体" w:hAnsi="黑体" w:eastAsia="黑体" w:cs="黑体"/>
          <w:spacing w:val="-2"/>
          <w:sz w:val="24"/>
          <w:szCs w:val="24"/>
        </w:rPr>
        <w:t>附表</w:t>
      </w:r>
      <w:r>
        <w:rPr>
          <w:rFonts w:ascii="黑体" w:hAnsi="黑体" w:eastAsia="黑体" w:cs="黑体"/>
          <w:spacing w:val="-22"/>
          <w:sz w:val="24"/>
          <w:szCs w:val="24"/>
        </w:rPr>
        <w:t xml:space="preserve"> </w:t>
      </w:r>
      <w:r>
        <w:rPr>
          <w:rFonts w:ascii="黑体" w:hAnsi="黑体" w:eastAsia="黑体" w:cs="黑体"/>
          <w:spacing w:val="-2"/>
          <w:sz w:val="24"/>
          <w:szCs w:val="24"/>
        </w:rPr>
        <w:t>1  曲靖市“十四五”交通基础设施重点建设项目及投资一览表</w:t>
      </w:r>
    </w:p>
    <w:p w14:paraId="2151BE7D">
      <w:pPr>
        <w:spacing w:line="56" w:lineRule="exact"/>
      </w:pPr>
    </w:p>
    <w:tbl>
      <w:tblPr>
        <w:tblStyle w:val="5"/>
        <w:tblW w:w="209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9"/>
        <w:gridCol w:w="1412"/>
        <w:gridCol w:w="3274"/>
        <w:gridCol w:w="3125"/>
        <w:gridCol w:w="2204"/>
        <w:gridCol w:w="2066"/>
        <w:gridCol w:w="920"/>
        <w:gridCol w:w="963"/>
        <w:gridCol w:w="1071"/>
        <w:gridCol w:w="1113"/>
        <w:gridCol w:w="1028"/>
        <w:gridCol w:w="3175"/>
      </w:tblGrid>
      <w:tr w14:paraId="029A8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639" w:type="dxa"/>
            <w:tcBorders>
              <w:top w:val="single" w:color="000000" w:sz="10" w:space="0"/>
              <w:left w:val="single" w:color="000000" w:sz="10" w:space="0"/>
            </w:tcBorders>
            <w:vAlign w:val="top"/>
          </w:tcPr>
          <w:p w14:paraId="67A8DCD3">
            <w:pPr>
              <w:spacing w:before="243" w:line="230" w:lineRule="auto"/>
              <w:ind w:left="99"/>
              <w:rPr>
                <w:rFonts w:ascii="宋体" w:hAnsi="宋体" w:eastAsia="宋体" w:cs="宋体"/>
                <w:sz w:val="20"/>
                <w:szCs w:val="20"/>
              </w:rPr>
            </w:pPr>
            <w:r>
              <w:rPr>
                <w:rFonts w:ascii="宋体" w:hAnsi="宋体" w:eastAsia="宋体" w:cs="宋体"/>
                <w:b/>
                <w:bCs/>
                <w:spacing w:val="4"/>
                <w:sz w:val="20"/>
                <w:szCs w:val="20"/>
              </w:rPr>
              <w:t>序号</w:t>
            </w:r>
          </w:p>
        </w:tc>
        <w:tc>
          <w:tcPr>
            <w:tcW w:w="1412" w:type="dxa"/>
            <w:tcBorders>
              <w:top w:val="single" w:color="000000" w:sz="10" w:space="0"/>
            </w:tcBorders>
            <w:vAlign w:val="top"/>
          </w:tcPr>
          <w:p w14:paraId="6BFEACC5">
            <w:pPr>
              <w:spacing w:before="243" w:line="228" w:lineRule="auto"/>
              <w:ind w:left="282"/>
              <w:rPr>
                <w:rFonts w:ascii="宋体" w:hAnsi="宋体" w:eastAsia="宋体" w:cs="宋体"/>
                <w:sz w:val="20"/>
                <w:szCs w:val="20"/>
              </w:rPr>
            </w:pPr>
            <w:r>
              <w:rPr>
                <w:rFonts w:ascii="宋体" w:hAnsi="宋体" w:eastAsia="宋体" w:cs="宋体"/>
                <w:b/>
                <w:bCs/>
                <w:spacing w:val="5"/>
                <w:sz w:val="20"/>
                <w:szCs w:val="20"/>
              </w:rPr>
              <w:t>线路编号</w:t>
            </w:r>
          </w:p>
        </w:tc>
        <w:tc>
          <w:tcPr>
            <w:tcW w:w="3274" w:type="dxa"/>
            <w:tcBorders>
              <w:top w:val="single" w:color="000000" w:sz="10" w:space="0"/>
            </w:tcBorders>
            <w:vAlign w:val="top"/>
          </w:tcPr>
          <w:p w14:paraId="57BE4D41">
            <w:pPr>
              <w:spacing w:before="243" w:line="229" w:lineRule="auto"/>
              <w:ind w:left="1218"/>
              <w:rPr>
                <w:rFonts w:ascii="宋体" w:hAnsi="宋体" w:eastAsia="宋体" w:cs="宋体"/>
                <w:sz w:val="20"/>
                <w:szCs w:val="20"/>
              </w:rPr>
            </w:pPr>
            <w:r>
              <w:rPr>
                <w:rFonts w:ascii="宋体" w:hAnsi="宋体" w:eastAsia="宋体" w:cs="宋体"/>
                <w:b/>
                <w:bCs/>
                <w:spacing w:val="5"/>
                <w:sz w:val="20"/>
                <w:szCs w:val="20"/>
              </w:rPr>
              <w:t>项目名称</w:t>
            </w:r>
          </w:p>
        </w:tc>
        <w:tc>
          <w:tcPr>
            <w:tcW w:w="3125" w:type="dxa"/>
            <w:tcBorders>
              <w:top w:val="single" w:color="000000" w:sz="10" w:space="0"/>
            </w:tcBorders>
            <w:vAlign w:val="top"/>
          </w:tcPr>
          <w:p w14:paraId="6638401F">
            <w:pPr>
              <w:spacing w:before="243" w:line="228" w:lineRule="auto"/>
              <w:ind w:left="1145"/>
              <w:rPr>
                <w:rFonts w:ascii="宋体" w:hAnsi="宋体" w:eastAsia="宋体" w:cs="宋体"/>
                <w:sz w:val="20"/>
                <w:szCs w:val="20"/>
              </w:rPr>
            </w:pPr>
            <w:r>
              <w:rPr>
                <w:rFonts w:ascii="宋体" w:hAnsi="宋体" w:eastAsia="宋体" w:cs="宋体"/>
                <w:b/>
                <w:bCs/>
                <w:spacing w:val="5"/>
                <w:sz w:val="20"/>
                <w:szCs w:val="20"/>
              </w:rPr>
              <w:t>建设路段</w:t>
            </w:r>
          </w:p>
        </w:tc>
        <w:tc>
          <w:tcPr>
            <w:tcW w:w="2204" w:type="dxa"/>
            <w:tcBorders>
              <w:top w:val="single" w:color="000000" w:sz="10" w:space="0"/>
            </w:tcBorders>
            <w:vAlign w:val="top"/>
          </w:tcPr>
          <w:p w14:paraId="40109180">
            <w:pPr>
              <w:spacing w:before="243" w:line="229" w:lineRule="auto"/>
              <w:ind w:left="896"/>
              <w:rPr>
                <w:rFonts w:ascii="宋体" w:hAnsi="宋体" w:eastAsia="宋体" w:cs="宋体"/>
                <w:sz w:val="20"/>
                <w:szCs w:val="20"/>
              </w:rPr>
            </w:pPr>
            <w:r>
              <w:rPr>
                <w:rFonts w:ascii="宋体" w:hAnsi="宋体" w:eastAsia="宋体" w:cs="宋体"/>
                <w:b/>
                <w:bCs/>
                <w:spacing w:val="3"/>
                <w:sz w:val="20"/>
                <w:szCs w:val="20"/>
              </w:rPr>
              <w:t>起点</w:t>
            </w:r>
          </w:p>
        </w:tc>
        <w:tc>
          <w:tcPr>
            <w:tcW w:w="2066" w:type="dxa"/>
            <w:tcBorders>
              <w:top w:val="single" w:color="000000" w:sz="10" w:space="0"/>
            </w:tcBorders>
            <w:vAlign w:val="top"/>
          </w:tcPr>
          <w:p w14:paraId="0DFD91C6">
            <w:pPr>
              <w:spacing w:before="243" w:line="233" w:lineRule="auto"/>
              <w:ind w:left="833"/>
              <w:rPr>
                <w:rFonts w:ascii="宋体" w:hAnsi="宋体" w:eastAsia="宋体" w:cs="宋体"/>
                <w:sz w:val="20"/>
                <w:szCs w:val="20"/>
              </w:rPr>
            </w:pPr>
            <w:r>
              <w:rPr>
                <w:rFonts w:ascii="宋体" w:hAnsi="宋体" w:eastAsia="宋体" w:cs="宋体"/>
                <w:b/>
                <w:bCs/>
                <w:spacing w:val="2"/>
                <w:sz w:val="20"/>
                <w:szCs w:val="20"/>
              </w:rPr>
              <w:t>终点</w:t>
            </w:r>
          </w:p>
        </w:tc>
        <w:tc>
          <w:tcPr>
            <w:tcW w:w="920" w:type="dxa"/>
            <w:tcBorders>
              <w:top w:val="single" w:color="000000" w:sz="10" w:space="0"/>
            </w:tcBorders>
            <w:vAlign w:val="top"/>
          </w:tcPr>
          <w:p w14:paraId="509ECEBA">
            <w:pPr>
              <w:spacing w:before="243" w:line="229" w:lineRule="auto"/>
              <w:ind w:left="52"/>
              <w:rPr>
                <w:rFonts w:ascii="宋体" w:hAnsi="宋体" w:eastAsia="宋体" w:cs="宋体"/>
                <w:sz w:val="20"/>
                <w:szCs w:val="20"/>
              </w:rPr>
            </w:pPr>
            <w:r>
              <w:rPr>
                <w:rFonts w:ascii="宋体" w:hAnsi="宋体" w:eastAsia="宋体" w:cs="宋体"/>
                <w:b/>
                <w:bCs/>
                <w:spacing w:val="5"/>
                <w:sz w:val="20"/>
                <w:szCs w:val="20"/>
              </w:rPr>
              <w:t>建设性质</w:t>
            </w:r>
          </w:p>
        </w:tc>
        <w:tc>
          <w:tcPr>
            <w:tcW w:w="963" w:type="dxa"/>
            <w:tcBorders>
              <w:top w:val="single" w:color="000000" w:sz="10" w:space="0"/>
            </w:tcBorders>
            <w:vAlign w:val="top"/>
          </w:tcPr>
          <w:p w14:paraId="1F4AA527">
            <w:pPr>
              <w:spacing w:before="79" w:line="272" w:lineRule="auto"/>
              <w:ind w:left="283" w:right="50" w:hanging="207"/>
              <w:rPr>
                <w:rFonts w:ascii="宋体" w:hAnsi="宋体" w:eastAsia="宋体" w:cs="宋体"/>
                <w:sz w:val="20"/>
                <w:szCs w:val="20"/>
              </w:rPr>
            </w:pPr>
            <w:r>
              <w:rPr>
                <w:rFonts w:ascii="宋体" w:hAnsi="宋体" w:eastAsia="宋体" w:cs="宋体"/>
                <w:b/>
                <w:bCs/>
                <w:spacing w:val="5"/>
                <w:sz w:val="20"/>
                <w:szCs w:val="20"/>
              </w:rPr>
              <w:t>建设等级</w:t>
            </w:r>
            <w:r>
              <w:rPr>
                <w:rFonts w:ascii="宋体" w:hAnsi="宋体" w:eastAsia="宋体" w:cs="宋体"/>
                <w:b/>
                <w:bCs/>
                <w:spacing w:val="3"/>
                <w:sz w:val="20"/>
                <w:szCs w:val="20"/>
              </w:rPr>
              <w:t>标准</w:t>
            </w:r>
          </w:p>
        </w:tc>
        <w:tc>
          <w:tcPr>
            <w:tcW w:w="1071" w:type="dxa"/>
            <w:tcBorders>
              <w:top w:val="single" w:color="000000" w:sz="10" w:space="0"/>
            </w:tcBorders>
            <w:vAlign w:val="top"/>
          </w:tcPr>
          <w:p w14:paraId="220B30FF">
            <w:pPr>
              <w:spacing w:before="80" w:line="229" w:lineRule="auto"/>
              <w:ind w:left="130"/>
              <w:rPr>
                <w:rFonts w:ascii="宋体" w:hAnsi="宋体" w:eastAsia="宋体" w:cs="宋体"/>
                <w:sz w:val="20"/>
                <w:szCs w:val="20"/>
              </w:rPr>
            </w:pPr>
            <w:r>
              <w:rPr>
                <w:rFonts w:ascii="宋体" w:hAnsi="宋体" w:eastAsia="宋体" w:cs="宋体"/>
                <w:b/>
                <w:bCs/>
                <w:spacing w:val="5"/>
                <w:sz w:val="20"/>
                <w:szCs w:val="20"/>
              </w:rPr>
              <w:t>建设里程</w:t>
            </w:r>
          </w:p>
          <w:p w14:paraId="045E5F7D">
            <w:pPr>
              <w:spacing w:before="78" w:line="231" w:lineRule="auto"/>
              <w:ind w:left="138"/>
              <w:rPr>
                <w:rFonts w:ascii="宋体" w:hAnsi="宋体" w:eastAsia="宋体" w:cs="宋体"/>
                <w:sz w:val="20"/>
                <w:szCs w:val="20"/>
              </w:rPr>
            </w:pPr>
            <w:r>
              <w:rPr>
                <w:rFonts w:ascii="宋体" w:hAnsi="宋体" w:eastAsia="宋体" w:cs="宋体"/>
                <w:b/>
                <w:bCs/>
                <w:spacing w:val="1"/>
                <w:sz w:val="20"/>
                <w:szCs w:val="20"/>
              </w:rPr>
              <w:t>（公里）</w:t>
            </w:r>
          </w:p>
        </w:tc>
        <w:tc>
          <w:tcPr>
            <w:tcW w:w="1113" w:type="dxa"/>
            <w:tcBorders>
              <w:top w:val="single" w:color="000000" w:sz="10" w:space="0"/>
            </w:tcBorders>
            <w:vAlign w:val="top"/>
          </w:tcPr>
          <w:p w14:paraId="1BD05475">
            <w:pPr>
              <w:spacing w:before="243" w:line="228" w:lineRule="auto"/>
              <w:ind w:left="151"/>
              <w:rPr>
                <w:rFonts w:ascii="宋体" w:hAnsi="宋体" w:eastAsia="宋体" w:cs="宋体"/>
                <w:sz w:val="20"/>
                <w:szCs w:val="20"/>
              </w:rPr>
            </w:pPr>
            <w:r>
              <w:rPr>
                <w:rFonts w:ascii="宋体" w:hAnsi="宋体" w:eastAsia="宋体" w:cs="宋体"/>
                <w:b/>
                <w:bCs/>
                <w:spacing w:val="5"/>
                <w:sz w:val="20"/>
                <w:szCs w:val="20"/>
              </w:rPr>
              <w:t>建设年限</w:t>
            </w:r>
          </w:p>
        </w:tc>
        <w:tc>
          <w:tcPr>
            <w:tcW w:w="1028" w:type="dxa"/>
            <w:tcBorders>
              <w:top w:val="single" w:color="000000" w:sz="10" w:space="0"/>
            </w:tcBorders>
            <w:vAlign w:val="top"/>
          </w:tcPr>
          <w:p w14:paraId="7AC16EE3">
            <w:pPr>
              <w:spacing w:before="80" w:line="229" w:lineRule="auto"/>
              <w:ind w:right="2"/>
              <w:jc w:val="right"/>
              <w:rPr>
                <w:rFonts w:ascii="宋体" w:hAnsi="宋体" w:eastAsia="宋体" w:cs="宋体"/>
                <w:sz w:val="20"/>
                <w:szCs w:val="20"/>
              </w:rPr>
            </w:pPr>
            <w:r>
              <w:rPr>
                <w:rFonts w:ascii="宋体" w:hAnsi="宋体" w:eastAsia="宋体" w:cs="宋体"/>
                <w:b/>
                <w:bCs/>
                <w:spacing w:val="-5"/>
                <w:sz w:val="20"/>
                <w:szCs w:val="20"/>
              </w:rPr>
              <w:t>总投资（亿</w:t>
            </w:r>
          </w:p>
          <w:p w14:paraId="1649FAC3">
            <w:pPr>
              <w:spacing w:before="78" w:line="229" w:lineRule="auto"/>
              <w:ind w:left="319"/>
              <w:rPr>
                <w:rFonts w:ascii="宋体" w:hAnsi="宋体" w:eastAsia="宋体" w:cs="宋体"/>
                <w:sz w:val="20"/>
                <w:szCs w:val="20"/>
              </w:rPr>
            </w:pPr>
            <w:r>
              <w:rPr>
                <w:rFonts w:ascii="宋体" w:hAnsi="宋体" w:eastAsia="宋体" w:cs="宋体"/>
                <w:b/>
                <w:bCs/>
                <w:spacing w:val="-3"/>
                <w:sz w:val="20"/>
                <w:szCs w:val="20"/>
              </w:rPr>
              <w:t>元）</w:t>
            </w:r>
          </w:p>
        </w:tc>
        <w:tc>
          <w:tcPr>
            <w:tcW w:w="3175" w:type="dxa"/>
            <w:tcBorders>
              <w:top w:val="single" w:color="000000" w:sz="10" w:space="0"/>
              <w:right w:val="single" w:color="000000" w:sz="10" w:space="0"/>
            </w:tcBorders>
            <w:vAlign w:val="top"/>
          </w:tcPr>
          <w:p w14:paraId="184F148A">
            <w:pPr>
              <w:spacing w:before="243" w:line="230" w:lineRule="auto"/>
              <w:ind w:left="1389"/>
              <w:rPr>
                <w:rFonts w:ascii="宋体" w:hAnsi="宋体" w:eastAsia="宋体" w:cs="宋体"/>
                <w:sz w:val="20"/>
                <w:szCs w:val="20"/>
              </w:rPr>
            </w:pPr>
            <w:r>
              <w:rPr>
                <w:rFonts w:ascii="宋体" w:hAnsi="宋体" w:eastAsia="宋体" w:cs="宋体"/>
                <w:b/>
                <w:bCs/>
                <w:spacing w:val="2"/>
                <w:sz w:val="20"/>
                <w:szCs w:val="20"/>
              </w:rPr>
              <w:t>备注</w:t>
            </w:r>
          </w:p>
        </w:tc>
      </w:tr>
      <w:tr w14:paraId="709FB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14603" w:type="dxa"/>
            <w:gridSpan w:val="8"/>
            <w:tcBorders>
              <w:left w:val="single" w:color="000000" w:sz="10" w:space="0"/>
            </w:tcBorders>
            <w:vAlign w:val="top"/>
          </w:tcPr>
          <w:p w14:paraId="641709F9">
            <w:pPr>
              <w:spacing w:before="97" w:line="234" w:lineRule="auto"/>
              <w:ind w:left="4466"/>
              <w:rPr>
                <w:rFonts w:ascii="楷体" w:hAnsi="楷体" w:eastAsia="楷体" w:cs="楷体"/>
                <w:sz w:val="20"/>
                <w:szCs w:val="20"/>
              </w:rPr>
            </w:pPr>
            <w:r>
              <w:rPr>
                <w:rFonts w:ascii="宋体" w:hAnsi="宋体" w:eastAsia="宋体" w:cs="宋体"/>
                <w:b/>
                <w:bCs/>
                <w:spacing w:val="9"/>
                <w:sz w:val="20"/>
                <w:szCs w:val="20"/>
              </w:rPr>
              <w:t>合计</w:t>
            </w:r>
            <w:r>
              <w:rPr>
                <w:rFonts w:ascii="楷体" w:hAnsi="楷体" w:eastAsia="楷体" w:cs="楷体"/>
                <w:spacing w:val="9"/>
                <w:sz w:val="20"/>
                <w:szCs w:val="20"/>
              </w:rPr>
              <w:t>（注：统计不含储备项目和规划研究项目的里程及投资）</w:t>
            </w:r>
          </w:p>
        </w:tc>
        <w:tc>
          <w:tcPr>
            <w:tcW w:w="1071" w:type="dxa"/>
            <w:vAlign w:val="top"/>
          </w:tcPr>
          <w:p w14:paraId="11B8F381">
            <w:pPr>
              <w:rPr>
                <w:rFonts w:ascii="Arial"/>
                <w:sz w:val="21"/>
              </w:rPr>
            </w:pPr>
          </w:p>
        </w:tc>
        <w:tc>
          <w:tcPr>
            <w:tcW w:w="1113" w:type="dxa"/>
            <w:vAlign w:val="top"/>
          </w:tcPr>
          <w:p w14:paraId="3DA8CCD9">
            <w:pPr>
              <w:rPr>
                <w:rFonts w:ascii="Arial"/>
                <w:sz w:val="21"/>
              </w:rPr>
            </w:pPr>
          </w:p>
        </w:tc>
        <w:tc>
          <w:tcPr>
            <w:tcW w:w="1028" w:type="dxa"/>
            <w:vAlign w:val="top"/>
          </w:tcPr>
          <w:p w14:paraId="39AF4132">
            <w:pPr>
              <w:pStyle w:val="6"/>
              <w:spacing w:before="132" w:line="195" w:lineRule="auto"/>
              <w:ind w:left="182"/>
            </w:pPr>
            <w:r>
              <w:rPr>
                <w:b/>
                <w:bCs/>
                <w:spacing w:val="3"/>
              </w:rPr>
              <w:t>2722.45</w:t>
            </w:r>
          </w:p>
        </w:tc>
        <w:tc>
          <w:tcPr>
            <w:tcW w:w="3175" w:type="dxa"/>
            <w:tcBorders>
              <w:right w:val="single" w:color="000000" w:sz="10" w:space="0"/>
            </w:tcBorders>
            <w:vAlign w:val="top"/>
          </w:tcPr>
          <w:p w14:paraId="16140824">
            <w:pPr>
              <w:rPr>
                <w:rFonts w:ascii="Arial"/>
                <w:sz w:val="21"/>
              </w:rPr>
            </w:pPr>
          </w:p>
        </w:tc>
      </w:tr>
      <w:tr w14:paraId="2A31F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8450" w:type="dxa"/>
            <w:gridSpan w:val="4"/>
            <w:tcBorders>
              <w:left w:val="single" w:color="000000" w:sz="10" w:space="0"/>
            </w:tcBorders>
            <w:vAlign w:val="top"/>
          </w:tcPr>
          <w:p w14:paraId="4DD8065F">
            <w:pPr>
              <w:spacing w:before="98" w:line="228" w:lineRule="auto"/>
              <w:ind w:left="3804"/>
              <w:rPr>
                <w:rFonts w:ascii="宋体" w:hAnsi="宋体" w:eastAsia="宋体" w:cs="宋体"/>
                <w:sz w:val="20"/>
                <w:szCs w:val="20"/>
              </w:rPr>
            </w:pPr>
            <w:r>
              <w:rPr>
                <w:rFonts w:ascii="宋体" w:hAnsi="宋体" w:eastAsia="宋体" w:cs="宋体"/>
                <w:b/>
                <w:bCs/>
                <w:spacing w:val="5"/>
                <w:sz w:val="20"/>
                <w:szCs w:val="20"/>
              </w:rPr>
              <w:t>一、公路</w:t>
            </w:r>
          </w:p>
        </w:tc>
        <w:tc>
          <w:tcPr>
            <w:tcW w:w="2204" w:type="dxa"/>
            <w:vAlign w:val="top"/>
          </w:tcPr>
          <w:p w14:paraId="7612E3E6">
            <w:pPr>
              <w:rPr>
                <w:rFonts w:ascii="Arial"/>
                <w:sz w:val="21"/>
              </w:rPr>
            </w:pPr>
          </w:p>
        </w:tc>
        <w:tc>
          <w:tcPr>
            <w:tcW w:w="2066" w:type="dxa"/>
            <w:vAlign w:val="top"/>
          </w:tcPr>
          <w:p w14:paraId="50673D16">
            <w:pPr>
              <w:rPr>
                <w:rFonts w:ascii="Arial"/>
                <w:sz w:val="21"/>
              </w:rPr>
            </w:pPr>
          </w:p>
        </w:tc>
        <w:tc>
          <w:tcPr>
            <w:tcW w:w="920" w:type="dxa"/>
            <w:vAlign w:val="top"/>
          </w:tcPr>
          <w:p w14:paraId="1E744157">
            <w:pPr>
              <w:rPr>
                <w:rFonts w:ascii="Arial"/>
                <w:sz w:val="21"/>
              </w:rPr>
            </w:pPr>
          </w:p>
        </w:tc>
        <w:tc>
          <w:tcPr>
            <w:tcW w:w="963" w:type="dxa"/>
            <w:vAlign w:val="top"/>
          </w:tcPr>
          <w:p w14:paraId="20B240D7">
            <w:pPr>
              <w:rPr>
                <w:rFonts w:ascii="Arial"/>
                <w:sz w:val="21"/>
              </w:rPr>
            </w:pPr>
          </w:p>
        </w:tc>
        <w:tc>
          <w:tcPr>
            <w:tcW w:w="1071" w:type="dxa"/>
            <w:vAlign w:val="top"/>
          </w:tcPr>
          <w:p w14:paraId="102C8917">
            <w:pPr>
              <w:pStyle w:val="6"/>
              <w:spacing w:before="133" w:line="195" w:lineRule="auto"/>
              <w:ind w:left="160"/>
            </w:pPr>
            <w:r>
              <w:rPr>
                <w:b/>
                <w:bCs/>
                <w:spacing w:val="2"/>
              </w:rPr>
              <w:t>10625.85</w:t>
            </w:r>
          </w:p>
        </w:tc>
        <w:tc>
          <w:tcPr>
            <w:tcW w:w="1113" w:type="dxa"/>
            <w:vAlign w:val="top"/>
          </w:tcPr>
          <w:p w14:paraId="3393A814">
            <w:pPr>
              <w:rPr>
                <w:rFonts w:ascii="Arial"/>
                <w:sz w:val="21"/>
              </w:rPr>
            </w:pPr>
          </w:p>
        </w:tc>
        <w:tc>
          <w:tcPr>
            <w:tcW w:w="1028" w:type="dxa"/>
            <w:vAlign w:val="top"/>
          </w:tcPr>
          <w:p w14:paraId="68C38C60">
            <w:pPr>
              <w:pStyle w:val="6"/>
              <w:spacing w:before="133" w:line="195" w:lineRule="auto"/>
              <w:ind w:left="191"/>
            </w:pPr>
            <w:r>
              <w:rPr>
                <w:b/>
                <w:bCs/>
                <w:spacing w:val="2"/>
              </w:rPr>
              <w:t>1646.67</w:t>
            </w:r>
          </w:p>
        </w:tc>
        <w:tc>
          <w:tcPr>
            <w:tcW w:w="3175" w:type="dxa"/>
            <w:tcBorders>
              <w:right w:val="single" w:color="000000" w:sz="10" w:space="0"/>
            </w:tcBorders>
            <w:vAlign w:val="top"/>
          </w:tcPr>
          <w:p w14:paraId="137B9649">
            <w:pPr>
              <w:rPr>
                <w:rFonts w:ascii="Arial"/>
                <w:sz w:val="21"/>
              </w:rPr>
            </w:pPr>
          </w:p>
        </w:tc>
      </w:tr>
      <w:tr w14:paraId="6D6A2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507D46F">
            <w:pPr>
              <w:rPr>
                <w:rFonts w:ascii="Arial"/>
                <w:sz w:val="21"/>
              </w:rPr>
            </w:pPr>
          </w:p>
        </w:tc>
        <w:tc>
          <w:tcPr>
            <w:tcW w:w="7811" w:type="dxa"/>
            <w:gridSpan w:val="3"/>
            <w:vAlign w:val="top"/>
          </w:tcPr>
          <w:p w14:paraId="34BFBAFD">
            <w:pPr>
              <w:pStyle w:val="6"/>
              <w:spacing w:before="59" w:line="319" w:lineRule="exact"/>
              <w:ind w:left="14"/>
              <w:rPr>
                <w:rFonts w:ascii="华文楷体" w:hAnsi="华文楷体" w:eastAsia="华文楷体" w:cs="华文楷体"/>
              </w:rPr>
            </w:pPr>
            <w:r>
              <w:rPr>
                <w:b/>
                <w:bCs/>
                <w:spacing w:val="3"/>
                <w:position w:val="3"/>
              </w:rPr>
              <w:t>1</w:t>
            </w:r>
            <w:r>
              <w:rPr>
                <w:b/>
                <w:bCs/>
                <w:spacing w:val="-20"/>
                <w:position w:val="3"/>
              </w:rPr>
              <w:t xml:space="preserve"> </w:t>
            </w:r>
            <w:r>
              <w:rPr>
                <w:rFonts w:ascii="宋体" w:hAnsi="宋体" w:eastAsia="宋体" w:cs="宋体"/>
                <w:b/>
                <w:bCs/>
                <w:spacing w:val="3"/>
                <w:position w:val="3"/>
              </w:rPr>
              <w:t>、高速公路</w:t>
            </w:r>
            <w:r>
              <w:rPr>
                <w:rFonts w:ascii="华文楷体" w:hAnsi="华文楷体" w:eastAsia="华文楷体" w:cs="华文楷体"/>
                <w:spacing w:val="3"/>
                <w:position w:val="3"/>
              </w:rPr>
              <w:t>（注：</w:t>
            </w:r>
            <w:r>
              <w:rPr>
                <w:rFonts w:ascii="华文楷体" w:hAnsi="华文楷体" w:eastAsia="华文楷体" w:cs="华文楷体"/>
                <w:spacing w:val="-18"/>
                <w:position w:val="3"/>
              </w:rPr>
              <w:t xml:space="preserve"> </w:t>
            </w:r>
            <w:r>
              <w:rPr>
                <w:rFonts w:ascii="华文楷体" w:hAnsi="华文楷体" w:eastAsia="华文楷体" w:cs="华文楷体"/>
                <w:spacing w:val="3"/>
                <w:position w:val="3"/>
              </w:rPr>
              <w:t>统计不含规划研究项 目</w:t>
            </w:r>
            <w:r>
              <w:rPr>
                <w:rFonts w:ascii="华文楷体" w:hAnsi="华文楷体" w:eastAsia="华文楷体" w:cs="华文楷体"/>
                <w:spacing w:val="-21"/>
                <w:position w:val="3"/>
              </w:rPr>
              <w:t xml:space="preserve"> </w:t>
            </w:r>
            <w:r>
              <w:rPr>
                <w:rFonts w:ascii="华文楷体" w:hAnsi="华文楷体" w:eastAsia="华文楷体" w:cs="华文楷体"/>
                <w:spacing w:val="3"/>
                <w:position w:val="3"/>
              </w:rPr>
              <w:t>的里程及投资）</w:t>
            </w:r>
          </w:p>
        </w:tc>
        <w:tc>
          <w:tcPr>
            <w:tcW w:w="2204" w:type="dxa"/>
            <w:vAlign w:val="top"/>
          </w:tcPr>
          <w:p w14:paraId="78C604BB">
            <w:pPr>
              <w:rPr>
                <w:rFonts w:ascii="Arial"/>
                <w:sz w:val="21"/>
              </w:rPr>
            </w:pPr>
          </w:p>
        </w:tc>
        <w:tc>
          <w:tcPr>
            <w:tcW w:w="2066" w:type="dxa"/>
            <w:vAlign w:val="top"/>
          </w:tcPr>
          <w:p w14:paraId="4EC661BC">
            <w:pPr>
              <w:rPr>
                <w:rFonts w:ascii="Arial"/>
                <w:sz w:val="21"/>
              </w:rPr>
            </w:pPr>
          </w:p>
        </w:tc>
        <w:tc>
          <w:tcPr>
            <w:tcW w:w="920" w:type="dxa"/>
            <w:vAlign w:val="top"/>
          </w:tcPr>
          <w:p w14:paraId="18637F9D">
            <w:pPr>
              <w:rPr>
                <w:rFonts w:ascii="Arial"/>
                <w:sz w:val="21"/>
              </w:rPr>
            </w:pPr>
          </w:p>
        </w:tc>
        <w:tc>
          <w:tcPr>
            <w:tcW w:w="963" w:type="dxa"/>
            <w:vAlign w:val="top"/>
          </w:tcPr>
          <w:p w14:paraId="0757A8E0">
            <w:pPr>
              <w:rPr>
                <w:rFonts w:ascii="Arial"/>
                <w:sz w:val="21"/>
              </w:rPr>
            </w:pPr>
          </w:p>
        </w:tc>
        <w:tc>
          <w:tcPr>
            <w:tcW w:w="1071" w:type="dxa"/>
            <w:vAlign w:val="top"/>
          </w:tcPr>
          <w:p w14:paraId="020C6F41">
            <w:pPr>
              <w:pStyle w:val="6"/>
              <w:spacing w:before="134" w:line="195" w:lineRule="auto"/>
              <w:ind w:left="256"/>
            </w:pPr>
            <w:r>
              <w:rPr>
                <w:b/>
                <w:bCs/>
                <w:spacing w:val="3"/>
              </w:rPr>
              <w:t>801.83</w:t>
            </w:r>
          </w:p>
        </w:tc>
        <w:tc>
          <w:tcPr>
            <w:tcW w:w="1113" w:type="dxa"/>
            <w:vAlign w:val="top"/>
          </w:tcPr>
          <w:p w14:paraId="584EB926">
            <w:pPr>
              <w:rPr>
                <w:rFonts w:ascii="Arial"/>
                <w:sz w:val="21"/>
              </w:rPr>
            </w:pPr>
          </w:p>
        </w:tc>
        <w:tc>
          <w:tcPr>
            <w:tcW w:w="1028" w:type="dxa"/>
            <w:vAlign w:val="top"/>
          </w:tcPr>
          <w:p w14:paraId="50C40406">
            <w:pPr>
              <w:pStyle w:val="6"/>
              <w:spacing w:before="134" w:line="195" w:lineRule="auto"/>
              <w:ind w:left="191"/>
            </w:pPr>
            <w:r>
              <w:rPr>
                <w:b/>
                <w:bCs/>
                <w:spacing w:val="2"/>
              </w:rPr>
              <w:t>1415.29</w:t>
            </w:r>
          </w:p>
        </w:tc>
        <w:tc>
          <w:tcPr>
            <w:tcW w:w="3175" w:type="dxa"/>
            <w:tcBorders>
              <w:right w:val="single" w:color="000000" w:sz="10" w:space="0"/>
            </w:tcBorders>
            <w:vAlign w:val="top"/>
          </w:tcPr>
          <w:p w14:paraId="543D4833">
            <w:pPr>
              <w:rPr>
                <w:rFonts w:ascii="Arial"/>
                <w:sz w:val="21"/>
              </w:rPr>
            </w:pPr>
          </w:p>
        </w:tc>
      </w:tr>
      <w:tr w14:paraId="31BD5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7FE16E69">
            <w:pPr>
              <w:rPr>
                <w:rFonts w:ascii="Arial"/>
                <w:sz w:val="21"/>
              </w:rPr>
            </w:pPr>
          </w:p>
        </w:tc>
        <w:tc>
          <w:tcPr>
            <w:tcW w:w="7811" w:type="dxa"/>
            <w:gridSpan w:val="3"/>
            <w:vAlign w:val="top"/>
          </w:tcPr>
          <w:p w14:paraId="5B04945A">
            <w:pPr>
              <w:pStyle w:val="6"/>
              <w:spacing w:before="99" w:line="228" w:lineRule="auto"/>
              <w:ind w:left="19"/>
              <w:rPr>
                <w:rFonts w:ascii="宋体" w:hAnsi="宋体" w:eastAsia="宋体" w:cs="宋体"/>
              </w:rPr>
            </w:pPr>
            <w:r>
              <w:rPr>
                <w:rFonts w:ascii="宋体" w:hAnsi="宋体" w:eastAsia="宋体" w:cs="宋体"/>
                <w:b/>
                <w:bCs/>
                <w:spacing w:val="3"/>
              </w:rPr>
              <w:t>（</w:t>
            </w:r>
            <w:r>
              <w:rPr>
                <w:b/>
                <w:bCs/>
                <w:spacing w:val="3"/>
              </w:rPr>
              <w:t>1</w:t>
            </w:r>
            <w:r>
              <w:rPr>
                <w:rFonts w:ascii="宋体" w:hAnsi="宋体" w:eastAsia="宋体" w:cs="宋体"/>
                <w:b/>
                <w:bCs/>
                <w:spacing w:val="3"/>
              </w:rPr>
              <w:t>）</w:t>
            </w:r>
            <w:r>
              <w:rPr>
                <w:rFonts w:ascii="宋体" w:hAnsi="宋体" w:eastAsia="宋体" w:cs="宋体"/>
                <w:spacing w:val="-79"/>
              </w:rPr>
              <w:t xml:space="preserve"> </w:t>
            </w:r>
            <w:r>
              <w:rPr>
                <w:rFonts w:ascii="宋体" w:hAnsi="宋体" w:eastAsia="宋体" w:cs="宋体"/>
                <w:b/>
                <w:bCs/>
                <w:spacing w:val="3"/>
              </w:rPr>
              <w:t>“十三五</w:t>
            </w:r>
            <w:r>
              <w:rPr>
                <w:rFonts w:ascii="宋体" w:hAnsi="宋体" w:eastAsia="宋体" w:cs="宋体"/>
                <w:spacing w:val="-72"/>
              </w:rPr>
              <w:t xml:space="preserve"> </w:t>
            </w:r>
            <w:r>
              <w:rPr>
                <w:rFonts w:ascii="宋体" w:hAnsi="宋体" w:eastAsia="宋体" w:cs="宋体"/>
                <w:b/>
                <w:bCs/>
                <w:spacing w:val="3"/>
              </w:rPr>
              <w:t>”跨“十四五</w:t>
            </w:r>
            <w:r>
              <w:rPr>
                <w:rFonts w:ascii="宋体" w:hAnsi="宋体" w:eastAsia="宋体" w:cs="宋体"/>
                <w:spacing w:val="-73"/>
              </w:rPr>
              <w:t xml:space="preserve"> </w:t>
            </w:r>
            <w:r>
              <w:rPr>
                <w:rFonts w:ascii="宋体" w:hAnsi="宋体" w:eastAsia="宋体" w:cs="宋体"/>
                <w:b/>
                <w:bCs/>
                <w:spacing w:val="3"/>
              </w:rPr>
              <w:t>”续建项目&lt;4</w:t>
            </w:r>
            <w:r>
              <w:rPr>
                <w:rFonts w:ascii="宋体" w:hAnsi="宋体" w:eastAsia="宋体" w:cs="宋体"/>
                <w:spacing w:val="-38"/>
              </w:rPr>
              <w:t xml:space="preserve"> </w:t>
            </w:r>
            <w:r>
              <w:rPr>
                <w:rFonts w:ascii="宋体" w:hAnsi="宋体" w:eastAsia="宋体" w:cs="宋体"/>
                <w:b/>
                <w:bCs/>
                <w:spacing w:val="2"/>
              </w:rPr>
              <w:t>个&gt;</w:t>
            </w:r>
          </w:p>
        </w:tc>
        <w:tc>
          <w:tcPr>
            <w:tcW w:w="2204" w:type="dxa"/>
            <w:vAlign w:val="top"/>
          </w:tcPr>
          <w:p w14:paraId="31E76CC6">
            <w:pPr>
              <w:rPr>
                <w:rFonts w:ascii="Arial"/>
                <w:sz w:val="21"/>
              </w:rPr>
            </w:pPr>
          </w:p>
        </w:tc>
        <w:tc>
          <w:tcPr>
            <w:tcW w:w="2066" w:type="dxa"/>
            <w:vAlign w:val="top"/>
          </w:tcPr>
          <w:p w14:paraId="5A0A37B9">
            <w:pPr>
              <w:rPr>
                <w:rFonts w:ascii="Arial"/>
                <w:sz w:val="21"/>
              </w:rPr>
            </w:pPr>
          </w:p>
        </w:tc>
        <w:tc>
          <w:tcPr>
            <w:tcW w:w="920" w:type="dxa"/>
            <w:vAlign w:val="top"/>
          </w:tcPr>
          <w:p w14:paraId="14A79AB3">
            <w:pPr>
              <w:rPr>
                <w:rFonts w:ascii="Arial"/>
                <w:sz w:val="21"/>
              </w:rPr>
            </w:pPr>
          </w:p>
        </w:tc>
        <w:tc>
          <w:tcPr>
            <w:tcW w:w="963" w:type="dxa"/>
            <w:vAlign w:val="top"/>
          </w:tcPr>
          <w:p w14:paraId="34AEFDAA">
            <w:pPr>
              <w:rPr>
                <w:rFonts w:ascii="Arial"/>
                <w:sz w:val="21"/>
              </w:rPr>
            </w:pPr>
          </w:p>
        </w:tc>
        <w:tc>
          <w:tcPr>
            <w:tcW w:w="1071" w:type="dxa"/>
            <w:vAlign w:val="top"/>
          </w:tcPr>
          <w:p w14:paraId="304685E0">
            <w:pPr>
              <w:pStyle w:val="6"/>
              <w:spacing w:before="137" w:line="195" w:lineRule="auto"/>
              <w:ind w:left="254"/>
            </w:pPr>
            <w:r>
              <w:rPr>
                <w:b/>
                <w:bCs/>
                <w:spacing w:val="3"/>
              </w:rPr>
              <w:t>222.46</w:t>
            </w:r>
          </w:p>
        </w:tc>
        <w:tc>
          <w:tcPr>
            <w:tcW w:w="1113" w:type="dxa"/>
            <w:vAlign w:val="top"/>
          </w:tcPr>
          <w:p w14:paraId="297B5B3C">
            <w:pPr>
              <w:rPr>
                <w:rFonts w:ascii="Arial"/>
                <w:sz w:val="21"/>
              </w:rPr>
            </w:pPr>
          </w:p>
        </w:tc>
        <w:tc>
          <w:tcPr>
            <w:tcW w:w="1028" w:type="dxa"/>
            <w:vAlign w:val="top"/>
          </w:tcPr>
          <w:p w14:paraId="3D698FA6">
            <w:pPr>
              <w:pStyle w:val="6"/>
              <w:spacing w:before="137" w:line="195" w:lineRule="auto"/>
              <w:ind w:left="233"/>
            </w:pPr>
            <w:r>
              <w:rPr>
                <w:b/>
                <w:bCs/>
                <w:spacing w:val="3"/>
              </w:rPr>
              <w:t>335.80</w:t>
            </w:r>
          </w:p>
        </w:tc>
        <w:tc>
          <w:tcPr>
            <w:tcW w:w="3175" w:type="dxa"/>
            <w:tcBorders>
              <w:right w:val="single" w:color="000000" w:sz="10" w:space="0"/>
            </w:tcBorders>
            <w:vAlign w:val="top"/>
          </w:tcPr>
          <w:p w14:paraId="71F3A3E5">
            <w:pPr>
              <w:rPr>
                <w:rFonts w:ascii="Arial"/>
                <w:sz w:val="21"/>
              </w:rPr>
            </w:pPr>
          </w:p>
        </w:tc>
      </w:tr>
      <w:tr w14:paraId="2D86C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733A6AD3">
            <w:pPr>
              <w:pStyle w:val="6"/>
              <w:spacing w:before="71" w:line="274" w:lineRule="exact"/>
              <w:ind w:left="272"/>
            </w:pPr>
            <w:r>
              <w:rPr>
                <w:position w:val="1"/>
              </w:rPr>
              <w:t>1</w:t>
            </w:r>
          </w:p>
        </w:tc>
        <w:tc>
          <w:tcPr>
            <w:tcW w:w="1412" w:type="dxa"/>
            <w:vAlign w:val="top"/>
          </w:tcPr>
          <w:p w14:paraId="376DFC0D">
            <w:pPr>
              <w:pStyle w:val="6"/>
              <w:spacing w:before="71" w:line="274" w:lineRule="exact"/>
              <w:ind w:left="541"/>
            </w:pPr>
            <w:r>
              <w:rPr>
                <w:spacing w:val="-8"/>
                <w:position w:val="2"/>
              </w:rPr>
              <w:t>S</w:t>
            </w:r>
            <w:r>
              <w:rPr>
                <w:spacing w:val="-27"/>
                <w:position w:val="2"/>
              </w:rPr>
              <w:t xml:space="preserve"> </w:t>
            </w:r>
            <w:r>
              <w:rPr>
                <w:spacing w:val="-8"/>
                <w:position w:val="2"/>
              </w:rPr>
              <w:t>11</w:t>
            </w:r>
          </w:p>
        </w:tc>
        <w:tc>
          <w:tcPr>
            <w:tcW w:w="3274" w:type="dxa"/>
            <w:vAlign w:val="top"/>
          </w:tcPr>
          <w:p w14:paraId="692DF4AF">
            <w:pPr>
              <w:spacing w:before="99" w:line="228" w:lineRule="auto"/>
              <w:ind w:left="271"/>
              <w:rPr>
                <w:rFonts w:ascii="宋体" w:hAnsi="宋体" w:eastAsia="宋体" w:cs="宋体"/>
                <w:sz w:val="20"/>
                <w:szCs w:val="20"/>
              </w:rPr>
            </w:pPr>
            <w:r>
              <w:rPr>
                <w:rFonts w:ascii="宋体" w:hAnsi="宋体" w:eastAsia="宋体" w:cs="宋体"/>
                <w:spacing w:val="8"/>
                <w:sz w:val="20"/>
                <w:szCs w:val="20"/>
              </w:rPr>
              <w:t>杨柳(滇黔界)至宣威高速公路</w:t>
            </w:r>
          </w:p>
        </w:tc>
        <w:tc>
          <w:tcPr>
            <w:tcW w:w="3125" w:type="dxa"/>
            <w:vAlign w:val="top"/>
          </w:tcPr>
          <w:p w14:paraId="79C4CBFF">
            <w:pPr>
              <w:spacing w:before="99"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44B70C58">
            <w:pPr>
              <w:spacing w:before="99" w:line="228" w:lineRule="auto"/>
              <w:ind w:left="374"/>
              <w:rPr>
                <w:rFonts w:ascii="宋体" w:hAnsi="宋体" w:eastAsia="宋体" w:cs="宋体"/>
                <w:sz w:val="20"/>
                <w:szCs w:val="20"/>
              </w:rPr>
            </w:pPr>
            <w:r>
              <w:rPr>
                <w:rFonts w:ascii="宋体" w:hAnsi="宋体" w:eastAsia="宋体" w:cs="宋体"/>
                <w:spacing w:val="6"/>
                <w:sz w:val="20"/>
                <w:szCs w:val="20"/>
              </w:rPr>
              <w:t>杨柳（滇黔界）</w:t>
            </w:r>
          </w:p>
        </w:tc>
        <w:tc>
          <w:tcPr>
            <w:tcW w:w="2066" w:type="dxa"/>
            <w:vAlign w:val="top"/>
          </w:tcPr>
          <w:p w14:paraId="1B903D5C">
            <w:pPr>
              <w:spacing w:before="99" w:line="228" w:lineRule="auto"/>
              <w:ind w:left="624"/>
              <w:rPr>
                <w:rFonts w:ascii="宋体" w:hAnsi="宋体" w:eastAsia="宋体" w:cs="宋体"/>
                <w:sz w:val="20"/>
                <w:szCs w:val="20"/>
              </w:rPr>
            </w:pPr>
            <w:r>
              <w:rPr>
                <w:rFonts w:ascii="宋体" w:hAnsi="宋体" w:eastAsia="宋体" w:cs="宋体"/>
                <w:spacing w:val="6"/>
                <w:sz w:val="20"/>
                <w:szCs w:val="20"/>
              </w:rPr>
              <w:t>宣威塘坊</w:t>
            </w:r>
          </w:p>
        </w:tc>
        <w:tc>
          <w:tcPr>
            <w:tcW w:w="920" w:type="dxa"/>
            <w:vAlign w:val="top"/>
          </w:tcPr>
          <w:p w14:paraId="45820D14">
            <w:pPr>
              <w:spacing w:before="99" w:line="229" w:lineRule="auto"/>
              <w:ind w:left="261"/>
              <w:rPr>
                <w:rFonts w:ascii="宋体" w:hAnsi="宋体" w:eastAsia="宋体" w:cs="宋体"/>
                <w:sz w:val="20"/>
                <w:szCs w:val="20"/>
              </w:rPr>
            </w:pPr>
            <w:r>
              <w:rPr>
                <w:rFonts w:ascii="宋体" w:hAnsi="宋体" w:eastAsia="宋体" w:cs="宋体"/>
                <w:spacing w:val="3"/>
                <w:sz w:val="20"/>
                <w:szCs w:val="20"/>
              </w:rPr>
              <w:t>续建</w:t>
            </w:r>
          </w:p>
        </w:tc>
        <w:tc>
          <w:tcPr>
            <w:tcW w:w="963" w:type="dxa"/>
            <w:vAlign w:val="top"/>
          </w:tcPr>
          <w:p w14:paraId="5E54CC49">
            <w:pPr>
              <w:spacing w:before="99"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41531CF4">
            <w:pPr>
              <w:pStyle w:val="6"/>
              <w:spacing w:before="71" w:line="274" w:lineRule="exact"/>
              <w:ind w:left="305"/>
            </w:pPr>
            <w:r>
              <w:rPr>
                <w:spacing w:val="4"/>
                <w:position w:val="2"/>
              </w:rPr>
              <w:t>48.22</w:t>
            </w:r>
          </w:p>
        </w:tc>
        <w:tc>
          <w:tcPr>
            <w:tcW w:w="1113" w:type="dxa"/>
            <w:vAlign w:val="top"/>
          </w:tcPr>
          <w:p w14:paraId="1D051D10">
            <w:pPr>
              <w:pStyle w:val="6"/>
              <w:spacing w:before="71" w:line="274" w:lineRule="exact"/>
              <w:ind w:left="111"/>
            </w:pPr>
            <w:r>
              <w:rPr>
                <w:spacing w:val="4"/>
                <w:position w:val="2"/>
              </w:rPr>
              <w:t>2018-2021</w:t>
            </w:r>
          </w:p>
        </w:tc>
        <w:tc>
          <w:tcPr>
            <w:tcW w:w="1028" w:type="dxa"/>
            <w:vAlign w:val="top"/>
          </w:tcPr>
          <w:p w14:paraId="76B103AF">
            <w:pPr>
              <w:pStyle w:val="6"/>
              <w:spacing w:before="71" w:line="274" w:lineRule="exact"/>
              <w:ind w:left="290"/>
            </w:pPr>
            <w:r>
              <w:rPr>
                <w:spacing w:val="3"/>
                <w:position w:val="2"/>
              </w:rPr>
              <w:t>72.30</w:t>
            </w:r>
          </w:p>
        </w:tc>
        <w:tc>
          <w:tcPr>
            <w:tcW w:w="3175" w:type="dxa"/>
            <w:tcBorders>
              <w:right w:val="single" w:color="000000" w:sz="10" w:space="0"/>
            </w:tcBorders>
            <w:vAlign w:val="top"/>
          </w:tcPr>
          <w:p w14:paraId="4DB15C59">
            <w:pPr>
              <w:spacing w:before="99" w:line="230" w:lineRule="auto"/>
              <w:ind w:left="1304"/>
              <w:rPr>
                <w:rFonts w:ascii="宋体" w:hAnsi="宋体" w:eastAsia="宋体" w:cs="宋体"/>
                <w:sz w:val="20"/>
                <w:szCs w:val="20"/>
              </w:rPr>
            </w:pPr>
            <w:r>
              <w:rPr>
                <w:rFonts w:ascii="宋体" w:hAnsi="宋体" w:eastAsia="宋体" w:cs="宋体"/>
                <w:spacing w:val="-1"/>
                <w:sz w:val="20"/>
                <w:szCs w:val="20"/>
              </w:rPr>
              <w:t>已建成</w:t>
            </w:r>
          </w:p>
        </w:tc>
      </w:tr>
      <w:tr w14:paraId="17BE7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2AD829A5">
            <w:pPr>
              <w:pStyle w:val="6"/>
              <w:spacing w:before="71" w:line="274" w:lineRule="exact"/>
              <w:ind w:left="252"/>
            </w:pPr>
            <w:r>
              <w:rPr>
                <w:position w:val="1"/>
              </w:rPr>
              <w:t>2</w:t>
            </w:r>
          </w:p>
        </w:tc>
        <w:tc>
          <w:tcPr>
            <w:tcW w:w="1412" w:type="dxa"/>
            <w:vAlign w:val="top"/>
          </w:tcPr>
          <w:p w14:paraId="37FFF0E8">
            <w:pPr>
              <w:pStyle w:val="6"/>
              <w:spacing w:before="71" w:line="274" w:lineRule="exact"/>
              <w:ind w:left="519"/>
            </w:pPr>
            <w:r>
              <w:rPr>
                <w:spacing w:val="3"/>
                <w:position w:val="2"/>
              </w:rPr>
              <w:t>G60</w:t>
            </w:r>
          </w:p>
        </w:tc>
        <w:tc>
          <w:tcPr>
            <w:tcW w:w="3274" w:type="dxa"/>
            <w:vAlign w:val="top"/>
          </w:tcPr>
          <w:p w14:paraId="23FFB8D5">
            <w:pPr>
              <w:spacing w:before="102" w:line="228" w:lineRule="auto"/>
              <w:ind w:left="294"/>
              <w:rPr>
                <w:rFonts w:ascii="宋体" w:hAnsi="宋体" w:eastAsia="宋体" w:cs="宋体"/>
                <w:sz w:val="20"/>
                <w:szCs w:val="20"/>
              </w:rPr>
            </w:pPr>
            <w:r>
              <w:rPr>
                <w:rFonts w:ascii="宋体" w:hAnsi="宋体" w:eastAsia="宋体" w:cs="宋体"/>
                <w:spacing w:val="7"/>
                <w:sz w:val="20"/>
                <w:szCs w:val="20"/>
              </w:rPr>
              <w:t>曲靖三宝至昆明清水高速公路</w:t>
            </w:r>
          </w:p>
        </w:tc>
        <w:tc>
          <w:tcPr>
            <w:tcW w:w="3125" w:type="dxa"/>
            <w:vAlign w:val="top"/>
          </w:tcPr>
          <w:p w14:paraId="488562D4">
            <w:pPr>
              <w:spacing w:before="102"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vAlign w:val="top"/>
          </w:tcPr>
          <w:p w14:paraId="4932E5C1">
            <w:pPr>
              <w:spacing w:before="102" w:line="228" w:lineRule="auto"/>
              <w:ind w:left="482"/>
              <w:rPr>
                <w:rFonts w:ascii="宋体" w:hAnsi="宋体" w:eastAsia="宋体" w:cs="宋体"/>
                <w:sz w:val="20"/>
                <w:szCs w:val="20"/>
              </w:rPr>
            </w:pPr>
            <w:r>
              <w:rPr>
                <w:rFonts w:ascii="宋体" w:hAnsi="宋体" w:eastAsia="宋体" w:cs="宋体"/>
                <w:spacing w:val="7"/>
                <w:sz w:val="20"/>
                <w:szCs w:val="20"/>
              </w:rPr>
              <w:t>马龙月望立交</w:t>
            </w:r>
          </w:p>
        </w:tc>
        <w:tc>
          <w:tcPr>
            <w:tcW w:w="2066" w:type="dxa"/>
            <w:vAlign w:val="top"/>
          </w:tcPr>
          <w:p w14:paraId="2A410F47">
            <w:pPr>
              <w:spacing w:before="102" w:line="228" w:lineRule="auto"/>
              <w:ind w:left="329"/>
              <w:rPr>
                <w:rFonts w:ascii="宋体" w:hAnsi="宋体" w:eastAsia="宋体" w:cs="宋体"/>
                <w:sz w:val="20"/>
                <w:szCs w:val="20"/>
              </w:rPr>
            </w:pPr>
            <w:r>
              <w:rPr>
                <w:rFonts w:ascii="宋体" w:hAnsi="宋体" w:eastAsia="宋体" w:cs="宋体"/>
                <w:spacing w:val="5"/>
                <w:sz w:val="20"/>
                <w:szCs w:val="20"/>
              </w:rPr>
              <w:t>昆明宜良县边界</w:t>
            </w:r>
          </w:p>
        </w:tc>
        <w:tc>
          <w:tcPr>
            <w:tcW w:w="920" w:type="dxa"/>
            <w:vAlign w:val="top"/>
          </w:tcPr>
          <w:p w14:paraId="1DE5F179">
            <w:pPr>
              <w:spacing w:before="102" w:line="229" w:lineRule="auto"/>
              <w:ind w:left="261"/>
              <w:rPr>
                <w:rFonts w:ascii="宋体" w:hAnsi="宋体" w:eastAsia="宋体" w:cs="宋体"/>
                <w:sz w:val="20"/>
                <w:szCs w:val="20"/>
              </w:rPr>
            </w:pPr>
            <w:r>
              <w:rPr>
                <w:rFonts w:ascii="宋体" w:hAnsi="宋体" w:eastAsia="宋体" w:cs="宋体"/>
                <w:spacing w:val="3"/>
                <w:sz w:val="20"/>
                <w:szCs w:val="20"/>
              </w:rPr>
              <w:t>续建</w:t>
            </w:r>
          </w:p>
        </w:tc>
        <w:tc>
          <w:tcPr>
            <w:tcW w:w="963" w:type="dxa"/>
            <w:vAlign w:val="top"/>
          </w:tcPr>
          <w:p w14:paraId="6CAD3F8A">
            <w:pPr>
              <w:spacing w:before="102"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780E8027">
            <w:pPr>
              <w:pStyle w:val="6"/>
              <w:spacing w:before="71" w:line="274" w:lineRule="exact"/>
              <w:ind w:left="310"/>
            </w:pPr>
            <w:r>
              <w:rPr>
                <w:spacing w:val="3"/>
                <w:position w:val="2"/>
              </w:rPr>
              <w:t>34.97</w:t>
            </w:r>
          </w:p>
        </w:tc>
        <w:tc>
          <w:tcPr>
            <w:tcW w:w="1113" w:type="dxa"/>
            <w:vAlign w:val="top"/>
          </w:tcPr>
          <w:p w14:paraId="2CD063AB">
            <w:pPr>
              <w:pStyle w:val="6"/>
              <w:spacing w:before="71" w:line="274" w:lineRule="exact"/>
              <w:ind w:left="111"/>
            </w:pPr>
            <w:r>
              <w:rPr>
                <w:spacing w:val="4"/>
                <w:position w:val="2"/>
              </w:rPr>
              <w:t>2019-2021</w:t>
            </w:r>
          </w:p>
        </w:tc>
        <w:tc>
          <w:tcPr>
            <w:tcW w:w="1028" w:type="dxa"/>
            <w:vAlign w:val="top"/>
          </w:tcPr>
          <w:p w14:paraId="4D133FBD">
            <w:pPr>
              <w:pStyle w:val="6"/>
              <w:spacing w:before="71" w:line="274" w:lineRule="exact"/>
              <w:ind w:left="293"/>
            </w:pPr>
            <w:r>
              <w:rPr>
                <w:spacing w:val="2"/>
                <w:position w:val="2"/>
              </w:rPr>
              <w:t>52.50</w:t>
            </w:r>
          </w:p>
        </w:tc>
        <w:tc>
          <w:tcPr>
            <w:tcW w:w="3175" w:type="dxa"/>
            <w:tcBorders>
              <w:right w:val="single" w:color="000000" w:sz="10" w:space="0"/>
            </w:tcBorders>
            <w:vAlign w:val="top"/>
          </w:tcPr>
          <w:p w14:paraId="5C4D630F">
            <w:pPr>
              <w:spacing w:before="102" w:line="230" w:lineRule="auto"/>
              <w:ind w:left="1304"/>
              <w:rPr>
                <w:rFonts w:ascii="宋体" w:hAnsi="宋体" w:eastAsia="宋体" w:cs="宋体"/>
                <w:sz w:val="20"/>
                <w:szCs w:val="20"/>
              </w:rPr>
            </w:pPr>
            <w:r>
              <w:rPr>
                <w:rFonts w:ascii="宋体" w:hAnsi="宋体" w:eastAsia="宋体" w:cs="宋体"/>
                <w:spacing w:val="-1"/>
                <w:sz w:val="20"/>
                <w:szCs w:val="20"/>
              </w:rPr>
              <w:t>已建成</w:t>
            </w:r>
          </w:p>
        </w:tc>
      </w:tr>
      <w:tr w14:paraId="1203F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1C4AB60">
            <w:pPr>
              <w:pStyle w:val="6"/>
              <w:spacing w:before="72" w:line="274" w:lineRule="exact"/>
              <w:ind w:left="256"/>
            </w:pPr>
            <w:r>
              <w:rPr>
                <w:position w:val="2"/>
              </w:rPr>
              <w:t>3</w:t>
            </w:r>
          </w:p>
        </w:tc>
        <w:tc>
          <w:tcPr>
            <w:tcW w:w="1412" w:type="dxa"/>
            <w:vAlign w:val="top"/>
          </w:tcPr>
          <w:p w14:paraId="2ECF8732">
            <w:pPr>
              <w:pStyle w:val="6"/>
              <w:spacing w:before="72" w:line="274" w:lineRule="exact"/>
              <w:ind w:left="541"/>
            </w:pPr>
            <w:r>
              <w:rPr>
                <w:spacing w:val="-8"/>
                <w:position w:val="2"/>
              </w:rPr>
              <w:t>S</w:t>
            </w:r>
            <w:r>
              <w:rPr>
                <w:spacing w:val="-27"/>
                <w:position w:val="2"/>
              </w:rPr>
              <w:t xml:space="preserve"> </w:t>
            </w:r>
            <w:r>
              <w:rPr>
                <w:spacing w:val="-8"/>
                <w:position w:val="2"/>
              </w:rPr>
              <w:t>11</w:t>
            </w:r>
          </w:p>
        </w:tc>
        <w:tc>
          <w:tcPr>
            <w:tcW w:w="3274" w:type="dxa"/>
            <w:vAlign w:val="top"/>
          </w:tcPr>
          <w:p w14:paraId="530B54EE">
            <w:pPr>
              <w:spacing w:before="102" w:line="228" w:lineRule="auto"/>
              <w:ind w:left="294"/>
              <w:rPr>
                <w:rFonts w:ascii="宋体" w:hAnsi="宋体" w:eastAsia="宋体" w:cs="宋体"/>
                <w:sz w:val="20"/>
                <w:szCs w:val="20"/>
              </w:rPr>
            </w:pPr>
            <w:r>
              <w:rPr>
                <w:rFonts w:ascii="宋体" w:hAnsi="宋体" w:eastAsia="宋体" w:cs="宋体"/>
                <w:spacing w:val="6"/>
                <w:sz w:val="20"/>
                <w:szCs w:val="20"/>
              </w:rPr>
              <w:t>曲靖(麒麟区)至师宗高速公路</w:t>
            </w:r>
          </w:p>
        </w:tc>
        <w:tc>
          <w:tcPr>
            <w:tcW w:w="3125" w:type="dxa"/>
            <w:vAlign w:val="top"/>
          </w:tcPr>
          <w:p w14:paraId="0BEF2284">
            <w:pPr>
              <w:spacing w:before="102"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1986B386">
            <w:pPr>
              <w:spacing w:before="103" w:line="228" w:lineRule="auto"/>
              <w:ind w:left="685"/>
              <w:rPr>
                <w:rFonts w:ascii="宋体" w:hAnsi="宋体" w:eastAsia="宋体" w:cs="宋体"/>
                <w:sz w:val="20"/>
                <w:szCs w:val="20"/>
              </w:rPr>
            </w:pPr>
            <w:r>
              <w:rPr>
                <w:rFonts w:ascii="宋体" w:hAnsi="宋体" w:eastAsia="宋体" w:cs="宋体"/>
                <w:spacing w:val="7"/>
                <w:sz w:val="20"/>
                <w:szCs w:val="20"/>
              </w:rPr>
              <w:t>麒麟兴龙</w:t>
            </w:r>
          </w:p>
        </w:tc>
        <w:tc>
          <w:tcPr>
            <w:tcW w:w="2066" w:type="dxa"/>
            <w:vAlign w:val="top"/>
          </w:tcPr>
          <w:p w14:paraId="183F49B3">
            <w:pPr>
              <w:pStyle w:val="6"/>
              <w:spacing w:before="72" w:line="274" w:lineRule="exact"/>
              <w:ind w:left="240"/>
            </w:pPr>
            <w:r>
              <w:rPr>
                <w:rFonts w:ascii="宋体" w:hAnsi="宋体" w:eastAsia="宋体" w:cs="宋体"/>
                <w:spacing w:val="7"/>
                <w:position w:val="2"/>
              </w:rPr>
              <w:t>师宗彩云</w:t>
            </w:r>
            <w:r>
              <w:rPr>
                <w:spacing w:val="7"/>
                <w:position w:val="2"/>
              </w:rPr>
              <w:t>(</w:t>
            </w:r>
            <w:r>
              <w:rPr>
                <w:rFonts w:ascii="宋体" w:hAnsi="宋体" w:eastAsia="宋体" w:cs="宋体"/>
                <w:spacing w:val="7"/>
                <w:position w:val="2"/>
              </w:rPr>
              <w:t>泸西界</w:t>
            </w:r>
            <w:r>
              <w:rPr>
                <w:spacing w:val="7"/>
                <w:position w:val="2"/>
              </w:rPr>
              <w:t>)</w:t>
            </w:r>
          </w:p>
        </w:tc>
        <w:tc>
          <w:tcPr>
            <w:tcW w:w="920" w:type="dxa"/>
            <w:vAlign w:val="top"/>
          </w:tcPr>
          <w:p w14:paraId="04ACFA0F">
            <w:pPr>
              <w:spacing w:before="103" w:line="229" w:lineRule="auto"/>
              <w:ind w:left="261"/>
              <w:rPr>
                <w:rFonts w:ascii="宋体" w:hAnsi="宋体" w:eastAsia="宋体" w:cs="宋体"/>
                <w:sz w:val="20"/>
                <w:szCs w:val="20"/>
              </w:rPr>
            </w:pPr>
            <w:r>
              <w:rPr>
                <w:rFonts w:ascii="宋体" w:hAnsi="宋体" w:eastAsia="宋体" w:cs="宋体"/>
                <w:spacing w:val="3"/>
                <w:sz w:val="20"/>
                <w:szCs w:val="20"/>
              </w:rPr>
              <w:t>续建</w:t>
            </w:r>
          </w:p>
        </w:tc>
        <w:tc>
          <w:tcPr>
            <w:tcW w:w="963" w:type="dxa"/>
            <w:vAlign w:val="top"/>
          </w:tcPr>
          <w:p w14:paraId="057FC3C4">
            <w:pPr>
              <w:spacing w:before="103"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13B52C26">
            <w:pPr>
              <w:pStyle w:val="6"/>
              <w:spacing w:before="72" w:line="274" w:lineRule="exact"/>
              <w:ind w:left="406"/>
            </w:pPr>
            <w:r>
              <w:rPr>
                <w:spacing w:val="-3"/>
                <w:position w:val="2"/>
              </w:rPr>
              <w:t>104</w:t>
            </w:r>
          </w:p>
        </w:tc>
        <w:tc>
          <w:tcPr>
            <w:tcW w:w="1113" w:type="dxa"/>
            <w:vAlign w:val="top"/>
          </w:tcPr>
          <w:p w14:paraId="275DFE04">
            <w:pPr>
              <w:pStyle w:val="6"/>
              <w:spacing w:before="72" w:line="274" w:lineRule="exact"/>
              <w:ind w:left="111"/>
            </w:pPr>
            <w:r>
              <w:rPr>
                <w:spacing w:val="4"/>
                <w:position w:val="2"/>
              </w:rPr>
              <w:t>2018-2021</w:t>
            </w:r>
          </w:p>
        </w:tc>
        <w:tc>
          <w:tcPr>
            <w:tcW w:w="1028" w:type="dxa"/>
            <w:vAlign w:val="top"/>
          </w:tcPr>
          <w:p w14:paraId="18EE6FB7">
            <w:pPr>
              <w:pStyle w:val="6"/>
              <w:spacing w:before="72" w:line="274" w:lineRule="exact"/>
              <w:ind w:left="254"/>
            </w:pPr>
            <w:r>
              <w:rPr>
                <w:position w:val="2"/>
              </w:rPr>
              <w:t>156.00</w:t>
            </w:r>
          </w:p>
        </w:tc>
        <w:tc>
          <w:tcPr>
            <w:tcW w:w="3175" w:type="dxa"/>
            <w:tcBorders>
              <w:right w:val="single" w:color="000000" w:sz="10" w:space="0"/>
            </w:tcBorders>
            <w:vAlign w:val="top"/>
          </w:tcPr>
          <w:p w14:paraId="42E7A9D5">
            <w:pPr>
              <w:spacing w:before="102" w:line="230" w:lineRule="auto"/>
              <w:ind w:left="1304"/>
              <w:rPr>
                <w:rFonts w:ascii="宋体" w:hAnsi="宋体" w:eastAsia="宋体" w:cs="宋体"/>
                <w:sz w:val="20"/>
                <w:szCs w:val="20"/>
              </w:rPr>
            </w:pPr>
            <w:r>
              <w:rPr>
                <w:rFonts w:ascii="宋体" w:hAnsi="宋体" w:eastAsia="宋体" w:cs="宋体"/>
                <w:spacing w:val="-1"/>
                <w:sz w:val="20"/>
                <w:szCs w:val="20"/>
              </w:rPr>
              <w:t>已建成</w:t>
            </w:r>
          </w:p>
        </w:tc>
      </w:tr>
      <w:tr w14:paraId="09CE9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B3AC3CB">
            <w:pPr>
              <w:pStyle w:val="6"/>
              <w:spacing w:before="72" w:line="275" w:lineRule="exact"/>
              <w:ind w:left="251"/>
            </w:pPr>
            <w:r>
              <w:rPr>
                <w:spacing w:val="1"/>
                <w:position w:val="1"/>
              </w:rPr>
              <w:t>4</w:t>
            </w:r>
          </w:p>
        </w:tc>
        <w:tc>
          <w:tcPr>
            <w:tcW w:w="1412" w:type="dxa"/>
            <w:vAlign w:val="top"/>
          </w:tcPr>
          <w:p w14:paraId="31B9E6B3">
            <w:pPr>
              <w:pStyle w:val="6"/>
              <w:spacing w:before="72" w:line="275" w:lineRule="exact"/>
              <w:ind w:left="541"/>
            </w:pPr>
            <w:r>
              <w:rPr>
                <w:spacing w:val="-8"/>
                <w:position w:val="2"/>
              </w:rPr>
              <w:t>S</w:t>
            </w:r>
            <w:r>
              <w:rPr>
                <w:spacing w:val="-27"/>
                <w:position w:val="2"/>
              </w:rPr>
              <w:t xml:space="preserve"> </w:t>
            </w:r>
            <w:r>
              <w:rPr>
                <w:spacing w:val="-8"/>
                <w:position w:val="2"/>
              </w:rPr>
              <w:t>15</w:t>
            </w:r>
          </w:p>
        </w:tc>
        <w:tc>
          <w:tcPr>
            <w:tcW w:w="3274" w:type="dxa"/>
            <w:vAlign w:val="top"/>
          </w:tcPr>
          <w:p w14:paraId="179DFD5A">
            <w:pPr>
              <w:spacing w:before="104" w:line="228" w:lineRule="auto"/>
              <w:ind w:left="585"/>
              <w:rPr>
                <w:rFonts w:ascii="宋体" w:hAnsi="宋体" w:eastAsia="宋体" w:cs="宋体"/>
                <w:sz w:val="20"/>
                <w:szCs w:val="20"/>
              </w:rPr>
            </w:pPr>
            <w:r>
              <w:rPr>
                <w:rFonts w:ascii="宋体" w:hAnsi="宋体" w:eastAsia="宋体" w:cs="宋体"/>
                <w:spacing w:val="8"/>
                <w:sz w:val="20"/>
                <w:szCs w:val="20"/>
              </w:rPr>
              <w:t>罗平至八大河高速公路</w:t>
            </w:r>
          </w:p>
        </w:tc>
        <w:tc>
          <w:tcPr>
            <w:tcW w:w="3125" w:type="dxa"/>
            <w:vAlign w:val="top"/>
          </w:tcPr>
          <w:p w14:paraId="34221930">
            <w:pPr>
              <w:spacing w:before="103"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4F75AD46">
            <w:pPr>
              <w:spacing w:before="104" w:line="228" w:lineRule="auto"/>
              <w:ind w:left="582"/>
              <w:rPr>
                <w:rFonts w:ascii="宋体" w:hAnsi="宋体" w:eastAsia="宋体" w:cs="宋体"/>
                <w:sz w:val="20"/>
                <w:szCs w:val="20"/>
              </w:rPr>
            </w:pPr>
            <w:r>
              <w:rPr>
                <w:rFonts w:ascii="宋体" w:hAnsi="宋体" w:eastAsia="宋体" w:cs="宋体"/>
                <w:spacing w:val="7"/>
                <w:sz w:val="20"/>
                <w:szCs w:val="20"/>
              </w:rPr>
              <w:t>罗平马鞍山</w:t>
            </w:r>
          </w:p>
        </w:tc>
        <w:tc>
          <w:tcPr>
            <w:tcW w:w="2066" w:type="dxa"/>
            <w:vAlign w:val="top"/>
          </w:tcPr>
          <w:p w14:paraId="2F7802F4">
            <w:pPr>
              <w:spacing w:before="104" w:line="228" w:lineRule="auto"/>
              <w:ind w:left="204"/>
              <w:rPr>
                <w:rFonts w:ascii="宋体" w:hAnsi="宋体" w:eastAsia="宋体" w:cs="宋体"/>
                <w:sz w:val="20"/>
                <w:szCs w:val="20"/>
              </w:rPr>
            </w:pPr>
            <w:r>
              <w:rPr>
                <w:rFonts w:ascii="宋体" w:hAnsi="宋体" w:eastAsia="宋体" w:cs="宋体"/>
                <w:spacing w:val="7"/>
                <w:sz w:val="20"/>
                <w:szCs w:val="20"/>
              </w:rPr>
              <w:t>八大河（滇桂界）</w:t>
            </w:r>
          </w:p>
        </w:tc>
        <w:tc>
          <w:tcPr>
            <w:tcW w:w="920" w:type="dxa"/>
            <w:vAlign w:val="top"/>
          </w:tcPr>
          <w:p w14:paraId="06166114">
            <w:pPr>
              <w:spacing w:before="103" w:line="229" w:lineRule="auto"/>
              <w:ind w:left="261"/>
              <w:rPr>
                <w:rFonts w:ascii="宋体" w:hAnsi="宋体" w:eastAsia="宋体" w:cs="宋体"/>
                <w:sz w:val="20"/>
                <w:szCs w:val="20"/>
              </w:rPr>
            </w:pPr>
            <w:r>
              <w:rPr>
                <w:rFonts w:ascii="宋体" w:hAnsi="宋体" w:eastAsia="宋体" w:cs="宋体"/>
                <w:spacing w:val="3"/>
                <w:sz w:val="20"/>
                <w:szCs w:val="20"/>
              </w:rPr>
              <w:t>续建</w:t>
            </w:r>
          </w:p>
        </w:tc>
        <w:tc>
          <w:tcPr>
            <w:tcW w:w="963" w:type="dxa"/>
            <w:vAlign w:val="top"/>
          </w:tcPr>
          <w:p w14:paraId="608F893D">
            <w:pPr>
              <w:spacing w:before="104"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56A757CB">
            <w:pPr>
              <w:pStyle w:val="6"/>
              <w:spacing w:before="72" w:line="275" w:lineRule="exact"/>
              <w:ind w:left="310"/>
            </w:pPr>
            <w:r>
              <w:rPr>
                <w:spacing w:val="3"/>
                <w:position w:val="2"/>
              </w:rPr>
              <w:t>35.27</w:t>
            </w:r>
          </w:p>
        </w:tc>
        <w:tc>
          <w:tcPr>
            <w:tcW w:w="1113" w:type="dxa"/>
            <w:vAlign w:val="top"/>
          </w:tcPr>
          <w:p w14:paraId="4F625E16">
            <w:pPr>
              <w:pStyle w:val="6"/>
              <w:spacing w:before="72" w:line="275" w:lineRule="exact"/>
              <w:ind w:left="111"/>
            </w:pPr>
            <w:r>
              <w:rPr>
                <w:spacing w:val="4"/>
                <w:position w:val="2"/>
              </w:rPr>
              <w:t>2018-2021</w:t>
            </w:r>
          </w:p>
        </w:tc>
        <w:tc>
          <w:tcPr>
            <w:tcW w:w="1028" w:type="dxa"/>
            <w:vAlign w:val="top"/>
          </w:tcPr>
          <w:p w14:paraId="40B89818">
            <w:pPr>
              <w:pStyle w:val="6"/>
              <w:spacing w:before="72" w:line="275" w:lineRule="exact"/>
              <w:ind w:left="293"/>
            </w:pPr>
            <w:r>
              <w:rPr>
                <w:spacing w:val="2"/>
                <w:position w:val="2"/>
              </w:rPr>
              <w:t>55.00</w:t>
            </w:r>
          </w:p>
        </w:tc>
        <w:tc>
          <w:tcPr>
            <w:tcW w:w="3175" w:type="dxa"/>
            <w:tcBorders>
              <w:right w:val="single" w:color="000000" w:sz="10" w:space="0"/>
            </w:tcBorders>
            <w:vAlign w:val="top"/>
          </w:tcPr>
          <w:p w14:paraId="5A6A2625">
            <w:pPr>
              <w:spacing w:before="104" w:line="228" w:lineRule="auto"/>
              <w:ind w:left="1073"/>
              <w:rPr>
                <w:rFonts w:ascii="宋体" w:hAnsi="宋体" w:eastAsia="宋体" w:cs="宋体"/>
                <w:sz w:val="20"/>
                <w:szCs w:val="20"/>
              </w:rPr>
            </w:pPr>
            <w:r>
              <w:rPr>
                <w:rFonts w:ascii="宋体" w:hAnsi="宋体" w:eastAsia="宋体" w:cs="宋体"/>
                <w:spacing w:val="7"/>
                <w:sz w:val="20"/>
                <w:szCs w:val="20"/>
              </w:rPr>
              <w:t>部分已建成</w:t>
            </w:r>
          </w:p>
        </w:tc>
      </w:tr>
      <w:tr w14:paraId="5859F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39CC64C">
            <w:pPr>
              <w:rPr>
                <w:rFonts w:ascii="Arial"/>
                <w:sz w:val="21"/>
              </w:rPr>
            </w:pPr>
          </w:p>
        </w:tc>
        <w:tc>
          <w:tcPr>
            <w:tcW w:w="7811" w:type="dxa"/>
            <w:gridSpan w:val="3"/>
            <w:vAlign w:val="top"/>
          </w:tcPr>
          <w:p w14:paraId="5C02329B">
            <w:pPr>
              <w:spacing w:before="104" w:line="228" w:lineRule="auto"/>
              <w:ind w:left="19"/>
              <w:rPr>
                <w:rFonts w:ascii="宋体" w:hAnsi="宋体" w:eastAsia="宋体" w:cs="宋体"/>
                <w:sz w:val="20"/>
                <w:szCs w:val="20"/>
              </w:rPr>
            </w:pPr>
            <w:r>
              <w:rPr>
                <w:rFonts w:ascii="宋体" w:hAnsi="宋体" w:eastAsia="宋体" w:cs="宋体"/>
                <w:b/>
                <w:bCs/>
                <w:spacing w:val="2"/>
                <w:sz w:val="20"/>
                <w:szCs w:val="20"/>
              </w:rPr>
              <w:t>（2）</w:t>
            </w:r>
            <w:r>
              <w:rPr>
                <w:rFonts w:ascii="宋体" w:hAnsi="宋体" w:eastAsia="宋体" w:cs="宋体"/>
                <w:spacing w:val="-74"/>
                <w:sz w:val="20"/>
                <w:szCs w:val="20"/>
              </w:rPr>
              <w:t xml:space="preserve"> </w:t>
            </w:r>
            <w:r>
              <w:rPr>
                <w:rFonts w:ascii="宋体" w:hAnsi="宋体" w:eastAsia="宋体" w:cs="宋体"/>
                <w:b/>
                <w:bCs/>
                <w:spacing w:val="2"/>
                <w:sz w:val="20"/>
                <w:szCs w:val="20"/>
              </w:rPr>
              <w:t>“十四五</w:t>
            </w:r>
            <w:r>
              <w:rPr>
                <w:rFonts w:ascii="宋体" w:hAnsi="宋体" w:eastAsia="宋体" w:cs="宋体"/>
                <w:spacing w:val="-70"/>
                <w:sz w:val="20"/>
                <w:szCs w:val="20"/>
              </w:rPr>
              <w:t xml:space="preserve"> </w:t>
            </w:r>
            <w:r>
              <w:rPr>
                <w:rFonts w:ascii="宋体" w:hAnsi="宋体" w:eastAsia="宋体" w:cs="宋体"/>
                <w:b/>
                <w:bCs/>
                <w:spacing w:val="2"/>
                <w:sz w:val="20"/>
                <w:szCs w:val="20"/>
              </w:rPr>
              <w:t>”新建项目&lt;8</w:t>
            </w:r>
            <w:r>
              <w:rPr>
                <w:rFonts w:ascii="宋体" w:hAnsi="宋体" w:eastAsia="宋体" w:cs="宋体"/>
                <w:spacing w:val="-38"/>
                <w:sz w:val="20"/>
                <w:szCs w:val="20"/>
              </w:rPr>
              <w:t xml:space="preserve"> </w:t>
            </w:r>
            <w:r>
              <w:rPr>
                <w:rFonts w:ascii="宋体" w:hAnsi="宋体" w:eastAsia="宋体" w:cs="宋体"/>
                <w:b/>
                <w:bCs/>
                <w:spacing w:val="2"/>
                <w:sz w:val="20"/>
                <w:szCs w:val="20"/>
              </w:rPr>
              <w:t>个&gt;</w:t>
            </w:r>
          </w:p>
        </w:tc>
        <w:tc>
          <w:tcPr>
            <w:tcW w:w="2204" w:type="dxa"/>
            <w:vAlign w:val="top"/>
          </w:tcPr>
          <w:p w14:paraId="20911B87">
            <w:pPr>
              <w:rPr>
                <w:rFonts w:ascii="Arial"/>
                <w:sz w:val="21"/>
              </w:rPr>
            </w:pPr>
          </w:p>
        </w:tc>
        <w:tc>
          <w:tcPr>
            <w:tcW w:w="2066" w:type="dxa"/>
            <w:vAlign w:val="top"/>
          </w:tcPr>
          <w:p w14:paraId="314E5F0D">
            <w:pPr>
              <w:rPr>
                <w:rFonts w:ascii="Arial"/>
                <w:sz w:val="21"/>
              </w:rPr>
            </w:pPr>
          </w:p>
        </w:tc>
        <w:tc>
          <w:tcPr>
            <w:tcW w:w="920" w:type="dxa"/>
            <w:vAlign w:val="top"/>
          </w:tcPr>
          <w:p w14:paraId="5137021C">
            <w:pPr>
              <w:rPr>
                <w:rFonts w:ascii="Arial"/>
                <w:sz w:val="21"/>
              </w:rPr>
            </w:pPr>
          </w:p>
        </w:tc>
        <w:tc>
          <w:tcPr>
            <w:tcW w:w="963" w:type="dxa"/>
            <w:vAlign w:val="top"/>
          </w:tcPr>
          <w:p w14:paraId="3D7EE3C3">
            <w:pPr>
              <w:rPr>
                <w:rFonts w:ascii="Arial"/>
                <w:sz w:val="21"/>
              </w:rPr>
            </w:pPr>
          </w:p>
        </w:tc>
        <w:tc>
          <w:tcPr>
            <w:tcW w:w="1071" w:type="dxa"/>
            <w:vAlign w:val="top"/>
          </w:tcPr>
          <w:p w14:paraId="7CBEDBCB">
            <w:pPr>
              <w:pStyle w:val="6"/>
              <w:spacing w:before="140" w:line="195" w:lineRule="auto"/>
              <w:ind w:left="256"/>
            </w:pPr>
            <w:r>
              <w:rPr>
                <w:b/>
                <w:bCs/>
                <w:spacing w:val="3"/>
              </w:rPr>
              <w:t>579.37</w:t>
            </w:r>
          </w:p>
        </w:tc>
        <w:tc>
          <w:tcPr>
            <w:tcW w:w="1113" w:type="dxa"/>
            <w:vAlign w:val="top"/>
          </w:tcPr>
          <w:p w14:paraId="34B118D8">
            <w:pPr>
              <w:rPr>
                <w:rFonts w:ascii="Arial"/>
                <w:sz w:val="21"/>
              </w:rPr>
            </w:pPr>
          </w:p>
        </w:tc>
        <w:tc>
          <w:tcPr>
            <w:tcW w:w="1028" w:type="dxa"/>
            <w:vAlign w:val="top"/>
          </w:tcPr>
          <w:p w14:paraId="412CE92E">
            <w:pPr>
              <w:pStyle w:val="6"/>
              <w:spacing w:before="140" w:line="195" w:lineRule="auto"/>
              <w:ind w:left="191"/>
            </w:pPr>
            <w:r>
              <w:rPr>
                <w:b/>
                <w:bCs/>
                <w:spacing w:val="2"/>
              </w:rPr>
              <w:t>1079.49</w:t>
            </w:r>
          </w:p>
        </w:tc>
        <w:tc>
          <w:tcPr>
            <w:tcW w:w="3175" w:type="dxa"/>
            <w:tcBorders>
              <w:right w:val="single" w:color="000000" w:sz="10" w:space="0"/>
            </w:tcBorders>
            <w:vAlign w:val="top"/>
          </w:tcPr>
          <w:p w14:paraId="43FDF4D8">
            <w:pPr>
              <w:rPr>
                <w:rFonts w:ascii="Arial"/>
                <w:sz w:val="21"/>
              </w:rPr>
            </w:pPr>
          </w:p>
        </w:tc>
      </w:tr>
      <w:tr w14:paraId="54507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7" w:hRule="atLeast"/>
        </w:trPr>
        <w:tc>
          <w:tcPr>
            <w:tcW w:w="639" w:type="dxa"/>
            <w:tcBorders>
              <w:left w:val="single" w:color="000000" w:sz="10" w:space="0"/>
            </w:tcBorders>
            <w:vAlign w:val="top"/>
          </w:tcPr>
          <w:p w14:paraId="7C48F134">
            <w:pPr>
              <w:spacing w:line="325" w:lineRule="auto"/>
              <w:rPr>
                <w:rFonts w:ascii="Arial"/>
                <w:sz w:val="21"/>
              </w:rPr>
            </w:pPr>
          </w:p>
          <w:p w14:paraId="5CFCF6B8">
            <w:pPr>
              <w:spacing w:line="326" w:lineRule="auto"/>
              <w:rPr>
                <w:rFonts w:ascii="Arial"/>
                <w:sz w:val="21"/>
              </w:rPr>
            </w:pPr>
          </w:p>
          <w:p w14:paraId="4FCDAD3F">
            <w:pPr>
              <w:pStyle w:val="6"/>
              <w:spacing w:before="57" w:line="274" w:lineRule="exact"/>
              <w:ind w:left="272"/>
            </w:pPr>
            <w:r>
              <w:rPr>
                <w:position w:val="1"/>
              </w:rPr>
              <w:t>1</w:t>
            </w:r>
          </w:p>
        </w:tc>
        <w:tc>
          <w:tcPr>
            <w:tcW w:w="1412" w:type="dxa"/>
            <w:vAlign w:val="top"/>
          </w:tcPr>
          <w:p w14:paraId="471A0B15">
            <w:pPr>
              <w:spacing w:line="325" w:lineRule="auto"/>
              <w:rPr>
                <w:rFonts w:ascii="Arial"/>
                <w:sz w:val="21"/>
              </w:rPr>
            </w:pPr>
          </w:p>
          <w:p w14:paraId="4ECE74F9">
            <w:pPr>
              <w:spacing w:line="326" w:lineRule="auto"/>
              <w:rPr>
                <w:rFonts w:ascii="Arial"/>
                <w:sz w:val="21"/>
              </w:rPr>
            </w:pPr>
          </w:p>
          <w:p w14:paraId="5DCBDD3E">
            <w:pPr>
              <w:pStyle w:val="6"/>
              <w:spacing w:before="57" w:line="274" w:lineRule="exact"/>
              <w:ind w:left="519"/>
            </w:pPr>
            <w:r>
              <w:rPr>
                <w:spacing w:val="3"/>
                <w:position w:val="2"/>
              </w:rPr>
              <w:t>G60</w:t>
            </w:r>
          </w:p>
        </w:tc>
        <w:tc>
          <w:tcPr>
            <w:tcW w:w="3274" w:type="dxa"/>
            <w:vAlign w:val="top"/>
          </w:tcPr>
          <w:p w14:paraId="0033A73F">
            <w:pPr>
              <w:spacing w:line="254" w:lineRule="auto"/>
              <w:rPr>
                <w:rFonts w:ascii="Arial"/>
                <w:sz w:val="21"/>
              </w:rPr>
            </w:pPr>
          </w:p>
          <w:p w14:paraId="3F23C3DE">
            <w:pPr>
              <w:spacing w:line="255" w:lineRule="auto"/>
              <w:rPr>
                <w:rFonts w:ascii="Arial"/>
                <w:sz w:val="21"/>
              </w:rPr>
            </w:pPr>
          </w:p>
          <w:p w14:paraId="7C257DAE">
            <w:pPr>
              <w:spacing w:before="65" w:line="228" w:lineRule="auto"/>
              <w:ind w:left="83"/>
              <w:rPr>
                <w:rFonts w:ascii="宋体" w:hAnsi="宋体" w:eastAsia="宋体" w:cs="宋体"/>
                <w:sz w:val="20"/>
                <w:szCs w:val="20"/>
              </w:rPr>
            </w:pPr>
            <w:r>
              <w:rPr>
                <w:rFonts w:ascii="宋体" w:hAnsi="宋体" w:eastAsia="宋体" w:cs="宋体"/>
                <w:spacing w:val="7"/>
                <w:sz w:val="20"/>
                <w:szCs w:val="20"/>
              </w:rPr>
              <w:t>曲靖至贵州盘州高速公路（扩容改</w:t>
            </w:r>
          </w:p>
          <w:p w14:paraId="3052AE11">
            <w:pPr>
              <w:spacing w:before="82" w:line="235" w:lineRule="auto"/>
              <w:ind w:left="1423"/>
              <w:rPr>
                <w:rFonts w:ascii="宋体" w:hAnsi="宋体" w:eastAsia="宋体" w:cs="宋体"/>
                <w:sz w:val="20"/>
                <w:szCs w:val="20"/>
              </w:rPr>
            </w:pPr>
            <w:r>
              <w:rPr>
                <w:rFonts w:ascii="宋体" w:hAnsi="宋体" w:eastAsia="宋体" w:cs="宋体"/>
                <w:sz w:val="20"/>
                <w:szCs w:val="20"/>
              </w:rPr>
              <w:t>造）</w:t>
            </w:r>
          </w:p>
        </w:tc>
        <w:tc>
          <w:tcPr>
            <w:tcW w:w="3125" w:type="dxa"/>
            <w:vAlign w:val="top"/>
          </w:tcPr>
          <w:p w14:paraId="25719B2C">
            <w:pPr>
              <w:spacing w:line="335" w:lineRule="auto"/>
              <w:rPr>
                <w:rFonts w:ascii="Arial"/>
                <w:sz w:val="21"/>
              </w:rPr>
            </w:pPr>
          </w:p>
          <w:p w14:paraId="1CA2FE89">
            <w:pPr>
              <w:spacing w:line="336" w:lineRule="auto"/>
              <w:rPr>
                <w:rFonts w:ascii="Arial"/>
                <w:sz w:val="21"/>
              </w:rPr>
            </w:pPr>
          </w:p>
          <w:p w14:paraId="298E7B20">
            <w:pPr>
              <w:spacing w:before="65"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vAlign w:val="top"/>
          </w:tcPr>
          <w:p w14:paraId="6EC8370F">
            <w:pPr>
              <w:spacing w:line="336" w:lineRule="auto"/>
              <w:rPr>
                <w:rFonts w:ascii="Arial"/>
                <w:sz w:val="21"/>
              </w:rPr>
            </w:pPr>
          </w:p>
          <w:p w14:paraId="6285CF37">
            <w:pPr>
              <w:spacing w:line="336" w:lineRule="auto"/>
              <w:rPr>
                <w:rFonts w:ascii="Arial"/>
                <w:sz w:val="21"/>
              </w:rPr>
            </w:pPr>
          </w:p>
          <w:p w14:paraId="28097B8C">
            <w:pPr>
              <w:spacing w:before="65" w:line="228" w:lineRule="auto"/>
              <w:ind w:left="685"/>
              <w:rPr>
                <w:rFonts w:ascii="宋体" w:hAnsi="宋体" w:eastAsia="宋体" w:cs="宋体"/>
                <w:sz w:val="20"/>
                <w:szCs w:val="20"/>
              </w:rPr>
            </w:pPr>
            <w:r>
              <w:rPr>
                <w:rFonts w:ascii="宋体" w:hAnsi="宋体" w:eastAsia="宋体" w:cs="宋体"/>
                <w:spacing w:val="7"/>
                <w:sz w:val="20"/>
                <w:szCs w:val="20"/>
              </w:rPr>
              <w:t>麒麟桃园</w:t>
            </w:r>
          </w:p>
        </w:tc>
        <w:tc>
          <w:tcPr>
            <w:tcW w:w="2066" w:type="dxa"/>
            <w:vAlign w:val="top"/>
          </w:tcPr>
          <w:p w14:paraId="45DA94F7">
            <w:pPr>
              <w:spacing w:line="336" w:lineRule="auto"/>
              <w:rPr>
                <w:rFonts w:ascii="Arial"/>
                <w:sz w:val="21"/>
              </w:rPr>
            </w:pPr>
          </w:p>
          <w:p w14:paraId="10CDD8C7">
            <w:pPr>
              <w:spacing w:line="336" w:lineRule="auto"/>
              <w:rPr>
                <w:rFonts w:ascii="Arial"/>
                <w:sz w:val="21"/>
              </w:rPr>
            </w:pPr>
          </w:p>
          <w:p w14:paraId="55B572FC">
            <w:pPr>
              <w:spacing w:before="65" w:line="228" w:lineRule="auto"/>
              <w:ind w:left="209"/>
              <w:rPr>
                <w:rFonts w:ascii="宋体" w:hAnsi="宋体" w:eastAsia="宋体" w:cs="宋体"/>
                <w:sz w:val="20"/>
                <w:szCs w:val="20"/>
              </w:rPr>
            </w:pPr>
            <w:r>
              <w:rPr>
                <w:rFonts w:ascii="宋体" w:hAnsi="宋体" w:eastAsia="宋体" w:cs="宋体"/>
                <w:spacing w:val="6"/>
                <w:sz w:val="20"/>
                <w:szCs w:val="20"/>
              </w:rPr>
              <w:t>富源法凹(滇黔界)</w:t>
            </w:r>
          </w:p>
        </w:tc>
        <w:tc>
          <w:tcPr>
            <w:tcW w:w="920" w:type="dxa"/>
            <w:vAlign w:val="top"/>
          </w:tcPr>
          <w:p w14:paraId="3BA4BC93">
            <w:pPr>
              <w:spacing w:line="335" w:lineRule="auto"/>
              <w:rPr>
                <w:rFonts w:ascii="Arial"/>
                <w:sz w:val="21"/>
              </w:rPr>
            </w:pPr>
          </w:p>
          <w:p w14:paraId="7625C1FB">
            <w:pPr>
              <w:spacing w:line="336" w:lineRule="auto"/>
              <w:rPr>
                <w:rFonts w:ascii="Arial"/>
                <w:sz w:val="21"/>
              </w:rPr>
            </w:pPr>
          </w:p>
          <w:p w14:paraId="7D4A2F56">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0A2219C">
            <w:pPr>
              <w:spacing w:line="336" w:lineRule="auto"/>
              <w:rPr>
                <w:rFonts w:ascii="Arial"/>
                <w:sz w:val="21"/>
              </w:rPr>
            </w:pPr>
          </w:p>
          <w:p w14:paraId="69F5E5CD">
            <w:pPr>
              <w:spacing w:line="336" w:lineRule="auto"/>
              <w:rPr>
                <w:rFonts w:ascii="Arial"/>
                <w:sz w:val="21"/>
              </w:rPr>
            </w:pPr>
          </w:p>
          <w:p w14:paraId="1AAE98D3">
            <w:pPr>
              <w:spacing w:before="65"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553A93E4">
            <w:pPr>
              <w:spacing w:line="325" w:lineRule="auto"/>
              <w:rPr>
                <w:rFonts w:ascii="Arial"/>
                <w:sz w:val="21"/>
              </w:rPr>
            </w:pPr>
          </w:p>
          <w:p w14:paraId="6B048EE5">
            <w:pPr>
              <w:spacing w:line="326" w:lineRule="auto"/>
              <w:rPr>
                <w:rFonts w:ascii="Arial"/>
                <w:sz w:val="21"/>
              </w:rPr>
            </w:pPr>
          </w:p>
          <w:p w14:paraId="1A67C997">
            <w:pPr>
              <w:pStyle w:val="6"/>
              <w:spacing w:before="57" w:line="274" w:lineRule="exact"/>
              <w:ind w:left="310"/>
            </w:pPr>
            <w:r>
              <w:rPr>
                <w:spacing w:val="3"/>
                <w:position w:val="2"/>
              </w:rPr>
              <w:t>75.05</w:t>
            </w:r>
          </w:p>
        </w:tc>
        <w:tc>
          <w:tcPr>
            <w:tcW w:w="1113" w:type="dxa"/>
            <w:vAlign w:val="top"/>
          </w:tcPr>
          <w:p w14:paraId="748ED90A">
            <w:pPr>
              <w:spacing w:line="325" w:lineRule="auto"/>
              <w:rPr>
                <w:rFonts w:ascii="Arial"/>
                <w:sz w:val="21"/>
              </w:rPr>
            </w:pPr>
          </w:p>
          <w:p w14:paraId="712E21B6">
            <w:pPr>
              <w:spacing w:line="326" w:lineRule="auto"/>
              <w:rPr>
                <w:rFonts w:ascii="Arial"/>
                <w:sz w:val="21"/>
              </w:rPr>
            </w:pPr>
          </w:p>
          <w:p w14:paraId="41FBBAD3">
            <w:pPr>
              <w:pStyle w:val="6"/>
              <w:spacing w:before="57" w:line="274" w:lineRule="exact"/>
              <w:ind w:left="111"/>
            </w:pPr>
            <w:r>
              <w:rPr>
                <w:spacing w:val="4"/>
                <w:position w:val="2"/>
              </w:rPr>
              <w:t>2022-2025</w:t>
            </w:r>
          </w:p>
        </w:tc>
        <w:tc>
          <w:tcPr>
            <w:tcW w:w="1028" w:type="dxa"/>
            <w:vAlign w:val="top"/>
          </w:tcPr>
          <w:p w14:paraId="1424E7AB">
            <w:pPr>
              <w:spacing w:line="325" w:lineRule="auto"/>
              <w:rPr>
                <w:rFonts w:ascii="Arial"/>
                <w:sz w:val="21"/>
              </w:rPr>
            </w:pPr>
          </w:p>
          <w:p w14:paraId="6FA267CE">
            <w:pPr>
              <w:spacing w:line="326" w:lineRule="auto"/>
              <w:rPr>
                <w:rFonts w:ascii="Arial"/>
                <w:sz w:val="21"/>
              </w:rPr>
            </w:pPr>
          </w:p>
          <w:p w14:paraId="58B79CCF">
            <w:pPr>
              <w:pStyle w:val="6"/>
              <w:spacing w:before="57" w:line="274" w:lineRule="exact"/>
              <w:ind w:left="254"/>
            </w:pPr>
            <w:r>
              <w:rPr>
                <w:position w:val="2"/>
              </w:rPr>
              <w:t>165.84</w:t>
            </w:r>
          </w:p>
        </w:tc>
        <w:tc>
          <w:tcPr>
            <w:tcW w:w="3175" w:type="dxa"/>
            <w:tcBorders>
              <w:right w:val="single" w:color="000000" w:sz="10" w:space="0"/>
            </w:tcBorders>
            <w:vAlign w:val="top"/>
          </w:tcPr>
          <w:p w14:paraId="482ED55F">
            <w:pPr>
              <w:spacing w:before="86" w:line="228" w:lineRule="auto"/>
              <w:ind w:right="2"/>
              <w:jc w:val="right"/>
              <w:rPr>
                <w:rFonts w:ascii="宋体" w:hAnsi="宋体" w:eastAsia="宋体" w:cs="宋体"/>
                <w:sz w:val="20"/>
                <w:szCs w:val="20"/>
              </w:rPr>
            </w:pPr>
            <w:r>
              <w:rPr>
                <w:rFonts w:ascii="宋体" w:hAnsi="宋体" w:eastAsia="宋体" w:cs="宋体"/>
                <w:spacing w:val="5"/>
                <w:sz w:val="20"/>
                <w:szCs w:val="20"/>
              </w:rPr>
              <w:t>国家高速，“互联互通</w:t>
            </w:r>
            <w:r>
              <w:rPr>
                <w:rFonts w:ascii="宋体" w:hAnsi="宋体" w:eastAsia="宋体" w:cs="宋体"/>
                <w:spacing w:val="-68"/>
                <w:sz w:val="20"/>
                <w:szCs w:val="20"/>
              </w:rPr>
              <w:t xml:space="preserve"> </w:t>
            </w:r>
            <w:r>
              <w:rPr>
                <w:rFonts w:ascii="宋体" w:hAnsi="宋体" w:eastAsia="宋体" w:cs="宋体"/>
                <w:spacing w:val="5"/>
                <w:sz w:val="20"/>
                <w:szCs w:val="20"/>
              </w:rPr>
              <w:t>”工程，未</w:t>
            </w:r>
          </w:p>
          <w:p w14:paraId="442A2953">
            <w:pPr>
              <w:spacing w:before="81" w:line="228" w:lineRule="auto"/>
              <w:jc w:val="right"/>
              <w:rPr>
                <w:rFonts w:ascii="宋体" w:hAnsi="宋体" w:eastAsia="宋体" w:cs="宋体"/>
                <w:sz w:val="20"/>
                <w:szCs w:val="20"/>
              </w:rPr>
            </w:pPr>
            <w:r>
              <w:rPr>
                <w:rFonts w:ascii="宋体" w:hAnsi="宋体" w:eastAsia="宋体" w:cs="宋体"/>
                <w:spacing w:val="6"/>
                <w:sz w:val="20"/>
                <w:szCs w:val="20"/>
              </w:rPr>
              <w:t>纳入交通运输部《公路“十四五</w:t>
            </w:r>
            <w:r>
              <w:rPr>
                <w:rFonts w:ascii="宋体" w:hAnsi="宋体" w:eastAsia="宋体" w:cs="宋体"/>
                <w:spacing w:val="-62"/>
                <w:sz w:val="20"/>
                <w:szCs w:val="20"/>
              </w:rPr>
              <w:t xml:space="preserve"> </w:t>
            </w:r>
            <w:r>
              <w:rPr>
                <w:rFonts w:ascii="宋体" w:hAnsi="宋体" w:eastAsia="宋体" w:cs="宋体"/>
                <w:spacing w:val="6"/>
                <w:sz w:val="20"/>
                <w:szCs w:val="20"/>
              </w:rPr>
              <w:t>”</w:t>
            </w:r>
          </w:p>
          <w:p w14:paraId="4172B5A1">
            <w:pPr>
              <w:spacing w:before="79" w:line="228" w:lineRule="auto"/>
              <w:ind w:right="4"/>
              <w:jc w:val="right"/>
              <w:rPr>
                <w:rFonts w:ascii="宋体" w:hAnsi="宋体" w:eastAsia="宋体" w:cs="宋体"/>
                <w:sz w:val="20"/>
                <w:szCs w:val="20"/>
              </w:rPr>
            </w:pPr>
            <w:r>
              <w:rPr>
                <w:rFonts w:ascii="宋体" w:hAnsi="宋体" w:eastAsia="宋体" w:cs="宋体"/>
                <w:spacing w:val="8"/>
                <w:sz w:val="20"/>
                <w:szCs w:val="20"/>
              </w:rPr>
              <w:t>发展规划》，已纳入《云南省“十</w:t>
            </w:r>
          </w:p>
          <w:p w14:paraId="342B59FC">
            <w:pPr>
              <w:spacing w:before="81" w:line="228" w:lineRule="auto"/>
              <w:ind w:right="4"/>
              <w:jc w:val="right"/>
              <w:rPr>
                <w:rFonts w:ascii="宋体" w:hAnsi="宋体" w:eastAsia="宋体" w:cs="宋体"/>
                <w:sz w:val="20"/>
                <w:szCs w:val="20"/>
              </w:rPr>
            </w:pPr>
            <w:r>
              <w:rPr>
                <w:rFonts w:ascii="宋体" w:hAnsi="宋体" w:eastAsia="宋体" w:cs="宋体"/>
                <w:spacing w:val="5"/>
                <w:sz w:val="20"/>
                <w:szCs w:val="20"/>
              </w:rPr>
              <w:t>四五</w:t>
            </w:r>
            <w:r>
              <w:rPr>
                <w:rFonts w:ascii="宋体" w:hAnsi="宋体" w:eastAsia="宋体" w:cs="宋体"/>
                <w:spacing w:val="-70"/>
                <w:sz w:val="20"/>
                <w:szCs w:val="20"/>
              </w:rPr>
              <w:t xml:space="preserve"> </w:t>
            </w:r>
            <w:r>
              <w:rPr>
                <w:rFonts w:ascii="宋体" w:hAnsi="宋体" w:eastAsia="宋体" w:cs="宋体"/>
                <w:spacing w:val="5"/>
                <w:sz w:val="20"/>
                <w:szCs w:val="20"/>
              </w:rPr>
              <w:t>”综合交通运输发展规划》新</w:t>
            </w:r>
          </w:p>
          <w:p w14:paraId="563AFD2E">
            <w:pPr>
              <w:spacing w:before="81" w:line="229" w:lineRule="auto"/>
              <w:ind w:left="233"/>
              <w:rPr>
                <w:rFonts w:ascii="宋体" w:hAnsi="宋体" w:eastAsia="宋体" w:cs="宋体"/>
                <w:sz w:val="20"/>
                <w:szCs w:val="20"/>
              </w:rPr>
            </w:pPr>
            <w:r>
              <w:rPr>
                <w:rFonts w:ascii="宋体" w:hAnsi="宋体" w:eastAsia="宋体" w:cs="宋体"/>
                <w:spacing w:val="9"/>
                <w:sz w:val="20"/>
                <w:szCs w:val="20"/>
              </w:rPr>
              <w:t>建项目；推动前期，适时启动</w:t>
            </w:r>
          </w:p>
        </w:tc>
      </w:tr>
      <w:tr w14:paraId="33443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721D546B">
            <w:pPr>
              <w:pStyle w:val="6"/>
              <w:spacing w:before="221" w:line="274" w:lineRule="exact"/>
              <w:ind w:left="252"/>
            </w:pPr>
            <w:r>
              <w:rPr>
                <w:position w:val="1"/>
              </w:rPr>
              <w:t>2</w:t>
            </w:r>
          </w:p>
        </w:tc>
        <w:tc>
          <w:tcPr>
            <w:tcW w:w="1412" w:type="dxa"/>
            <w:vAlign w:val="top"/>
          </w:tcPr>
          <w:p w14:paraId="349D59CB">
            <w:pPr>
              <w:rPr>
                <w:rFonts w:ascii="Arial"/>
                <w:sz w:val="21"/>
              </w:rPr>
            </w:pPr>
          </w:p>
        </w:tc>
        <w:tc>
          <w:tcPr>
            <w:tcW w:w="3274" w:type="dxa"/>
            <w:vAlign w:val="top"/>
          </w:tcPr>
          <w:p w14:paraId="1B572F1A">
            <w:pPr>
              <w:spacing w:before="252" w:line="228" w:lineRule="auto"/>
              <w:ind w:left="700"/>
              <w:rPr>
                <w:rFonts w:ascii="宋体" w:hAnsi="宋体" w:eastAsia="宋体" w:cs="宋体"/>
                <w:sz w:val="20"/>
                <w:szCs w:val="20"/>
              </w:rPr>
            </w:pPr>
            <w:r>
              <w:rPr>
                <w:rFonts w:ascii="宋体" w:hAnsi="宋体" w:eastAsia="宋体" w:cs="宋体"/>
                <w:spacing w:val="7"/>
                <w:sz w:val="20"/>
                <w:szCs w:val="20"/>
              </w:rPr>
              <w:t>陆良至寻甸高速公路</w:t>
            </w:r>
          </w:p>
        </w:tc>
        <w:tc>
          <w:tcPr>
            <w:tcW w:w="3125" w:type="dxa"/>
            <w:vAlign w:val="top"/>
          </w:tcPr>
          <w:p w14:paraId="66941487">
            <w:pPr>
              <w:pStyle w:val="6"/>
              <w:spacing w:before="221" w:line="274" w:lineRule="exact"/>
              <w:ind w:left="278"/>
              <w:rPr>
                <w:rFonts w:ascii="宋体" w:hAnsi="宋体" w:eastAsia="宋体" w:cs="宋体"/>
              </w:rPr>
            </w:pPr>
            <w:r>
              <w:rPr>
                <w:rFonts w:ascii="宋体" w:hAnsi="宋体" w:eastAsia="宋体" w:cs="宋体"/>
                <w:spacing w:val="5"/>
                <w:position w:val="1"/>
              </w:rPr>
              <w:t>全段（含寻甸段</w:t>
            </w:r>
            <w:r>
              <w:rPr>
                <w:rFonts w:ascii="宋体" w:hAnsi="宋体" w:eastAsia="宋体" w:cs="宋体"/>
                <w:spacing w:val="-36"/>
                <w:position w:val="1"/>
              </w:rPr>
              <w:t xml:space="preserve"> </w:t>
            </w:r>
            <w:r>
              <w:rPr>
                <w:spacing w:val="5"/>
                <w:position w:val="1"/>
              </w:rPr>
              <w:t>7.59</w:t>
            </w:r>
            <w:r>
              <w:rPr>
                <w:spacing w:val="16"/>
                <w:position w:val="1"/>
              </w:rPr>
              <w:t xml:space="preserve"> </w:t>
            </w:r>
            <w:r>
              <w:rPr>
                <w:rFonts w:ascii="宋体" w:hAnsi="宋体" w:eastAsia="宋体" w:cs="宋体"/>
                <w:spacing w:val="5"/>
                <w:position w:val="1"/>
              </w:rPr>
              <w:t>公里）</w:t>
            </w:r>
          </w:p>
        </w:tc>
        <w:tc>
          <w:tcPr>
            <w:tcW w:w="2204" w:type="dxa"/>
            <w:vAlign w:val="top"/>
          </w:tcPr>
          <w:p w14:paraId="32333885">
            <w:pPr>
              <w:spacing w:before="252" w:line="230" w:lineRule="auto"/>
              <w:ind w:left="591"/>
              <w:rPr>
                <w:rFonts w:ascii="宋体" w:hAnsi="宋体" w:eastAsia="宋体" w:cs="宋体"/>
                <w:sz w:val="20"/>
                <w:szCs w:val="20"/>
              </w:rPr>
            </w:pPr>
            <w:r>
              <w:rPr>
                <w:rFonts w:ascii="宋体" w:hAnsi="宋体" w:eastAsia="宋体" w:cs="宋体"/>
                <w:spacing w:val="6"/>
                <w:sz w:val="20"/>
                <w:szCs w:val="20"/>
              </w:rPr>
              <w:t>陆良太平哨</w:t>
            </w:r>
          </w:p>
        </w:tc>
        <w:tc>
          <w:tcPr>
            <w:tcW w:w="2066" w:type="dxa"/>
            <w:vAlign w:val="top"/>
          </w:tcPr>
          <w:p w14:paraId="0BA37DD8">
            <w:pPr>
              <w:spacing w:before="252" w:line="228" w:lineRule="auto"/>
              <w:ind w:left="519"/>
              <w:rPr>
                <w:rFonts w:ascii="宋体" w:hAnsi="宋体" w:eastAsia="宋体" w:cs="宋体"/>
                <w:sz w:val="20"/>
                <w:szCs w:val="20"/>
              </w:rPr>
            </w:pPr>
            <w:r>
              <w:rPr>
                <w:rFonts w:ascii="宋体" w:hAnsi="宋体" w:eastAsia="宋体" w:cs="宋体"/>
                <w:spacing w:val="7"/>
                <w:sz w:val="20"/>
                <w:szCs w:val="20"/>
              </w:rPr>
              <w:t>寻甸大坝塘</w:t>
            </w:r>
          </w:p>
        </w:tc>
        <w:tc>
          <w:tcPr>
            <w:tcW w:w="920" w:type="dxa"/>
            <w:vAlign w:val="top"/>
          </w:tcPr>
          <w:p w14:paraId="02573A61">
            <w:pPr>
              <w:spacing w:before="252"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16F183F8">
            <w:pPr>
              <w:spacing w:before="252"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3A9E4B95">
            <w:pPr>
              <w:pStyle w:val="6"/>
              <w:spacing w:before="221" w:line="274" w:lineRule="exact"/>
              <w:ind w:left="310"/>
            </w:pPr>
            <w:r>
              <w:rPr>
                <w:spacing w:val="3"/>
                <w:position w:val="2"/>
              </w:rPr>
              <w:t>79.27</w:t>
            </w:r>
          </w:p>
        </w:tc>
        <w:tc>
          <w:tcPr>
            <w:tcW w:w="1113" w:type="dxa"/>
            <w:vAlign w:val="top"/>
          </w:tcPr>
          <w:p w14:paraId="58620D3C">
            <w:pPr>
              <w:pStyle w:val="6"/>
              <w:spacing w:before="221" w:line="274" w:lineRule="exact"/>
              <w:ind w:left="111"/>
            </w:pPr>
            <w:r>
              <w:rPr>
                <w:spacing w:val="4"/>
                <w:position w:val="2"/>
              </w:rPr>
              <w:t>2021-2023</w:t>
            </w:r>
          </w:p>
        </w:tc>
        <w:tc>
          <w:tcPr>
            <w:tcW w:w="1028" w:type="dxa"/>
            <w:vAlign w:val="top"/>
          </w:tcPr>
          <w:p w14:paraId="1DAF3D6D">
            <w:pPr>
              <w:pStyle w:val="6"/>
              <w:spacing w:before="221" w:line="274" w:lineRule="exact"/>
              <w:ind w:left="254"/>
            </w:pPr>
            <w:r>
              <w:rPr>
                <w:position w:val="2"/>
              </w:rPr>
              <w:t>110.47</w:t>
            </w:r>
          </w:p>
        </w:tc>
        <w:tc>
          <w:tcPr>
            <w:tcW w:w="3175" w:type="dxa"/>
            <w:tcBorders>
              <w:right w:val="single" w:color="000000" w:sz="10" w:space="0"/>
            </w:tcBorders>
            <w:vAlign w:val="top"/>
          </w:tcPr>
          <w:p w14:paraId="63BFBC3C">
            <w:pPr>
              <w:spacing w:before="88" w:line="266"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14366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7A0FA0E5">
            <w:pPr>
              <w:pStyle w:val="6"/>
              <w:spacing w:before="223" w:line="274" w:lineRule="exact"/>
              <w:ind w:left="256"/>
            </w:pPr>
            <w:r>
              <w:rPr>
                <w:position w:val="2"/>
              </w:rPr>
              <w:t>3</w:t>
            </w:r>
          </w:p>
        </w:tc>
        <w:tc>
          <w:tcPr>
            <w:tcW w:w="1412" w:type="dxa"/>
            <w:vAlign w:val="top"/>
          </w:tcPr>
          <w:p w14:paraId="6AD1EB00">
            <w:pPr>
              <w:pStyle w:val="6"/>
              <w:spacing w:before="223" w:line="274" w:lineRule="exact"/>
              <w:ind w:left="541"/>
            </w:pPr>
            <w:r>
              <w:rPr>
                <w:spacing w:val="-8"/>
                <w:position w:val="2"/>
              </w:rPr>
              <w:t>S</w:t>
            </w:r>
            <w:r>
              <w:rPr>
                <w:spacing w:val="-27"/>
                <w:position w:val="2"/>
              </w:rPr>
              <w:t xml:space="preserve"> </w:t>
            </w:r>
            <w:r>
              <w:rPr>
                <w:spacing w:val="-8"/>
                <w:position w:val="2"/>
              </w:rPr>
              <w:t>11</w:t>
            </w:r>
          </w:p>
        </w:tc>
        <w:tc>
          <w:tcPr>
            <w:tcW w:w="3274" w:type="dxa"/>
            <w:vAlign w:val="top"/>
          </w:tcPr>
          <w:p w14:paraId="6AA653AA">
            <w:pPr>
              <w:spacing w:before="254" w:line="228" w:lineRule="auto"/>
              <w:ind w:left="693"/>
              <w:rPr>
                <w:rFonts w:ascii="宋体" w:hAnsi="宋体" w:eastAsia="宋体" w:cs="宋体"/>
                <w:sz w:val="20"/>
                <w:szCs w:val="20"/>
              </w:rPr>
            </w:pPr>
            <w:r>
              <w:rPr>
                <w:rFonts w:ascii="宋体" w:hAnsi="宋体" w:eastAsia="宋体" w:cs="宋体"/>
                <w:spacing w:val="8"/>
                <w:sz w:val="20"/>
                <w:szCs w:val="20"/>
              </w:rPr>
              <w:t>师宗至丘北高速公路</w:t>
            </w:r>
          </w:p>
        </w:tc>
        <w:tc>
          <w:tcPr>
            <w:tcW w:w="3125" w:type="dxa"/>
            <w:vAlign w:val="top"/>
          </w:tcPr>
          <w:p w14:paraId="47605E7F">
            <w:pPr>
              <w:spacing w:before="253"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vAlign w:val="top"/>
          </w:tcPr>
          <w:p w14:paraId="6FC21D88">
            <w:pPr>
              <w:spacing w:before="254" w:line="228" w:lineRule="auto"/>
              <w:ind w:left="581"/>
              <w:rPr>
                <w:rFonts w:ascii="宋体" w:hAnsi="宋体" w:eastAsia="宋体" w:cs="宋体"/>
                <w:sz w:val="20"/>
                <w:szCs w:val="20"/>
              </w:rPr>
            </w:pPr>
            <w:r>
              <w:rPr>
                <w:rFonts w:ascii="宋体" w:hAnsi="宋体" w:eastAsia="宋体" w:cs="宋体"/>
                <w:spacing w:val="7"/>
                <w:sz w:val="20"/>
                <w:szCs w:val="20"/>
              </w:rPr>
              <w:t>彩云镇积善</w:t>
            </w:r>
          </w:p>
        </w:tc>
        <w:tc>
          <w:tcPr>
            <w:tcW w:w="2066" w:type="dxa"/>
            <w:vAlign w:val="top"/>
          </w:tcPr>
          <w:p w14:paraId="4BE5A179">
            <w:pPr>
              <w:spacing w:before="253" w:line="230" w:lineRule="auto"/>
              <w:ind w:left="305"/>
              <w:rPr>
                <w:rFonts w:ascii="宋体" w:hAnsi="宋体" w:eastAsia="宋体" w:cs="宋体"/>
                <w:sz w:val="20"/>
                <w:szCs w:val="20"/>
              </w:rPr>
            </w:pPr>
            <w:r>
              <w:rPr>
                <w:rFonts w:ascii="宋体" w:hAnsi="宋体" w:eastAsia="宋体" w:cs="宋体"/>
                <w:spacing w:val="6"/>
                <w:sz w:val="20"/>
                <w:szCs w:val="20"/>
              </w:rPr>
              <w:t>凤尾（丘北界）</w:t>
            </w:r>
          </w:p>
        </w:tc>
        <w:tc>
          <w:tcPr>
            <w:tcW w:w="920" w:type="dxa"/>
            <w:vAlign w:val="top"/>
          </w:tcPr>
          <w:p w14:paraId="398D68AC">
            <w:pPr>
              <w:spacing w:before="254"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CDDC26B">
            <w:pPr>
              <w:spacing w:before="254"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4D49BCCF">
            <w:pPr>
              <w:pStyle w:val="6"/>
              <w:spacing w:before="223" w:line="274" w:lineRule="exact"/>
              <w:ind w:left="310"/>
            </w:pPr>
            <w:r>
              <w:rPr>
                <w:spacing w:val="3"/>
                <w:position w:val="2"/>
              </w:rPr>
              <w:t>70.37</w:t>
            </w:r>
          </w:p>
        </w:tc>
        <w:tc>
          <w:tcPr>
            <w:tcW w:w="1113" w:type="dxa"/>
            <w:vAlign w:val="top"/>
          </w:tcPr>
          <w:p w14:paraId="2577B720">
            <w:pPr>
              <w:pStyle w:val="6"/>
              <w:spacing w:before="223" w:line="274" w:lineRule="exact"/>
              <w:ind w:left="111"/>
            </w:pPr>
            <w:r>
              <w:rPr>
                <w:spacing w:val="4"/>
                <w:position w:val="2"/>
              </w:rPr>
              <w:t>2021-2023</w:t>
            </w:r>
          </w:p>
        </w:tc>
        <w:tc>
          <w:tcPr>
            <w:tcW w:w="1028" w:type="dxa"/>
            <w:vAlign w:val="top"/>
          </w:tcPr>
          <w:p w14:paraId="6ACFE0A5">
            <w:pPr>
              <w:pStyle w:val="6"/>
              <w:spacing w:before="223" w:line="274" w:lineRule="exact"/>
              <w:ind w:left="254"/>
            </w:pPr>
            <w:r>
              <w:rPr>
                <w:position w:val="2"/>
              </w:rPr>
              <w:t>145.45</w:t>
            </w:r>
          </w:p>
        </w:tc>
        <w:tc>
          <w:tcPr>
            <w:tcW w:w="3175" w:type="dxa"/>
            <w:tcBorders>
              <w:right w:val="single" w:color="000000" w:sz="10" w:space="0"/>
            </w:tcBorders>
            <w:vAlign w:val="top"/>
          </w:tcPr>
          <w:p w14:paraId="0B3EE8E7">
            <w:pPr>
              <w:spacing w:before="88" w:line="266"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39FB6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27760884">
            <w:pPr>
              <w:pStyle w:val="6"/>
              <w:spacing w:before="224" w:line="275" w:lineRule="exact"/>
              <w:ind w:left="251"/>
            </w:pPr>
            <w:r>
              <w:rPr>
                <w:spacing w:val="1"/>
                <w:position w:val="1"/>
              </w:rPr>
              <w:t>4</w:t>
            </w:r>
          </w:p>
        </w:tc>
        <w:tc>
          <w:tcPr>
            <w:tcW w:w="1412" w:type="dxa"/>
            <w:vAlign w:val="top"/>
          </w:tcPr>
          <w:p w14:paraId="32BE3D6B">
            <w:pPr>
              <w:pStyle w:val="6"/>
              <w:spacing w:before="224" w:line="275" w:lineRule="exact"/>
              <w:ind w:left="541"/>
            </w:pPr>
            <w:r>
              <w:rPr>
                <w:spacing w:val="-8"/>
                <w:position w:val="2"/>
              </w:rPr>
              <w:t>S</w:t>
            </w:r>
            <w:r>
              <w:rPr>
                <w:spacing w:val="-27"/>
                <w:position w:val="2"/>
              </w:rPr>
              <w:t xml:space="preserve"> </w:t>
            </w:r>
            <w:r>
              <w:rPr>
                <w:spacing w:val="-8"/>
                <w:position w:val="2"/>
              </w:rPr>
              <w:t>11</w:t>
            </w:r>
          </w:p>
        </w:tc>
        <w:tc>
          <w:tcPr>
            <w:tcW w:w="3274" w:type="dxa"/>
            <w:vAlign w:val="top"/>
          </w:tcPr>
          <w:p w14:paraId="6FC0D5B0">
            <w:pPr>
              <w:spacing w:before="253" w:line="228" w:lineRule="auto"/>
              <w:ind w:left="693"/>
              <w:rPr>
                <w:rFonts w:ascii="宋体" w:hAnsi="宋体" w:eastAsia="宋体" w:cs="宋体"/>
                <w:sz w:val="20"/>
                <w:szCs w:val="20"/>
              </w:rPr>
            </w:pPr>
            <w:r>
              <w:rPr>
                <w:rFonts w:ascii="宋体" w:hAnsi="宋体" w:eastAsia="宋体" w:cs="宋体"/>
                <w:spacing w:val="8"/>
                <w:sz w:val="20"/>
                <w:szCs w:val="20"/>
              </w:rPr>
              <w:t>宣威至富源高速公路</w:t>
            </w:r>
          </w:p>
        </w:tc>
        <w:tc>
          <w:tcPr>
            <w:tcW w:w="3125" w:type="dxa"/>
            <w:vAlign w:val="top"/>
          </w:tcPr>
          <w:p w14:paraId="2834C3E5">
            <w:pPr>
              <w:spacing w:before="253"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269465FA">
            <w:pPr>
              <w:spacing w:before="253" w:line="228" w:lineRule="auto"/>
              <w:ind w:left="375"/>
              <w:rPr>
                <w:rFonts w:ascii="宋体" w:hAnsi="宋体" w:eastAsia="宋体" w:cs="宋体"/>
                <w:sz w:val="20"/>
                <w:szCs w:val="20"/>
              </w:rPr>
            </w:pPr>
            <w:r>
              <w:rPr>
                <w:rFonts w:ascii="宋体" w:hAnsi="宋体" w:eastAsia="宋体" w:cs="宋体"/>
                <w:spacing w:val="6"/>
                <w:sz w:val="20"/>
                <w:szCs w:val="20"/>
              </w:rPr>
              <w:t>宣威（桃树凹）</w:t>
            </w:r>
          </w:p>
        </w:tc>
        <w:tc>
          <w:tcPr>
            <w:tcW w:w="2066" w:type="dxa"/>
            <w:vAlign w:val="top"/>
          </w:tcPr>
          <w:p w14:paraId="50781ADF">
            <w:pPr>
              <w:spacing w:before="253" w:line="228" w:lineRule="auto"/>
              <w:ind w:left="312"/>
              <w:rPr>
                <w:rFonts w:ascii="宋体" w:hAnsi="宋体" w:eastAsia="宋体" w:cs="宋体"/>
                <w:sz w:val="20"/>
                <w:szCs w:val="20"/>
              </w:rPr>
            </w:pPr>
            <w:r>
              <w:rPr>
                <w:rFonts w:ascii="宋体" w:hAnsi="宋体" w:eastAsia="宋体" w:cs="宋体"/>
                <w:spacing w:val="5"/>
                <w:sz w:val="20"/>
                <w:szCs w:val="20"/>
              </w:rPr>
              <w:t>富源（杨二冲）</w:t>
            </w:r>
          </w:p>
        </w:tc>
        <w:tc>
          <w:tcPr>
            <w:tcW w:w="920" w:type="dxa"/>
            <w:vAlign w:val="top"/>
          </w:tcPr>
          <w:p w14:paraId="736F7315">
            <w:pPr>
              <w:spacing w:before="253"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50537EBD">
            <w:pPr>
              <w:spacing w:before="253"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4359FFE7">
            <w:pPr>
              <w:pStyle w:val="6"/>
              <w:spacing w:before="224" w:line="275" w:lineRule="exact"/>
              <w:ind w:left="365"/>
            </w:pPr>
            <w:r>
              <w:rPr>
                <w:spacing w:val="2"/>
                <w:position w:val="2"/>
              </w:rPr>
              <w:t>58.4</w:t>
            </w:r>
          </w:p>
        </w:tc>
        <w:tc>
          <w:tcPr>
            <w:tcW w:w="1113" w:type="dxa"/>
            <w:vAlign w:val="top"/>
          </w:tcPr>
          <w:p w14:paraId="2AEC8733">
            <w:pPr>
              <w:pStyle w:val="6"/>
              <w:spacing w:before="224" w:line="275" w:lineRule="exact"/>
              <w:ind w:left="111"/>
            </w:pPr>
            <w:r>
              <w:rPr>
                <w:spacing w:val="4"/>
                <w:position w:val="2"/>
              </w:rPr>
              <w:t>2021-2023</w:t>
            </w:r>
          </w:p>
        </w:tc>
        <w:tc>
          <w:tcPr>
            <w:tcW w:w="1028" w:type="dxa"/>
            <w:vAlign w:val="top"/>
          </w:tcPr>
          <w:p w14:paraId="6AEA1EA2">
            <w:pPr>
              <w:pStyle w:val="6"/>
              <w:spacing w:before="224" w:line="275" w:lineRule="exact"/>
              <w:ind w:left="254"/>
            </w:pPr>
            <w:r>
              <w:rPr>
                <w:position w:val="2"/>
              </w:rPr>
              <w:t>107.28</w:t>
            </w:r>
          </w:p>
        </w:tc>
        <w:tc>
          <w:tcPr>
            <w:tcW w:w="3175" w:type="dxa"/>
            <w:tcBorders>
              <w:right w:val="single" w:color="000000" w:sz="10" w:space="0"/>
            </w:tcBorders>
            <w:vAlign w:val="top"/>
          </w:tcPr>
          <w:p w14:paraId="44C58E32">
            <w:pPr>
              <w:spacing w:before="90" w:line="265"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274E5C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22698AC9">
            <w:pPr>
              <w:pStyle w:val="6"/>
              <w:spacing w:before="296" w:line="192" w:lineRule="auto"/>
              <w:ind w:left="258"/>
            </w:pPr>
            <w:r>
              <w:t>5</w:t>
            </w:r>
          </w:p>
        </w:tc>
        <w:tc>
          <w:tcPr>
            <w:tcW w:w="1412" w:type="dxa"/>
            <w:vAlign w:val="top"/>
          </w:tcPr>
          <w:p w14:paraId="3A20BB8E">
            <w:pPr>
              <w:pStyle w:val="6"/>
              <w:spacing w:before="226" w:line="274" w:lineRule="exact"/>
              <w:ind w:left="541"/>
            </w:pPr>
            <w:r>
              <w:rPr>
                <w:spacing w:val="-8"/>
                <w:position w:val="2"/>
              </w:rPr>
              <w:t>S</w:t>
            </w:r>
            <w:r>
              <w:rPr>
                <w:spacing w:val="-27"/>
                <w:position w:val="2"/>
              </w:rPr>
              <w:t xml:space="preserve"> </w:t>
            </w:r>
            <w:r>
              <w:rPr>
                <w:spacing w:val="-8"/>
                <w:position w:val="2"/>
              </w:rPr>
              <w:t>13</w:t>
            </w:r>
          </w:p>
        </w:tc>
        <w:tc>
          <w:tcPr>
            <w:tcW w:w="3274" w:type="dxa"/>
            <w:vAlign w:val="top"/>
          </w:tcPr>
          <w:p w14:paraId="2AE60B94">
            <w:pPr>
              <w:spacing w:before="255" w:line="228" w:lineRule="auto"/>
              <w:ind w:left="697"/>
              <w:rPr>
                <w:rFonts w:ascii="宋体" w:hAnsi="宋体" w:eastAsia="宋体" w:cs="宋体"/>
                <w:sz w:val="20"/>
                <w:szCs w:val="20"/>
              </w:rPr>
            </w:pPr>
            <w:r>
              <w:rPr>
                <w:rFonts w:ascii="宋体" w:hAnsi="宋体" w:eastAsia="宋体" w:cs="宋体"/>
                <w:spacing w:val="8"/>
                <w:sz w:val="20"/>
                <w:szCs w:val="20"/>
              </w:rPr>
              <w:t>富源至罗平高速公路</w:t>
            </w:r>
          </w:p>
        </w:tc>
        <w:tc>
          <w:tcPr>
            <w:tcW w:w="3125" w:type="dxa"/>
            <w:vAlign w:val="top"/>
          </w:tcPr>
          <w:p w14:paraId="6751484E">
            <w:pPr>
              <w:spacing w:before="254"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4F6560CD">
            <w:pPr>
              <w:spacing w:before="255" w:line="228" w:lineRule="auto"/>
              <w:ind w:left="589"/>
              <w:rPr>
                <w:rFonts w:ascii="宋体" w:hAnsi="宋体" w:eastAsia="宋体" w:cs="宋体"/>
                <w:sz w:val="20"/>
                <w:szCs w:val="20"/>
              </w:rPr>
            </w:pPr>
            <w:r>
              <w:rPr>
                <w:rFonts w:ascii="宋体" w:hAnsi="宋体" w:eastAsia="宋体" w:cs="宋体"/>
                <w:spacing w:val="6"/>
                <w:sz w:val="20"/>
                <w:szCs w:val="20"/>
              </w:rPr>
              <w:t>富源杨二冲</w:t>
            </w:r>
          </w:p>
        </w:tc>
        <w:tc>
          <w:tcPr>
            <w:tcW w:w="2066" w:type="dxa"/>
            <w:vAlign w:val="top"/>
          </w:tcPr>
          <w:p w14:paraId="0455AB82">
            <w:pPr>
              <w:spacing w:before="254" w:line="232" w:lineRule="auto"/>
              <w:ind w:left="622"/>
              <w:rPr>
                <w:rFonts w:ascii="宋体" w:hAnsi="宋体" w:eastAsia="宋体" w:cs="宋体"/>
                <w:sz w:val="20"/>
                <w:szCs w:val="20"/>
              </w:rPr>
            </w:pPr>
            <w:r>
              <w:rPr>
                <w:rFonts w:ascii="宋体" w:hAnsi="宋体" w:eastAsia="宋体" w:cs="宋体"/>
                <w:spacing w:val="6"/>
                <w:sz w:val="20"/>
                <w:szCs w:val="20"/>
              </w:rPr>
              <w:t>罗平江边</w:t>
            </w:r>
          </w:p>
        </w:tc>
        <w:tc>
          <w:tcPr>
            <w:tcW w:w="920" w:type="dxa"/>
            <w:vAlign w:val="top"/>
          </w:tcPr>
          <w:p w14:paraId="100490FC">
            <w:pPr>
              <w:spacing w:before="254"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39D2D0C7">
            <w:pPr>
              <w:spacing w:before="255"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4E603733">
            <w:pPr>
              <w:pStyle w:val="6"/>
              <w:spacing w:before="226" w:line="274" w:lineRule="exact"/>
              <w:ind w:left="363"/>
            </w:pPr>
            <w:r>
              <w:rPr>
                <w:spacing w:val="2"/>
                <w:position w:val="2"/>
              </w:rPr>
              <w:t>90.5</w:t>
            </w:r>
          </w:p>
        </w:tc>
        <w:tc>
          <w:tcPr>
            <w:tcW w:w="1113" w:type="dxa"/>
            <w:vAlign w:val="top"/>
          </w:tcPr>
          <w:p w14:paraId="6D8317C8">
            <w:pPr>
              <w:pStyle w:val="6"/>
              <w:spacing w:before="226" w:line="274" w:lineRule="exact"/>
              <w:ind w:left="111"/>
            </w:pPr>
            <w:r>
              <w:rPr>
                <w:spacing w:val="4"/>
                <w:position w:val="2"/>
              </w:rPr>
              <w:t>2022-2025</w:t>
            </w:r>
          </w:p>
        </w:tc>
        <w:tc>
          <w:tcPr>
            <w:tcW w:w="1028" w:type="dxa"/>
            <w:vAlign w:val="top"/>
          </w:tcPr>
          <w:p w14:paraId="001723F2">
            <w:pPr>
              <w:pStyle w:val="6"/>
              <w:spacing w:before="226" w:line="274" w:lineRule="exact"/>
              <w:ind w:left="254"/>
            </w:pPr>
            <w:r>
              <w:rPr>
                <w:position w:val="2"/>
              </w:rPr>
              <w:t>163.57</w:t>
            </w:r>
          </w:p>
        </w:tc>
        <w:tc>
          <w:tcPr>
            <w:tcW w:w="3175" w:type="dxa"/>
            <w:tcBorders>
              <w:right w:val="single" w:color="000000" w:sz="10" w:space="0"/>
            </w:tcBorders>
            <w:vAlign w:val="top"/>
          </w:tcPr>
          <w:p w14:paraId="051DFEAA">
            <w:pPr>
              <w:spacing w:before="90" w:line="265"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09952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243B34A8">
            <w:pPr>
              <w:pStyle w:val="6"/>
              <w:spacing w:before="225" w:line="274" w:lineRule="exact"/>
              <w:ind w:left="257"/>
            </w:pPr>
            <w:r>
              <w:rPr>
                <w:position w:val="2"/>
              </w:rPr>
              <w:t>6</w:t>
            </w:r>
          </w:p>
        </w:tc>
        <w:tc>
          <w:tcPr>
            <w:tcW w:w="1412" w:type="dxa"/>
            <w:vAlign w:val="top"/>
          </w:tcPr>
          <w:p w14:paraId="1747DE37">
            <w:pPr>
              <w:pStyle w:val="6"/>
              <w:spacing w:before="225" w:line="274" w:lineRule="exact"/>
              <w:ind w:left="541"/>
            </w:pPr>
            <w:r>
              <w:rPr>
                <w:position w:val="2"/>
              </w:rPr>
              <w:t>S20</w:t>
            </w:r>
          </w:p>
        </w:tc>
        <w:tc>
          <w:tcPr>
            <w:tcW w:w="3274" w:type="dxa"/>
            <w:vAlign w:val="top"/>
          </w:tcPr>
          <w:p w14:paraId="7D0AD539">
            <w:pPr>
              <w:spacing w:before="256" w:line="228" w:lineRule="auto"/>
              <w:ind w:left="693"/>
              <w:rPr>
                <w:rFonts w:ascii="宋体" w:hAnsi="宋体" w:eastAsia="宋体" w:cs="宋体"/>
                <w:sz w:val="20"/>
                <w:szCs w:val="20"/>
              </w:rPr>
            </w:pPr>
            <w:r>
              <w:rPr>
                <w:rFonts w:ascii="宋体" w:hAnsi="宋体" w:eastAsia="宋体" w:cs="宋体"/>
                <w:spacing w:val="8"/>
                <w:sz w:val="20"/>
                <w:szCs w:val="20"/>
              </w:rPr>
              <w:t>宣威至会泽高速公路</w:t>
            </w:r>
          </w:p>
        </w:tc>
        <w:tc>
          <w:tcPr>
            <w:tcW w:w="3125" w:type="dxa"/>
            <w:vAlign w:val="top"/>
          </w:tcPr>
          <w:p w14:paraId="2DE251F9">
            <w:pPr>
              <w:spacing w:before="256"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0D4B0D73">
            <w:pPr>
              <w:spacing w:before="256" w:line="229" w:lineRule="auto"/>
              <w:ind w:left="584"/>
              <w:rPr>
                <w:rFonts w:ascii="宋体" w:hAnsi="宋体" w:eastAsia="宋体" w:cs="宋体"/>
                <w:sz w:val="20"/>
                <w:szCs w:val="20"/>
              </w:rPr>
            </w:pPr>
            <w:r>
              <w:rPr>
                <w:rFonts w:ascii="宋体" w:hAnsi="宋体" w:eastAsia="宋体" w:cs="宋体"/>
                <w:spacing w:val="7"/>
                <w:sz w:val="20"/>
                <w:szCs w:val="20"/>
              </w:rPr>
              <w:t>宣威下关冲</w:t>
            </w:r>
          </w:p>
        </w:tc>
        <w:tc>
          <w:tcPr>
            <w:tcW w:w="2066" w:type="dxa"/>
            <w:vAlign w:val="top"/>
          </w:tcPr>
          <w:p w14:paraId="0E6C1251">
            <w:pPr>
              <w:spacing w:before="256" w:line="228" w:lineRule="auto"/>
              <w:ind w:left="620"/>
              <w:rPr>
                <w:rFonts w:ascii="宋体" w:hAnsi="宋体" w:eastAsia="宋体" w:cs="宋体"/>
                <w:sz w:val="20"/>
                <w:szCs w:val="20"/>
              </w:rPr>
            </w:pPr>
            <w:r>
              <w:rPr>
                <w:rFonts w:ascii="宋体" w:hAnsi="宋体" w:eastAsia="宋体" w:cs="宋体"/>
                <w:spacing w:val="7"/>
                <w:sz w:val="20"/>
                <w:szCs w:val="20"/>
              </w:rPr>
              <w:t>会泽黑土</w:t>
            </w:r>
          </w:p>
        </w:tc>
        <w:tc>
          <w:tcPr>
            <w:tcW w:w="920" w:type="dxa"/>
            <w:vAlign w:val="top"/>
          </w:tcPr>
          <w:p w14:paraId="49812A14">
            <w:pPr>
              <w:spacing w:before="256"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755B4F95">
            <w:pPr>
              <w:spacing w:before="256"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17F30B0E">
            <w:pPr>
              <w:pStyle w:val="6"/>
              <w:spacing w:before="225" w:line="274" w:lineRule="exact"/>
              <w:ind w:left="363"/>
            </w:pPr>
            <w:r>
              <w:rPr>
                <w:spacing w:val="2"/>
                <w:position w:val="2"/>
              </w:rPr>
              <w:t>99.1</w:t>
            </w:r>
          </w:p>
        </w:tc>
        <w:tc>
          <w:tcPr>
            <w:tcW w:w="1113" w:type="dxa"/>
            <w:vAlign w:val="top"/>
          </w:tcPr>
          <w:p w14:paraId="1D2547E6">
            <w:pPr>
              <w:pStyle w:val="6"/>
              <w:spacing w:before="225" w:line="274" w:lineRule="exact"/>
              <w:ind w:left="111"/>
            </w:pPr>
            <w:r>
              <w:rPr>
                <w:spacing w:val="4"/>
                <w:position w:val="2"/>
              </w:rPr>
              <w:t>2022-2025</w:t>
            </w:r>
          </w:p>
        </w:tc>
        <w:tc>
          <w:tcPr>
            <w:tcW w:w="1028" w:type="dxa"/>
            <w:vAlign w:val="top"/>
          </w:tcPr>
          <w:p w14:paraId="3C7D45F7">
            <w:pPr>
              <w:pStyle w:val="6"/>
              <w:spacing w:before="225" w:line="274" w:lineRule="exact"/>
              <w:ind w:left="254"/>
            </w:pPr>
            <w:r>
              <w:rPr>
                <w:position w:val="2"/>
              </w:rPr>
              <w:t>199.71</w:t>
            </w:r>
          </w:p>
        </w:tc>
        <w:tc>
          <w:tcPr>
            <w:tcW w:w="3175" w:type="dxa"/>
            <w:tcBorders>
              <w:right w:val="single" w:color="000000" w:sz="10" w:space="0"/>
            </w:tcBorders>
            <w:vAlign w:val="top"/>
          </w:tcPr>
          <w:p w14:paraId="732B3863">
            <w:pPr>
              <w:spacing w:before="92" w:line="264"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66AA3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49ACEB69">
            <w:pPr>
              <w:pStyle w:val="6"/>
              <w:spacing w:before="296" w:line="192" w:lineRule="auto"/>
              <w:ind w:left="255"/>
            </w:pPr>
            <w:r>
              <w:t>7</w:t>
            </w:r>
          </w:p>
        </w:tc>
        <w:tc>
          <w:tcPr>
            <w:tcW w:w="1412" w:type="dxa"/>
            <w:vAlign w:val="top"/>
          </w:tcPr>
          <w:p w14:paraId="4EB653F8">
            <w:pPr>
              <w:pStyle w:val="6"/>
              <w:spacing w:before="227" w:line="274" w:lineRule="exact"/>
              <w:ind w:left="541"/>
            </w:pPr>
            <w:r>
              <w:rPr>
                <w:position w:val="2"/>
              </w:rPr>
              <w:t>S20</w:t>
            </w:r>
          </w:p>
        </w:tc>
        <w:tc>
          <w:tcPr>
            <w:tcW w:w="3274" w:type="dxa"/>
            <w:vAlign w:val="top"/>
          </w:tcPr>
          <w:p w14:paraId="37D05713">
            <w:pPr>
              <w:spacing w:before="257" w:line="228" w:lineRule="auto"/>
              <w:ind w:left="688"/>
              <w:rPr>
                <w:rFonts w:ascii="宋体" w:hAnsi="宋体" w:eastAsia="宋体" w:cs="宋体"/>
                <w:sz w:val="20"/>
                <w:szCs w:val="20"/>
              </w:rPr>
            </w:pPr>
            <w:r>
              <w:rPr>
                <w:rFonts w:ascii="宋体" w:hAnsi="宋体" w:eastAsia="宋体" w:cs="宋体"/>
                <w:spacing w:val="9"/>
                <w:sz w:val="20"/>
                <w:szCs w:val="20"/>
              </w:rPr>
              <w:t>会泽至巧家高速公路</w:t>
            </w:r>
          </w:p>
        </w:tc>
        <w:tc>
          <w:tcPr>
            <w:tcW w:w="3125" w:type="dxa"/>
            <w:vAlign w:val="top"/>
          </w:tcPr>
          <w:p w14:paraId="1E9BE2E7">
            <w:pPr>
              <w:pStyle w:val="6"/>
              <w:spacing w:before="227" w:line="274" w:lineRule="exact"/>
              <w:ind w:left="228"/>
              <w:rPr>
                <w:rFonts w:ascii="宋体" w:hAnsi="宋体" w:eastAsia="宋体" w:cs="宋体"/>
              </w:rPr>
            </w:pPr>
            <w:r>
              <w:rPr>
                <w:rFonts w:ascii="宋体" w:hAnsi="宋体" w:eastAsia="宋体" w:cs="宋体"/>
                <w:spacing w:val="3"/>
                <w:position w:val="1"/>
              </w:rPr>
              <w:t>全段（含巧家段</w:t>
            </w:r>
            <w:r>
              <w:rPr>
                <w:rFonts w:ascii="宋体" w:hAnsi="宋体" w:eastAsia="宋体" w:cs="宋体"/>
                <w:spacing w:val="-13"/>
                <w:position w:val="1"/>
              </w:rPr>
              <w:t xml:space="preserve"> </w:t>
            </w:r>
            <w:r>
              <w:rPr>
                <w:spacing w:val="3"/>
                <w:position w:val="1"/>
              </w:rPr>
              <w:t>11.27</w:t>
            </w:r>
            <w:r>
              <w:rPr>
                <w:spacing w:val="16"/>
                <w:w w:val="101"/>
                <w:position w:val="1"/>
              </w:rPr>
              <w:t xml:space="preserve"> </w:t>
            </w:r>
            <w:r>
              <w:rPr>
                <w:rFonts w:ascii="宋体" w:hAnsi="宋体" w:eastAsia="宋体" w:cs="宋体"/>
                <w:spacing w:val="3"/>
                <w:position w:val="1"/>
              </w:rPr>
              <w:t>公里）</w:t>
            </w:r>
          </w:p>
        </w:tc>
        <w:tc>
          <w:tcPr>
            <w:tcW w:w="2204" w:type="dxa"/>
            <w:vAlign w:val="top"/>
          </w:tcPr>
          <w:p w14:paraId="4D50E31A">
            <w:pPr>
              <w:spacing w:before="257" w:line="228" w:lineRule="auto"/>
              <w:ind w:left="685"/>
              <w:rPr>
                <w:rFonts w:ascii="宋体" w:hAnsi="宋体" w:eastAsia="宋体" w:cs="宋体"/>
                <w:sz w:val="20"/>
                <w:szCs w:val="20"/>
              </w:rPr>
            </w:pPr>
            <w:r>
              <w:rPr>
                <w:rFonts w:ascii="宋体" w:hAnsi="宋体" w:eastAsia="宋体" w:cs="宋体"/>
                <w:spacing w:val="7"/>
                <w:sz w:val="20"/>
                <w:szCs w:val="20"/>
              </w:rPr>
              <w:t>会泽黑土</w:t>
            </w:r>
          </w:p>
        </w:tc>
        <w:tc>
          <w:tcPr>
            <w:tcW w:w="2066" w:type="dxa"/>
            <w:vAlign w:val="top"/>
          </w:tcPr>
          <w:p w14:paraId="23BA86F6">
            <w:pPr>
              <w:spacing w:before="258" w:line="228" w:lineRule="auto"/>
              <w:ind w:left="624"/>
              <w:rPr>
                <w:rFonts w:ascii="宋体" w:hAnsi="宋体" w:eastAsia="宋体" w:cs="宋体"/>
                <w:sz w:val="20"/>
                <w:szCs w:val="20"/>
              </w:rPr>
            </w:pPr>
            <w:r>
              <w:rPr>
                <w:rFonts w:ascii="宋体" w:hAnsi="宋体" w:eastAsia="宋体" w:cs="宋体"/>
                <w:spacing w:val="6"/>
                <w:sz w:val="20"/>
                <w:szCs w:val="20"/>
              </w:rPr>
              <w:t>巧家蒙姑</w:t>
            </w:r>
          </w:p>
        </w:tc>
        <w:tc>
          <w:tcPr>
            <w:tcW w:w="920" w:type="dxa"/>
            <w:vAlign w:val="top"/>
          </w:tcPr>
          <w:p w14:paraId="2621F418">
            <w:pPr>
              <w:spacing w:before="258"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71CFA5E2">
            <w:pPr>
              <w:spacing w:before="258"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6B57DE83">
            <w:pPr>
              <w:pStyle w:val="6"/>
              <w:spacing w:before="227" w:line="274" w:lineRule="exact"/>
              <w:ind w:left="311"/>
            </w:pPr>
            <w:r>
              <w:rPr>
                <w:spacing w:val="3"/>
                <w:position w:val="2"/>
              </w:rPr>
              <w:t>69.75</w:t>
            </w:r>
          </w:p>
        </w:tc>
        <w:tc>
          <w:tcPr>
            <w:tcW w:w="1113" w:type="dxa"/>
            <w:vAlign w:val="top"/>
          </w:tcPr>
          <w:p w14:paraId="3251F4C5">
            <w:pPr>
              <w:pStyle w:val="6"/>
              <w:spacing w:before="227" w:line="274" w:lineRule="exact"/>
              <w:ind w:left="111"/>
            </w:pPr>
            <w:r>
              <w:rPr>
                <w:spacing w:val="4"/>
                <w:position w:val="2"/>
              </w:rPr>
              <w:t>2021-2024</w:t>
            </w:r>
          </w:p>
        </w:tc>
        <w:tc>
          <w:tcPr>
            <w:tcW w:w="1028" w:type="dxa"/>
            <w:vAlign w:val="top"/>
          </w:tcPr>
          <w:p w14:paraId="0442938D">
            <w:pPr>
              <w:pStyle w:val="6"/>
              <w:spacing w:before="227" w:line="274" w:lineRule="exact"/>
              <w:ind w:left="254"/>
            </w:pPr>
            <w:r>
              <w:rPr>
                <w:position w:val="2"/>
              </w:rPr>
              <w:t>131.14</w:t>
            </w:r>
          </w:p>
        </w:tc>
        <w:tc>
          <w:tcPr>
            <w:tcW w:w="3175" w:type="dxa"/>
            <w:tcBorders>
              <w:right w:val="single" w:color="000000" w:sz="10" w:space="0"/>
            </w:tcBorders>
            <w:vAlign w:val="top"/>
          </w:tcPr>
          <w:p w14:paraId="6264F0C4">
            <w:pPr>
              <w:spacing w:before="92" w:line="264"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536BA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5AC4C5CC">
            <w:pPr>
              <w:pStyle w:val="6"/>
              <w:spacing w:before="228" w:line="275" w:lineRule="exact"/>
              <w:ind w:left="260"/>
            </w:pPr>
            <w:r>
              <w:rPr>
                <w:position w:val="2"/>
              </w:rPr>
              <w:t>8</w:t>
            </w:r>
          </w:p>
        </w:tc>
        <w:tc>
          <w:tcPr>
            <w:tcW w:w="1412" w:type="dxa"/>
            <w:vAlign w:val="top"/>
          </w:tcPr>
          <w:p w14:paraId="5639D0AF">
            <w:pPr>
              <w:rPr>
                <w:rFonts w:ascii="Arial"/>
                <w:sz w:val="21"/>
              </w:rPr>
            </w:pPr>
          </w:p>
        </w:tc>
        <w:tc>
          <w:tcPr>
            <w:tcW w:w="3274" w:type="dxa"/>
            <w:vAlign w:val="top"/>
          </w:tcPr>
          <w:p w14:paraId="19DD606A">
            <w:pPr>
              <w:spacing w:before="93" w:line="228" w:lineRule="auto"/>
              <w:ind w:left="61"/>
              <w:rPr>
                <w:rFonts w:ascii="宋体" w:hAnsi="宋体" w:eastAsia="宋体" w:cs="宋体"/>
                <w:sz w:val="20"/>
                <w:szCs w:val="20"/>
              </w:rPr>
            </w:pPr>
            <w:r>
              <w:rPr>
                <w:rFonts w:ascii="宋体" w:hAnsi="宋体" w:eastAsia="宋体" w:cs="宋体"/>
                <w:spacing w:val="9"/>
                <w:sz w:val="20"/>
                <w:szCs w:val="20"/>
              </w:rPr>
              <w:t>宣威永安机场高速（沾益炎方至花</w:t>
            </w:r>
          </w:p>
          <w:p w14:paraId="54A9A6CD">
            <w:pPr>
              <w:spacing w:before="81" w:line="224" w:lineRule="auto"/>
              <w:ind w:left="1442"/>
              <w:rPr>
                <w:rFonts w:ascii="宋体" w:hAnsi="宋体" w:eastAsia="宋体" w:cs="宋体"/>
                <w:sz w:val="20"/>
                <w:szCs w:val="20"/>
              </w:rPr>
            </w:pPr>
            <w:r>
              <w:rPr>
                <w:rFonts w:ascii="宋体" w:hAnsi="宋体" w:eastAsia="宋体" w:cs="宋体"/>
                <w:spacing w:val="-9"/>
                <w:sz w:val="20"/>
                <w:szCs w:val="20"/>
              </w:rPr>
              <w:t>山）</w:t>
            </w:r>
          </w:p>
        </w:tc>
        <w:tc>
          <w:tcPr>
            <w:tcW w:w="3125" w:type="dxa"/>
            <w:vAlign w:val="top"/>
          </w:tcPr>
          <w:p w14:paraId="48894DBC">
            <w:pPr>
              <w:spacing w:before="257"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619F904D">
            <w:pPr>
              <w:spacing w:before="257" w:line="228" w:lineRule="auto"/>
              <w:ind w:left="377"/>
              <w:rPr>
                <w:rFonts w:ascii="宋体" w:hAnsi="宋体" w:eastAsia="宋体" w:cs="宋体"/>
                <w:sz w:val="20"/>
                <w:szCs w:val="20"/>
              </w:rPr>
            </w:pPr>
            <w:r>
              <w:rPr>
                <w:rFonts w:ascii="宋体" w:hAnsi="宋体" w:eastAsia="宋体" w:cs="宋体"/>
                <w:spacing w:val="7"/>
                <w:sz w:val="20"/>
                <w:szCs w:val="20"/>
              </w:rPr>
              <w:t>沾益炎方龙潭山</w:t>
            </w:r>
          </w:p>
        </w:tc>
        <w:tc>
          <w:tcPr>
            <w:tcW w:w="2066" w:type="dxa"/>
            <w:vAlign w:val="top"/>
          </w:tcPr>
          <w:p w14:paraId="5D6EC52B">
            <w:pPr>
              <w:spacing w:before="257" w:line="229" w:lineRule="auto"/>
              <w:ind w:left="626"/>
              <w:rPr>
                <w:rFonts w:ascii="宋体" w:hAnsi="宋体" w:eastAsia="宋体" w:cs="宋体"/>
                <w:sz w:val="20"/>
                <w:szCs w:val="20"/>
              </w:rPr>
            </w:pPr>
            <w:r>
              <w:rPr>
                <w:rFonts w:ascii="宋体" w:hAnsi="宋体" w:eastAsia="宋体" w:cs="宋体"/>
                <w:spacing w:val="6"/>
                <w:sz w:val="20"/>
                <w:szCs w:val="20"/>
              </w:rPr>
              <w:t>沾益新排</w:t>
            </w:r>
          </w:p>
        </w:tc>
        <w:tc>
          <w:tcPr>
            <w:tcW w:w="920" w:type="dxa"/>
            <w:vAlign w:val="top"/>
          </w:tcPr>
          <w:p w14:paraId="3AAE17C4">
            <w:pPr>
              <w:spacing w:before="257"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5024FEFF">
            <w:pPr>
              <w:spacing w:before="257"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3896A4AE">
            <w:pPr>
              <w:pStyle w:val="6"/>
              <w:spacing w:before="228" w:line="275" w:lineRule="exact"/>
              <w:ind w:left="310"/>
            </w:pPr>
            <w:r>
              <w:rPr>
                <w:spacing w:val="3"/>
                <w:position w:val="2"/>
              </w:rPr>
              <w:t>36.93</w:t>
            </w:r>
          </w:p>
        </w:tc>
        <w:tc>
          <w:tcPr>
            <w:tcW w:w="1113" w:type="dxa"/>
            <w:vAlign w:val="top"/>
          </w:tcPr>
          <w:p w14:paraId="2D80CC72">
            <w:pPr>
              <w:pStyle w:val="6"/>
              <w:spacing w:before="228" w:line="275" w:lineRule="exact"/>
              <w:ind w:left="111"/>
            </w:pPr>
            <w:r>
              <w:rPr>
                <w:spacing w:val="4"/>
                <w:position w:val="2"/>
              </w:rPr>
              <w:t>2023-2025</w:t>
            </w:r>
          </w:p>
        </w:tc>
        <w:tc>
          <w:tcPr>
            <w:tcW w:w="1028" w:type="dxa"/>
            <w:vAlign w:val="top"/>
          </w:tcPr>
          <w:p w14:paraId="2E87A76C">
            <w:pPr>
              <w:pStyle w:val="6"/>
              <w:spacing w:before="228" w:line="275" w:lineRule="exact"/>
              <w:ind w:left="293"/>
            </w:pPr>
            <w:r>
              <w:rPr>
                <w:spacing w:val="2"/>
                <w:position w:val="2"/>
              </w:rPr>
              <w:t>56.03</w:t>
            </w:r>
          </w:p>
        </w:tc>
        <w:tc>
          <w:tcPr>
            <w:tcW w:w="3175" w:type="dxa"/>
            <w:tcBorders>
              <w:right w:val="single" w:color="000000" w:sz="10" w:space="0"/>
            </w:tcBorders>
            <w:vAlign w:val="top"/>
          </w:tcPr>
          <w:p w14:paraId="6144137A">
            <w:pPr>
              <w:spacing w:before="92" w:line="264"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发展规划》增补项目</w:t>
            </w:r>
          </w:p>
        </w:tc>
      </w:tr>
      <w:tr w14:paraId="34FC1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565D6EDF">
            <w:pPr>
              <w:rPr>
                <w:rFonts w:ascii="Arial"/>
                <w:sz w:val="21"/>
              </w:rPr>
            </w:pPr>
          </w:p>
        </w:tc>
        <w:tc>
          <w:tcPr>
            <w:tcW w:w="7811" w:type="dxa"/>
            <w:gridSpan w:val="3"/>
            <w:vAlign w:val="top"/>
          </w:tcPr>
          <w:p w14:paraId="39848E3B">
            <w:pPr>
              <w:spacing w:before="115" w:line="228" w:lineRule="auto"/>
              <w:ind w:left="19"/>
              <w:rPr>
                <w:rFonts w:ascii="宋体" w:hAnsi="宋体" w:eastAsia="宋体" w:cs="宋体"/>
                <w:sz w:val="20"/>
                <w:szCs w:val="20"/>
              </w:rPr>
            </w:pPr>
            <w:r>
              <w:rPr>
                <w:rFonts w:ascii="宋体" w:hAnsi="宋体" w:eastAsia="宋体" w:cs="宋体"/>
                <w:b/>
                <w:bCs/>
                <w:spacing w:val="6"/>
                <w:sz w:val="20"/>
                <w:szCs w:val="20"/>
              </w:rPr>
              <w:t>（3）推动前期，条件成熟适时启动建设项目&lt;6</w:t>
            </w:r>
            <w:r>
              <w:rPr>
                <w:rFonts w:ascii="宋体" w:hAnsi="宋体" w:eastAsia="宋体" w:cs="宋体"/>
                <w:spacing w:val="-23"/>
                <w:sz w:val="20"/>
                <w:szCs w:val="20"/>
              </w:rPr>
              <w:t xml:space="preserve"> </w:t>
            </w:r>
            <w:r>
              <w:rPr>
                <w:rFonts w:ascii="宋体" w:hAnsi="宋体" w:eastAsia="宋体" w:cs="宋体"/>
                <w:b/>
                <w:bCs/>
                <w:spacing w:val="6"/>
                <w:sz w:val="20"/>
                <w:szCs w:val="20"/>
              </w:rPr>
              <w:t>个&gt;</w:t>
            </w:r>
          </w:p>
        </w:tc>
        <w:tc>
          <w:tcPr>
            <w:tcW w:w="2204" w:type="dxa"/>
            <w:vAlign w:val="top"/>
          </w:tcPr>
          <w:p w14:paraId="33981359">
            <w:pPr>
              <w:rPr>
                <w:rFonts w:ascii="Arial"/>
                <w:sz w:val="21"/>
              </w:rPr>
            </w:pPr>
          </w:p>
        </w:tc>
        <w:tc>
          <w:tcPr>
            <w:tcW w:w="2066" w:type="dxa"/>
            <w:vAlign w:val="top"/>
          </w:tcPr>
          <w:p w14:paraId="3418A01A">
            <w:pPr>
              <w:rPr>
                <w:rFonts w:ascii="Arial"/>
                <w:sz w:val="21"/>
              </w:rPr>
            </w:pPr>
          </w:p>
        </w:tc>
        <w:tc>
          <w:tcPr>
            <w:tcW w:w="920" w:type="dxa"/>
            <w:vAlign w:val="top"/>
          </w:tcPr>
          <w:p w14:paraId="6ACADC0F">
            <w:pPr>
              <w:rPr>
                <w:rFonts w:ascii="Arial"/>
                <w:sz w:val="21"/>
              </w:rPr>
            </w:pPr>
          </w:p>
        </w:tc>
        <w:tc>
          <w:tcPr>
            <w:tcW w:w="963" w:type="dxa"/>
            <w:vAlign w:val="top"/>
          </w:tcPr>
          <w:p w14:paraId="1BED510F">
            <w:pPr>
              <w:rPr>
                <w:rFonts w:ascii="Arial"/>
                <w:sz w:val="21"/>
              </w:rPr>
            </w:pPr>
          </w:p>
        </w:tc>
        <w:tc>
          <w:tcPr>
            <w:tcW w:w="1071" w:type="dxa"/>
            <w:vAlign w:val="top"/>
          </w:tcPr>
          <w:p w14:paraId="24038B07">
            <w:pPr>
              <w:pStyle w:val="6"/>
              <w:spacing w:before="153" w:line="195" w:lineRule="auto"/>
              <w:ind w:left="252"/>
            </w:pPr>
            <w:r>
              <w:rPr>
                <w:b/>
                <w:bCs/>
                <w:spacing w:val="3"/>
              </w:rPr>
              <w:t>391.67</w:t>
            </w:r>
          </w:p>
        </w:tc>
        <w:tc>
          <w:tcPr>
            <w:tcW w:w="1113" w:type="dxa"/>
            <w:vAlign w:val="top"/>
          </w:tcPr>
          <w:p w14:paraId="24293065">
            <w:pPr>
              <w:rPr>
                <w:rFonts w:ascii="Arial"/>
                <w:sz w:val="21"/>
              </w:rPr>
            </w:pPr>
          </w:p>
        </w:tc>
        <w:tc>
          <w:tcPr>
            <w:tcW w:w="1028" w:type="dxa"/>
            <w:vAlign w:val="top"/>
          </w:tcPr>
          <w:p w14:paraId="7552A9F3">
            <w:pPr>
              <w:pStyle w:val="6"/>
              <w:spacing w:before="153" w:line="195" w:lineRule="auto"/>
              <w:ind w:left="237"/>
            </w:pPr>
            <w:r>
              <w:rPr>
                <w:b/>
                <w:bCs/>
                <w:spacing w:val="3"/>
              </w:rPr>
              <w:t>724.38</w:t>
            </w:r>
          </w:p>
        </w:tc>
        <w:tc>
          <w:tcPr>
            <w:tcW w:w="3175" w:type="dxa"/>
            <w:tcBorders>
              <w:right w:val="single" w:color="000000" w:sz="10" w:space="0"/>
            </w:tcBorders>
            <w:vAlign w:val="top"/>
          </w:tcPr>
          <w:p w14:paraId="3116625C">
            <w:pPr>
              <w:rPr>
                <w:rFonts w:ascii="Arial"/>
                <w:sz w:val="21"/>
              </w:rPr>
            </w:pPr>
          </w:p>
        </w:tc>
      </w:tr>
      <w:tr w14:paraId="758AD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23C65AA9">
            <w:pPr>
              <w:pStyle w:val="6"/>
              <w:spacing w:before="231" w:line="274" w:lineRule="exact"/>
              <w:ind w:left="272"/>
            </w:pPr>
            <w:r>
              <w:rPr>
                <w:position w:val="1"/>
              </w:rPr>
              <w:t>1</w:t>
            </w:r>
          </w:p>
        </w:tc>
        <w:tc>
          <w:tcPr>
            <w:tcW w:w="1412" w:type="dxa"/>
            <w:vAlign w:val="top"/>
          </w:tcPr>
          <w:p w14:paraId="5E3E0067">
            <w:pPr>
              <w:pStyle w:val="6"/>
              <w:spacing w:before="231" w:line="274" w:lineRule="exact"/>
              <w:ind w:left="541"/>
            </w:pPr>
            <w:r>
              <w:rPr>
                <w:position w:val="2"/>
              </w:rPr>
              <w:t>S20</w:t>
            </w:r>
          </w:p>
        </w:tc>
        <w:tc>
          <w:tcPr>
            <w:tcW w:w="3274" w:type="dxa"/>
            <w:vAlign w:val="top"/>
          </w:tcPr>
          <w:p w14:paraId="52CD880B">
            <w:pPr>
              <w:spacing w:before="259" w:line="228" w:lineRule="auto"/>
              <w:ind w:left="688"/>
              <w:rPr>
                <w:rFonts w:ascii="宋体" w:hAnsi="宋体" w:eastAsia="宋体" w:cs="宋体"/>
                <w:sz w:val="20"/>
                <w:szCs w:val="20"/>
              </w:rPr>
            </w:pPr>
            <w:r>
              <w:rPr>
                <w:rFonts w:ascii="宋体" w:hAnsi="宋体" w:eastAsia="宋体" w:cs="宋体"/>
                <w:spacing w:val="9"/>
                <w:sz w:val="20"/>
                <w:szCs w:val="20"/>
              </w:rPr>
              <w:t>会泽至威宁高速公路</w:t>
            </w:r>
          </w:p>
        </w:tc>
        <w:tc>
          <w:tcPr>
            <w:tcW w:w="3125" w:type="dxa"/>
            <w:vAlign w:val="top"/>
          </w:tcPr>
          <w:p w14:paraId="13C5F300">
            <w:pPr>
              <w:spacing w:before="259"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vAlign w:val="top"/>
          </w:tcPr>
          <w:p w14:paraId="4B32EA53">
            <w:pPr>
              <w:spacing w:before="259" w:line="228" w:lineRule="auto"/>
              <w:ind w:left="685"/>
              <w:rPr>
                <w:rFonts w:ascii="宋体" w:hAnsi="宋体" w:eastAsia="宋体" w:cs="宋体"/>
                <w:sz w:val="20"/>
                <w:szCs w:val="20"/>
              </w:rPr>
            </w:pPr>
            <w:r>
              <w:rPr>
                <w:rFonts w:ascii="宋体" w:hAnsi="宋体" w:eastAsia="宋体" w:cs="宋体"/>
                <w:spacing w:val="7"/>
                <w:sz w:val="20"/>
                <w:szCs w:val="20"/>
              </w:rPr>
              <w:t>会泽色关</w:t>
            </w:r>
          </w:p>
        </w:tc>
        <w:tc>
          <w:tcPr>
            <w:tcW w:w="2066" w:type="dxa"/>
            <w:vAlign w:val="top"/>
          </w:tcPr>
          <w:p w14:paraId="10141C51">
            <w:pPr>
              <w:spacing w:before="259" w:line="228" w:lineRule="auto"/>
              <w:ind w:left="94"/>
              <w:rPr>
                <w:rFonts w:ascii="宋体" w:hAnsi="宋体" w:eastAsia="宋体" w:cs="宋体"/>
                <w:sz w:val="20"/>
                <w:szCs w:val="20"/>
              </w:rPr>
            </w:pPr>
            <w:r>
              <w:rPr>
                <w:rFonts w:ascii="宋体" w:hAnsi="宋体" w:eastAsia="宋体" w:cs="宋体"/>
                <w:spacing w:val="8"/>
                <w:sz w:val="20"/>
                <w:szCs w:val="20"/>
              </w:rPr>
              <w:t>会泽陈家村(滇黔界)</w:t>
            </w:r>
          </w:p>
        </w:tc>
        <w:tc>
          <w:tcPr>
            <w:tcW w:w="920" w:type="dxa"/>
            <w:vAlign w:val="top"/>
          </w:tcPr>
          <w:p w14:paraId="3FCE329D">
            <w:pPr>
              <w:spacing w:before="259"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487C62B">
            <w:pPr>
              <w:spacing w:before="259"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2052DE28">
            <w:pPr>
              <w:pStyle w:val="6"/>
              <w:spacing w:before="231" w:line="274" w:lineRule="exact"/>
              <w:ind w:left="364"/>
            </w:pPr>
            <w:r>
              <w:rPr>
                <w:spacing w:val="2"/>
                <w:position w:val="2"/>
              </w:rPr>
              <w:t>6.41</w:t>
            </w:r>
          </w:p>
        </w:tc>
        <w:tc>
          <w:tcPr>
            <w:tcW w:w="1113" w:type="dxa"/>
            <w:vAlign w:val="top"/>
          </w:tcPr>
          <w:p w14:paraId="7AADD2F5">
            <w:pPr>
              <w:spacing w:before="259"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Align w:val="top"/>
          </w:tcPr>
          <w:p w14:paraId="436FA1D5">
            <w:pPr>
              <w:pStyle w:val="6"/>
              <w:spacing w:before="231" w:line="274" w:lineRule="exact"/>
              <w:ind w:left="307"/>
            </w:pPr>
            <w:r>
              <w:rPr>
                <w:spacing w:val="-1"/>
                <w:position w:val="2"/>
              </w:rPr>
              <w:t>10.38</w:t>
            </w:r>
          </w:p>
        </w:tc>
        <w:tc>
          <w:tcPr>
            <w:tcW w:w="3175" w:type="dxa"/>
            <w:tcBorders>
              <w:right w:val="single" w:color="000000" w:sz="10" w:space="0"/>
            </w:tcBorders>
            <w:vAlign w:val="top"/>
          </w:tcPr>
          <w:p w14:paraId="355DF3A8">
            <w:pPr>
              <w:spacing w:before="97" w:line="262"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284CC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0D2FB986">
            <w:pPr>
              <w:pStyle w:val="6"/>
              <w:spacing w:before="232" w:line="274" w:lineRule="exact"/>
              <w:ind w:left="252"/>
            </w:pPr>
            <w:r>
              <w:rPr>
                <w:position w:val="1"/>
              </w:rPr>
              <w:t>2</w:t>
            </w:r>
          </w:p>
        </w:tc>
        <w:tc>
          <w:tcPr>
            <w:tcW w:w="1412" w:type="dxa"/>
            <w:vAlign w:val="top"/>
          </w:tcPr>
          <w:p w14:paraId="7ACE6A2D">
            <w:pPr>
              <w:rPr>
                <w:rFonts w:ascii="Arial"/>
                <w:sz w:val="21"/>
              </w:rPr>
            </w:pPr>
          </w:p>
        </w:tc>
        <w:tc>
          <w:tcPr>
            <w:tcW w:w="3274" w:type="dxa"/>
            <w:vAlign w:val="top"/>
          </w:tcPr>
          <w:p w14:paraId="6974951B">
            <w:pPr>
              <w:spacing w:before="260" w:line="228" w:lineRule="auto"/>
              <w:ind w:left="489"/>
              <w:rPr>
                <w:rFonts w:ascii="宋体" w:hAnsi="宋体" w:eastAsia="宋体" w:cs="宋体"/>
                <w:sz w:val="20"/>
                <w:szCs w:val="20"/>
              </w:rPr>
            </w:pPr>
            <w:r>
              <w:rPr>
                <w:rFonts w:ascii="宋体" w:hAnsi="宋体" w:eastAsia="宋体" w:cs="宋体"/>
                <w:spacing w:val="8"/>
                <w:sz w:val="20"/>
                <w:szCs w:val="20"/>
              </w:rPr>
              <w:t>陆良板桥至召夸高速公路</w:t>
            </w:r>
          </w:p>
        </w:tc>
        <w:tc>
          <w:tcPr>
            <w:tcW w:w="3125" w:type="dxa"/>
            <w:vAlign w:val="top"/>
          </w:tcPr>
          <w:p w14:paraId="22F1D6F7">
            <w:pPr>
              <w:spacing w:before="260"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6F3D761C">
            <w:pPr>
              <w:spacing w:before="260" w:line="228" w:lineRule="auto"/>
              <w:ind w:left="581"/>
              <w:rPr>
                <w:rFonts w:ascii="宋体" w:hAnsi="宋体" w:eastAsia="宋体" w:cs="宋体"/>
                <w:sz w:val="20"/>
                <w:szCs w:val="20"/>
              </w:rPr>
            </w:pPr>
            <w:r>
              <w:rPr>
                <w:rFonts w:ascii="宋体" w:hAnsi="宋体" w:eastAsia="宋体" w:cs="宋体"/>
                <w:spacing w:val="7"/>
                <w:sz w:val="20"/>
                <w:szCs w:val="20"/>
              </w:rPr>
              <w:t>板桥响水坝</w:t>
            </w:r>
          </w:p>
        </w:tc>
        <w:tc>
          <w:tcPr>
            <w:tcW w:w="2066" w:type="dxa"/>
            <w:vAlign w:val="top"/>
          </w:tcPr>
          <w:p w14:paraId="5B10831C">
            <w:pPr>
              <w:spacing w:before="261" w:line="228" w:lineRule="auto"/>
              <w:ind w:left="629"/>
              <w:rPr>
                <w:rFonts w:ascii="宋体" w:hAnsi="宋体" w:eastAsia="宋体" w:cs="宋体"/>
                <w:sz w:val="20"/>
                <w:szCs w:val="20"/>
              </w:rPr>
            </w:pPr>
            <w:r>
              <w:rPr>
                <w:rFonts w:ascii="宋体" w:hAnsi="宋体" w:eastAsia="宋体" w:cs="宋体"/>
                <w:spacing w:val="5"/>
                <w:sz w:val="20"/>
                <w:szCs w:val="20"/>
              </w:rPr>
              <w:t>召夸新庄</w:t>
            </w:r>
          </w:p>
        </w:tc>
        <w:tc>
          <w:tcPr>
            <w:tcW w:w="920" w:type="dxa"/>
            <w:vAlign w:val="top"/>
          </w:tcPr>
          <w:p w14:paraId="5A03E1FF">
            <w:pPr>
              <w:spacing w:before="261"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DAD682F">
            <w:pPr>
              <w:spacing w:before="261"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490556E7">
            <w:pPr>
              <w:pStyle w:val="6"/>
              <w:spacing w:before="232" w:line="274" w:lineRule="exact"/>
              <w:ind w:left="442"/>
            </w:pPr>
            <w:r>
              <w:rPr>
                <w:position w:val="2"/>
              </w:rPr>
              <w:t>33</w:t>
            </w:r>
          </w:p>
        </w:tc>
        <w:tc>
          <w:tcPr>
            <w:tcW w:w="1113" w:type="dxa"/>
            <w:vAlign w:val="top"/>
          </w:tcPr>
          <w:p w14:paraId="2FA89C87">
            <w:pPr>
              <w:spacing w:before="260"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Align w:val="top"/>
          </w:tcPr>
          <w:p w14:paraId="32A08B11">
            <w:pPr>
              <w:pStyle w:val="6"/>
              <w:spacing w:before="232" w:line="274" w:lineRule="exact"/>
              <w:ind w:left="292"/>
            </w:pPr>
            <w:r>
              <w:rPr>
                <w:spacing w:val="3"/>
                <w:position w:val="2"/>
              </w:rPr>
              <w:t>60.00</w:t>
            </w:r>
          </w:p>
        </w:tc>
        <w:tc>
          <w:tcPr>
            <w:tcW w:w="3175" w:type="dxa"/>
            <w:tcBorders>
              <w:right w:val="single" w:color="000000" w:sz="10" w:space="0"/>
            </w:tcBorders>
            <w:vAlign w:val="top"/>
          </w:tcPr>
          <w:p w14:paraId="25A80C86">
            <w:pPr>
              <w:spacing w:before="97" w:line="262"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66EEDE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2AB1DCB0">
            <w:pPr>
              <w:pStyle w:val="6"/>
              <w:spacing w:before="231" w:line="275" w:lineRule="exact"/>
              <w:ind w:left="256"/>
            </w:pPr>
            <w:r>
              <w:rPr>
                <w:position w:val="2"/>
              </w:rPr>
              <w:t>3</w:t>
            </w:r>
          </w:p>
        </w:tc>
        <w:tc>
          <w:tcPr>
            <w:tcW w:w="1412" w:type="dxa"/>
            <w:vAlign w:val="top"/>
          </w:tcPr>
          <w:p w14:paraId="572E8D97">
            <w:pPr>
              <w:rPr>
                <w:rFonts w:ascii="Arial"/>
                <w:sz w:val="21"/>
              </w:rPr>
            </w:pPr>
          </w:p>
        </w:tc>
        <w:tc>
          <w:tcPr>
            <w:tcW w:w="3274" w:type="dxa"/>
            <w:vAlign w:val="top"/>
          </w:tcPr>
          <w:p w14:paraId="3B9AFCA3">
            <w:pPr>
              <w:spacing w:before="262" w:line="228" w:lineRule="auto"/>
              <w:ind w:left="693"/>
              <w:rPr>
                <w:rFonts w:ascii="宋体" w:hAnsi="宋体" w:eastAsia="宋体" w:cs="宋体"/>
                <w:sz w:val="20"/>
                <w:szCs w:val="20"/>
              </w:rPr>
            </w:pPr>
            <w:r>
              <w:rPr>
                <w:rFonts w:ascii="宋体" w:hAnsi="宋体" w:eastAsia="宋体" w:cs="宋体"/>
                <w:spacing w:val="8"/>
                <w:sz w:val="20"/>
                <w:szCs w:val="20"/>
              </w:rPr>
              <w:t>宣威至盘州高速公路</w:t>
            </w:r>
          </w:p>
        </w:tc>
        <w:tc>
          <w:tcPr>
            <w:tcW w:w="3125" w:type="dxa"/>
            <w:vAlign w:val="top"/>
          </w:tcPr>
          <w:p w14:paraId="7DA5F9CB">
            <w:pPr>
              <w:spacing w:before="99" w:line="230" w:lineRule="auto"/>
              <w:ind w:left="1354"/>
              <w:rPr>
                <w:rFonts w:ascii="宋体" w:hAnsi="宋体" w:eastAsia="宋体" w:cs="宋体"/>
                <w:sz w:val="20"/>
                <w:szCs w:val="20"/>
              </w:rPr>
            </w:pPr>
            <w:r>
              <w:rPr>
                <w:rFonts w:ascii="宋体" w:hAnsi="宋体" w:eastAsia="宋体" w:cs="宋体"/>
                <w:spacing w:val="4"/>
                <w:sz w:val="20"/>
                <w:szCs w:val="20"/>
              </w:rPr>
              <w:t>全段</w:t>
            </w:r>
          </w:p>
          <w:p w14:paraId="7BEA7361">
            <w:pPr>
              <w:spacing w:before="77" w:line="221" w:lineRule="auto"/>
              <w:ind w:left="471"/>
              <w:rPr>
                <w:rFonts w:ascii="宋体" w:hAnsi="宋体" w:eastAsia="宋体" w:cs="宋体"/>
                <w:sz w:val="20"/>
                <w:szCs w:val="20"/>
              </w:rPr>
            </w:pPr>
            <w:r>
              <w:rPr>
                <w:rFonts w:ascii="宋体" w:hAnsi="宋体" w:eastAsia="宋体" w:cs="宋体"/>
                <w:spacing w:val="2"/>
                <w:sz w:val="20"/>
                <w:szCs w:val="20"/>
              </w:rPr>
              <w:t>（含贵州段</w:t>
            </w:r>
            <w:r>
              <w:rPr>
                <w:rFonts w:ascii="宋体" w:hAnsi="宋体" w:eastAsia="宋体" w:cs="宋体"/>
                <w:spacing w:val="-18"/>
                <w:sz w:val="20"/>
                <w:szCs w:val="20"/>
              </w:rPr>
              <w:t xml:space="preserve"> </w:t>
            </w:r>
            <w:r>
              <w:rPr>
                <w:rFonts w:ascii="宋体" w:hAnsi="宋体" w:eastAsia="宋体" w:cs="宋体"/>
                <w:spacing w:val="2"/>
                <w:sz w:val="20"/>
                <w:szCs w:val="20"/>
              </w:rPr>
              <w:t>16.9</w:t>
            </w:r>
            <w:r>
              <w:rPr>
                <w:rFonts w:ascii="宋体" w:hAnsi="宋体" w:eastAsia="宋体" w:cs="宋体"/>
                <w:spacing w:val="-34"/>
                <w:sz w:val="20"/>
                <w:szCs w:val="20"/>
              </w:rPr>
              <w:t xml:space="preserve"> </w:t>
            </w:r>
            <w:r>
              <w:rPr>
                <w:rFonts w:ascii="宋体" w:hAnsi="宋体" w:eastAsia="宋体" w:cs="宋体"/>
                <w:spacing w:val="2"/>
                <w:sz w:val="20"/>
                <w:szCs w:val="20"/>
              </w:rPr>
              <w:t>公里）</w:t>
            </w:r>
          </w:p>
        </w:tc>
        <w:tc>
          <w:tcPr>
            <w:tcW w:w="2204" w:type="dxa"/>
            <w:vAlign w:val="top"/>
          </w:tcPr>
          <w:p w14:paraId="554E7359">
            <w:pPr>
              <w:spacing w:before="262" w:line="228" w:lineRule="auto"/>
              <w:ind w:left="270"/>
              <w:rPr>
                <w:rFonts w:ascii="宋体" w:hAnsi="宋体" w:eastAsia="宋体" w:cs="宋体"/>
                <w:sz w:val="20"/>
                <w:szCs w:val="20"/>
              </w:rPr>
            </w:pPr>
            <w:r>
              <w:rPr>
                <w:rFonts w:ascii="宋体" w:hAnsi="宋体" w:eastAsia="宋体" w:cs="宋体"/>
                <w:spacing w:val="7"/>
                <w:sz w:val="20"/>
                <w:szCs w:val="20"/>
              </w:rPr>
              <w:t>宣威板桥(黑泥塘)</w:t>
            </w:r>
          </w:p>
        </w:tc>
        <w:tc>
          <w:tcPr>
            <w:tcW w:w="2066" w:type="dxa"/>
            <w:vAlign w:val="top"/>
          </w:tcPr>
          <w:p w14:paraId="447886D9">
            <w:pPr>
              <w:spacing w:before="262" w:line="228" w:lineRule="auto"/>
              <w:ind w:left="98"/>
              <w:rPr>
                <w:rFonts w:ascii="宋体" w:hAnsi="宋体" w:eastAsia="宋体" w:cs="宋体"/>
                <w:sz w:val="20"/>
                <w:szCs w:val="20"/>
              </w:rPr>
            </w:pPr>
            <w:r>
              <w:rPr>
                <w:rFonts w:ascii="宋体" w:hAnsi="宋体" w:eastAsia="宋体" w:cs="宋体"/>
                <w:spacing w:val="7"/>
                <w:sz w:val="20"/>
                <w:szCs w:val="20"/>
              </w:rPr>
              <w:t>贵州盘州(柏果)边界</w:t>
            </w:r>
          </w:p>
        </w:tc>
        <w:tc>
          <w:tcPr>
            <w:tcW w:w="920" w:type="dxa"/>
            <w:vAlign w:val="top"/>
          </w:tcPr>
          <w:p w14:paraId="57D901AA">
            <w:pPr>
              <w:spacing w:before="262"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5CAA0CD0">
            <w:pPr>
              <w:spacing w:before="263"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2EBEFF2D">
            <w:pPr>
              <w:pStyle w:val="6"/>
              <w:spacing w:before="231" w:line="275" w:lineRule="exact"/>
              <w:ind w:left="443"/>
            </w:pPr>
            <w:r>
              <w:rPr>
                <w:position w:val="2"/>
              </w:rPr>
              <w:t>63</w:t>
            </w:r>
          </w:p>
        </w:tc>
        <w:tc>
          <w:tcPr>
            <w:tcW w:w="1113" w:type="dxa"/>
            <w:vAlign w:val="top"/>
          </w:tcPr>
          <w:p w14:paraId="72A6ED5C">
            <w:pPr>
              <w:spacing w:before="262"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Align w:val="top"/>
          </w:tcPr>
          <w:p w14:paraId="1A53B71B">
            <w:pPr>
              <w:pStyle w:val="6"/>
              <w:spacing w:before="231" w:line="275" w:lineRule="exact"/>
              <w:ind w:left="254"/>
            </w:pPr>
            <w:r>
              <w:rPr>
                <w:position w:val="2"/>
              </w:rPr>
              <w:t>114.00</w:t>
            </w:r>
          </w:p>
        </w:tc>
        <w:tc>
          <w:tcPr>
            <w:tcW w:w="3175" w:type="dxa"/>
            <w:tcBorders>
              <w:right w:val="single" w:color="000000" w:sz="10" w:space="0"/>
            </w:tcBorders>
            <w:vAlign w:val="top"/>
          </w:tcPr>
          <w:p w14:paraId="4BF8D830">
            <w:pPr>
              <w:spacing w:before="99" w:line="261"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发展规划》增补项目</w:t>
            </w:r>
          </w:p>
        </w:tc>
      </w:tr>
      <w:tr w14:paraId="7F25E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39" w:type="dxa"/>
            <w:tcBorders>
              <w:left w:val="single" w:color="000000" w:sz="10" w:space="0"/>
              <w:bottom w:val="single" w:color="000000" w:sz="10" w:space="0"/>
            </w:tcBorders>
            <w:vAlign w:val="top"/>
          </w:tcPr>
          <w:p w14:paraId="30E258EC">
            <w:pPr>
              <w:pStyle w:val="6"/>
              <w:spacing w:before="89" w:line="274" w:lineRule="exact"/>
              <w:ind w:left="251"/>
            </w:pPr>
            <w:r>
              <w:rPr>
                <w:spacing w:val="1"/>
                <w:position w:val="1"/>
              </w:rPr>
              <w:t>4</w:t>
            </w:r>
          </w:p>
        </w:tc>
        <w:tc>
          <w:tcPr>
            <w:tcW w:w="1412" w:type="dxa"/>
            <w:tcBorders>
              <w:bottom w:val="single" w:color="000000" w:sz="10" w:space="0"/>
            </w:tcBorders>
            <w:vAlign w:val="top"/>
          </w:tcPr>
          <w:p w14:paraId="375880EE">
            <w:pPr>
              <w:rPr>
                <w:rFonts w:ascii="Arial"/>
                <w:sz w:val="21"/>
              </w:rPr>
            </w:pPr>
          </w:p>
        </w:tc>
        <w:tc>
          <w:tcPr>
            <w:tcW w:w="3274" w:type="dxa"/>
            <w:tcBorders>
              <w:bottom w:val="single" w:color="000000" w:sz="10" w:space="0"/>
            </w:tcBorders>
            <w:vAlign w:val="top"/>
          </w:tcPr>
          <w:p w14:paraId="34BA2722">
            <w:pPr>
              <w:spacing w:before="120" w:line="228" w:lineRule="auto"/>
              <w:ind w:left="693"/>
              <w:rPr>
                <w:rFonts w:ascii="宋体" w:hAnsi="宋体" w:eastAsia="宋体" w:cs="宋体"/>
                <w:sz w:val="20"/>
                <w:szCs w:val="20"/>
              </w:rPr>
            </w:pPr>
            <w:r>
              <w:rPr>
                <w:rFonts w:ascii="宋体" w:hAnsi="宋体" w:eastAsia="宋体" w:cs="宋体"/>
                <w:spacing w:val="8"/>
                <w:sz w:val="20"/>
                <w:szCs w:val="20"/>
              </w:rPr>
              <w:t>兴仁至麒麟高速公路</w:t>
            </w:r>
          </w:p>
        </w:tc>
        <w:tc>
          <w:tcPr>
            <w:tcW w:w="3125" w:type="dxa"/>
            <w:tcBorders>
              <w:bottom w:val="single" w:color="000000" w:sz="10" w:space="0"/>
            </w:tcBorders>
            <w:vAlign w:val="top"/>
          </w:tcPr>
          <w:p w14:paraId="439B6433">
            <w:pPr>
              <w:spacing w:before="119"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tcBorders>
              <w:bottom w:val="single" w:color="000000" w:sz="10" w:space="0"/>
            </w:tcBorders>
            <w:vAlign w:val="top"/>
          </w:tcPr>
          <w:p w14:paraId="379D4E65">
            <w:pPr>
              <w:spacing w:before="119" w:line="228" w:lineRule="auto"/>
              <w:ind w:left="63"/>
              <w:rPr>
                <w:rFonts w:ascii="宋体" w:hAnsi="宋体" w:eastAsia="宋体" w:cs="宋体"/>
                <w:sz w:val="20"/>
                <w:szCs w:val="20"/>
              </w:rPr>
            </w:pPr>
            <w:r>
              <w:rPr>
                <w:rFonts w:ascii="宋体" w:hAnsi="宋体" w:eastAsia="宋体" w:cs="宋体"/>
                <w:spacing w:val="7"/>
                <w:sz w:val="20"/>
                <w:szCs w:val="20"/>
              </w:rPr>
              <w:t>富源富村团山(滇黔界)</w:t>
            </w:r>
          </w:p>
        </w:tc>
        <w:tc>
          <w:tcPr>
            <w:tcW w:w="2066" w:type="dxa"/>
            <w:tcBorders>
              <w:bottom w:val="single" w:color="000000" w:sz="10" w:space="0"/>
            </w:tcBorders>
            <w:vAlign w:val="top"/>
          </w:tcPr>
          <w:p w14:paraId="1C36BA03">
            <w:pPr>
              <w:spacing w:before="120" w:line="228" w:lineRule="auto"/>
              <w:ind w:left="514"/>
              <w:rPr>
                <w:rFonts w:ascii="宋体" w:hAnsi="宋体" w:eastAsia="宋体" w:cs="宋体"/>
                <w:sz w:val="20"/>
                <w:szCs w:val="20"/>
              </w:rPr>
            </w:pPr>
            <w:r>
              <w:rPr>
                <w:rFonts w:ascii="宋体" w:hAnsi="宋体" w:eastAsia="宋体" w:cs="宋体"/>
                <w:spacing w:val="8"/>
                <w:sz w:val="20"/>
                <w:szCs w:val="20"/>
              </w:rPr>
              <w:t>麒麟吴家营</w:t>
            </w:r>
          </w:p>
        </w:tc>
        <w:tc>
          <w:tcPr>
            <w:tcW w:w="920" w:type="dxa"/>
            <w:tcBorders>
              <w:bottom w:val="single" w:color="000000" w:sz="10" w:space="0"/>
            </w:tcBorders>
            <w:vAlign w:val="top"/>
          </w:tcPr>
          <w:p w14:paraId="26E0CFB7">
            <w:pPr>
              <w:spacing w:before="120"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tcBorders>
              <w:bottom w:val="single" w:color="000000" w:sz="10" w:space="0"/>
            </w:tcBorders>
            <w:vAlign w:val="top"/>
          </w:tcPr>
          <w:p w14:paraId="09B7CF6F">
            <w:pPr>
              <w:spacing w:before="120"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tcBorders>
              <w:bottom w:val="single" w:color="000000" w:sz="10" w:space="0"/>
            </w:tcBorders>
            <w:vAlign w:val="top"/>
          </w:tcPr>
          <w:p w14:paraId="2CBC58F3">
            <w:pPr>
              <w:pStyle w:val="6"/>
              <w:spacing w:before="89" w:line="274" w:lineRule="exact"/>
              <w:ind w:left="315"/>
            </w:pPr>
            <w:r>
              <w:rPr>
                <w:spacing w:val="2"/>
                <w:position w:val="2"/>
              </w:rPr>
              <w:t>86.26</w:t>
            </w:r>
          </w:p>
        </w:tc>
        <w:tc>
          <w:tcPr>
            <w:tcW w:w="1113" w:type="dxa"/>
            <w:tcBorders>
              <w:bottom w:val="single" w:color="000000" w:sz="10" w:space="0"/>
            </w:tcBorders>
            <w:vAlign w:val="top"/>
          </w:tcPr>
          <w:p w14:paraId="327DED80">
            <w:pPr>
              <w:spacing w:before="119"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tcBorders>
              <w:bottom w:val="single" w:color="000000" w:sz="10" w:space="0"/>
            </w:tcBorders>
            <w:vAlign w:val="top"/>
          </w:tcPr>
          <w:p w14:paraId="6B004F37">
            <w:pPr>
              <w:pStyle w:val="6"/>
              <w:spacing w:before="89" w:line="274" w:lineRule="exact"/>
              <w:ind w:left="254"/>
            </w:pPr>
            <w:r>
              <w:rPr>
                <w:position w:val="2"/>
              </w:rPr>
              <w:t>116.00</w:t>
            </w:r>
          </w:p>
        </w:tc>
        <w:tc>
          <w:tcPr>
            <w:tcW w:w="3175" w:type="dxa"/>
            <w:tcBorders>
              <w:bottom w:val="single" w:color="000000" w:sz="10" w:space="0"/>
              <w:right w:val="single" w:color="000000" w:sz="10" w:space="0"/>
            </w:tcBorders>
            <w:vAlign w:val="top"/>
          </w:tcPr>
          <w:p w14:paraId="7ADA6916">
            <w:pPr>
              <w:rPr>
                <w:rFonts w:ascii="Arial"/>
                <w:sz w:val="21"/>
              </w:rPr>
            </w:pPr>
          </w:p>
        </w:tc>
      </w:tr>
    </w:tbl>
    <w:p w14:paraId="50BD53C6">
      <w:pPr>
        <w:pStyle w:val="2"/>
      </w:pPr>
    </w:p>
    <w:p w14:paraId="12D75CE2">
      <w:pPr>
        <w:sectPr>
          <w:headerReference r:id="rId147" w:type="default"/>
          <w:footerReference r:id="rId148" w:type="default"/>
          <w:pgSz w:w="23812" w:h="16839"/>
          <w:pgMar w:top="1222" w:right="1407" w:bottom="1007" w:left="1387" w:header="885" w:footer="771" w:gutter="0"/>
          <w:cols w:space="720" w:num="1"/>
        </w:sectPr>
      </w:pPr>
    </w:p>
    <w:p w14:paraId="213A3503">
      <w:pPr>
        <w:spacing w:before="122"/>
      </w:pPr>
    </w:p>
    <w:tbl>
      <w:tblPr>
        <w:tblStyle w:val="5"/>
        <w:tblW w:w="209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9"/>
        <w:gridCol w:w="641"/>
        <w:gridCol w:w="771"/>
        <w:gridCol w:w="3274"/>
        <w:gridCol w:w="3125"/>
        <w:gridCol w:w="2204"/>
        <w:gridCol w:w="2066"/>
        <w:gridCol w:w="920"/>
        <w:gridCol w:w="963"/>
        <w:gridCol w:w="1071"/>
        <w:gridCol w:w="1113"/>
        <w:gridCol w:w="1028"/>
        <w:gridCol w:w="3175"/>
      </w:tblGrid>
      <w:tr w14:paraId="6C2E65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639" w:type="dxa"/>
            <w:tcBorders>
              <w:top w:val="single" w:color="000000" w:sz="10" w:space="0"/>
              <w:left w:val="single" w:color="000000" w:sz="10" w:space="0"/>
            </w:tcBorders>
            <w:vAlign w:val="top"/>
          </w:tcPr>
          <w:p w14:paraId="32C6F952">
            <w:pPr>
              <w:pStyle w:val="6"/>
              <w:spacing w:before="139" w:line="192" w:lineRule="auto"/>
              <w:ind w:left="258"/>
            </w:pPr>
            <w:r>
              <w:t>5</w:t>
            </w:r>
          </w:p>
        </w:tc>
        <w:tc>
          <w:tcPr>
            <w:tcW w:w="1412" w:type="dxa"/>
            <w:gridSpan w:val="2"/>
            <w:tcBorders>
              <w:top w:val="single" w:color="000000" w:sz="10" w:space="0"/>
            </w:tcBorders>
            <w:vAlign w:val="top"/>
          </w:tcPr>
          <w:p w14:paraId="30729B91">
            <w:pPr>
              <w:rPr>
                <w:rFonts w:ascii="Arial"/>
                <w:sz w:val="21"/>
              </w:rPr>
            </w:pPr>
          </w:p>
        </w:tc>
        <w:tc>
          <w:tcPr>
            <w:tcW w:w="3274" w:type="dxa"/>
            <w:tcBorders>
              <w:top w:val="single" w:color="000000" w:sz="10" w:space="0"/>
            </w:tcBorders>
            <w:vAlign w:val="top"/>
          </w:tcPr>
          <w:p w14:paraId="294D1F51">
            <w:pPr>
              <w:pStyle w:val="6"/>
              <w:spacing w:before="69" w:line="275" w:lineRule="exact"/>
              <w:ind w:left="105"/>
              <w:rPr>
                <w:rFonts w:ascii="宋体" w:hAnsi="宋体" w:eastAsia="宋体" w:cs="宋体"/>
              </w:rPr>
            </w:pPr>
            <w:r>
              <w:rPr>
                <w:rFonts w:ascii="宋体" w:hAnsi="宋体" w:eastAsia="宋体" w:cs="宋体"/>
                <w:spacing w:val="7"/>
                <w:position w:val="2"/>
              </w:rPr>
              <w:t>昭通至曲靖</w:t>
            </w:r>
            <w:r>
              <w:rPr>
                <w:spacing w:val="7"/>
                <w:position w:val="2"/>
              </w:rPr>
              <w:t>(</w:t>
            </w:r>
            <w:r>
              <w:rPr>
                <w:rFonts w:ascii="宋体" w:hAnsi="宋体" w:eastAsia="宋体" w:cs="宋体"/>
                <w:spacing w:val="7"/>
                <w:position w:val="2"/>
              </w:rPr>
              <w:t>会泽</w:t>
            </w:r>
            <w:r>
              <w:rPr>
                <w:spacing w:val="7"/>
                <w:position w:val="2"/>
              </w:rPr>
              <w:t>)</w:t>
            </w:r>
            <w:r>
              <w:rPr>
                <w:rFonts w:ascii="宋体" w:hAnsi="宋体" w:eastAsia="宋体" w:cs="宋体"/>
                <w:spacing w:val="7"/>
                <w:position w:val="2"/>
              </w:rPr>
              <w:t>至昆明高速公路</w:t>
            </w:r>
          </w:p>
        </w:tc>
        <w:tc>
          <w:tcPr>
            <w:tcW w:w="3125" w:type="dxa"/>
            <w:tcBorders>
              <w:top w:val="single" w:color="000000" w:sz="10" w:space="0"/>
            </w:tcBorders>
            <w:vAlign w:val="top"/>
          </w:tcPr>
          <w:p w14:paraId="5E8BEF53">
            <w:pPr>
              <w:spacing w:before="97"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tcBorders>
              <w:top w:val="single" w:color="000000" w:sz="10" w:space="0"/>
            </w:tcBorders>
            <w:vAlign w:val="top"/>
          </w:tcPr>
          <w:p w14:paraId="5CA5A430">
            <w:pPr>
              <w:spacing w:before="98" w:line="228" w:lineRule="auto"/>
              <w:ind w:left="685"/>
              <w:rPr>
                <w:rFonts w:ascii="宋体" w:hAnsi="宋体" w:eastAsia="宋体" w:cs="宋体"/>
                <w:sz w:val="20"/>
                <w:szCs w:val="20"/>
              </w:rPr>
            </w:pPr>
            <w:r>
              <w:rPr>
                <w:rFonts w:ascii="宋体" w:hAnsi="宋体" w:eastAsia="宋体" w:cs="宋体"/>
                <w:spacing w:val="7"/>
                <w:sz w:val="20"/>
                <w:szCs w:val="20"/>
              </w:rPr>
              <w:t>迤车坪子</w:t>
            </w:r>
          </w:p>
        </w:tc>
        <w:tc>
          <w:tcPr>
            <w:tcW w:w="2066" w:type="dxa"/>
            <w:tcBorders>
              <w:top w:val="single" w:color="000000" w:sz="10" w:space="0"/>
            </w:tcBorders>
            <w:vAlign w:val="top"/>
          </w:tcPr>
          <w:p w14:paraId="5D9F9FCE">
            <w:pPr>
              <w:spacing w:before="98" w:line="229" w:lineRule="auto"/>
              <w:ind w:left="540"/>
              <w:rPr>
                <w:rFonts w:ascii="宋体" w:hAnsi="宋体" w:eastAsia="宋体" w:cs="宋体"/>
                <w:sz w:val="20"/>
                <w:szCs w:val="20"/>
              </w:rPr>
            </w:pPr>
            <w:r>
              <w:rPr>
                <w:rFonts w:ascii="宋体" w:hAnsi="宋体" w:eastAsia="宋体" w:cs="宋体"/>
                <w:spacing w:val="3"/>
                <w:sz w:val="20"/>
                <w:szCs w:val="20"/>
              </w:rPr>
              <w:t>田坝大黑山</w:t>
            </w:r>
          </w:p>
        </w:tc>
        <w:tc>
          <w:tcPr>
            <w:tcW w:w="920" w:type="dxa"/>
            <w:tcBorders>
              <w:top w:val="single" w:color="000000" w:sz="10" w:space="0"/>
            </w:tcBorders>
            <w:vAlign w:val="top"/>
          </w:tcPr>
          <w:p w14:paraId="5213A735">
            <w:pPr>
              <w:spacing w:before="98"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tcBorders>
              <w:top w:val="single" w:color="000000" w:sz="10" w:space="0"/>
            </w:tcBorders>
            <w:vAlign w:val="top"/>
          </w:tcPr>
          <w:p w14:paraId="0C97E1A3">
            <w:pPr>
              <w:spacing w:before="98"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tcBorders>
              <w:top w:val="single" w:color="000000" w:sz="10" w:space="0"/>
            </w:tcBorders>
            <w:vAlign w:val="top"/>
          </w:tcPr>
          <w:p w14:paraId="3190E57D">
            <w:pPr>
              <w:pStyle w:val="6"/>
              <w:spacing w:before="69" w:line="275" w:lineRule="exact"/>
              <w:ind w:left="406"/>
            </w:pPr>
            <w:r>
              <w:rPr>
                <w:spacing w:val="-3"/>
                <w:position w:val="2"/>
              </w:rPr>
              <w:t>139</w:t>
            </w:r>
          </w:p>
        </w:tc>
        <w:tc>
          <w:tcPr>
            <w:tcW w:w="1113" w:type="dxa"/>
            <w:tcBorders>
              <w:top w:val="single" w:color="000000" w:sz="10" w:space="0"/>
            </w:tcBorders>
            <w:vAlign w:val="top"/>
          </w:tcPr>
          <w:p w14:paraId="4F846CD5">
            <w:pPr>
              <w:spacing w:before="97"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tcBorders>
              <w:top w:val="single" w:color="000000" w:sz="10" w:space="0"/>
            </w:tcBorders>
            <w:vAlign w:val="top"/>
          </w:tcPr>
          <w:p w14:paraId="29C0F540">
            <w:pPr>
              <w:pStyle w:val="6"/>
              <w:spacing w:before="69" w:line="275" w:lineRule="exact"/>
              <w:ind w:left="238"/>
            </w:pPr>
            <w:r>
              <w:rPr>
                <w:spacing w:val="3"/>
                <w:position w:val="2"/>
              </w:rPr>
              <w:t>309.00</w:t>
            </w:r>
          </w:p>
        </w:tc>
        <w:tc>
          <w:tcPr>
            <w:tcW w:w="3175" w:type="dxa"/>
            <w:tcBorders>
              <w:top w:val="single" w:color="000000" w:sz="10" w:space="0"/>
              <w:right w:val="single" w:color="000000" w:sz="10" w:space="0"/>
            </w:tcBorders>
            <w:vAlign w:val="top"/>
          </w:tcPr>
          <w:p w14:paraId="3AF25DC5">
            <w:pPr>
              <w:rPr>
                <w:rFonts w:ascii="Arial"/>
                <w:sz w:val="21"/>
              </w:rPr>
            </w:pPr>
          </w:p>
        </w:tc>
      </w:tr>
      <w:tr w14:paraId="5B204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79F53756">
            <w:pPr>
              <w:pStyle w:val="6"/>
              <w:spacing w:before="65" w:line="274" w:lineRule="exact"/>
              <w:ind w:left="257"/>
            </w:pPr>
            <w:r>
              <w:rPr>
                <w:position w:val="2"/>
              </w:rPr>
              <w:t>6</w:t>
            </w:r>
          </w:p>
        </w:tc>
        <w:tc>
          <w:tcPr>
            <w:tcW w:w="1412" w:type="dxa"/>
            <w:gridSpan w:val="2"/>
            <w:vAlign w:val="top"/>
          </w:tcPr>
          <w:p w14:paraId="7F16DE9B">
            <w:pPr>
              <w:rPr>
                <w:rFonts w:ascii="Arial"/>
                <w:sz w:val="21"/>
              </w:rPr>
            </w:pPr>
          </w:p>
        </w:tc>
        <w:tc>
          <w:tcPr>
            <w:tcW w:w="3274" w:type="dxa"/>
            <w:vAlign w:val="top"/>
          </w:tcPr>
          <w:p w14:paraId="16A030AC">
            <w:pPr>
              <w:spacing w:before="95" w:line="228" w:lineRule="auto"/>
              <w:ind w:left="697"/>
              <w:rPr>
                <w:rFonts w:ascii="宋体" w:hAnsi="宋体" w:eastAsia="宋体" w:cs="宋体"/>
                <w:sz w:val="20"/>
                <w:szCs w:val="20"/>
              </w:rPr>
            </w:pPr>
            <w:r>
              <w:rPr>
                <w:rFonts w:ascii="宋体" w:hAnsi="宋体" w:eastAsia="宋体" w:cs="宋体"/>
                <w:spacing w:val="8"/>
                <w:sz w:val="20"/>
                <w:szCs w:val="20"/>
              </w:rPr>
              <w:t>富村至长底高速公路</w:t>
            </w:r>
          </w:p>
        </w:tc>
        <w:tc>
          <w:tcPr>
            <w:tcW w:w="3125" w:type="dxa"/>
            <w:vAlign w:val="top"/>
          </w:tcPr>
          <w:p w14:paraId="00970BA3">
            <w:pPr>
              <w:spacing w:before="96"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5A1AF9B6">
            <w:pPr>
              <w:spacing w:before="95" w:line="228" w:lineRule="auto"/>
              <w:ind w:left="380"/>
              <w:rPr>
                <w:rFonts w:ascii="宋体" w:hAnsi="宋体" w:eastAsia="宋体" w:cs="宋体"/>
                <w:sz w:val="20"/>
                <w:szCs w:val="20"/>
              </w:rPr>
            </w:pPr>
            <w:r>
              <w:rPr>
                <w:rFonts w:ascii="宋体" w:hAnsi="宋体" w:eastAsia="宋体" w:cs="宋体"/>
                <w:spacing w:val="7"/>
                <w:sz w:val="20"/>
                <w:szCs w:val="20"/>
              </w:rPr>
              <w:t>富源富村大山门</w:t>
            </w:r>
          </w:p>
        </w:tc>
        <w:tc>
          <w:tcPr>
            <w:tcW w:w="2066" w:type="dxa"/>
            <w:vAlign w:val="top"/>
          </w:tcPr>
          <w:p w14:paraId="483551A0">
            <w:pPr>
              <w:spacing w:before="96" w:line="230" w:lineRule="auto"/>
              <w:ind w:left="622"/>
              <w:rPr>
                <w:rFonts w:ascii="宋体" w:hAnsi="宋体" w:eastAsia="宋体" w:cs="宋体"/>
                <w:sz w:val="20"/>
                <w:szCs w:val="20"/>
              </w:rPr>
            </w:pPr>
            <w:r>
              <w:rPr>
                <w:rFonts w:ascii="宋体" w:hAnsi="宋体" w:eastAsia="宋体" w:cs="宋体"/>
                <w:spacing w:val="6"/>
                <w:sz w:val="20"/>
                <w:szCs w:val="20"/>
              </w:rPr>
              <w:t>罗平长底</w:t>
            </w:r>
          </w:p>
        </w:tc>
        <w:tc>
          <w:tcPr>
            <w:tcW w:w="920" w:type="dxa"/>
            <w:vAlign w:val="top"/>
          </w:tcPr>
          <w:p w14:paraId="16A7347F">
            <w:pPr>
              <w:spacing w:before="96"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783EBA4F">
            <w:pPr>
              <w:spacing w:before="96" w:line="228" w:lineRule="auto"/>
              <w:ind w:left="287"/>
              <w:rPr>
                <w:rFonts w:ascii="宋体" w:hAnsi="宋体" w:eastAsia="宋体" w:cs="宋体"/>
                <w:sz w:val="20"/>
                <w:szCs w:val="20"/>
              </w:rPr>
            </w:pPr>
            <w:r>
              <w:rPr>
                <w:rFonts w:ascii="宋体" w:hAnsi="宋体" w:eastAsia="宋体" w:cs="宋体"/>
                <w:spacing w:val="2"/>
                <w:sz w:val="20"/>
                <w:szCs w:val="20"/>
              </w:rPr>
              <w:t>高速</w:t>
            </w:r>
          </w:p>
        </w:tc>
        <w:tc>
          <w:tcPr>
            <w:tcW w:w="1071" w:type="dxa"/>
            <w:vAlign w:val="top"/>
          </w:tcPr>
          <w:p w14:paraId="3DA305D6">
            <w:pPr>
              <w:pStyle w:val="6"/>
              <w:spacing w:before="65" w:line="274" w:lineRule="exact"/>
              <w:ind w:left="443"/>
            </w:pPr>
            <w:r>
              <w:rPr>
                <w:position w:val="2"/>
              </w:rPr>
              <w:t>64</w:t>
            </w:r>
          </w:p>
        </w:tc>
        <w:tc>
          <w:tcPr>
            <w:tcW w:w="1113" w:type="dxa"/>
            <w:vAlign w:val="top"/>
          </w:tcPr>
          <w:p w14:paraId="7E2C256C">
            <w:pPr>
              <w:spacing w:before="95"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Align w:val="top"/>
          </w:tcPr>
          <w:p w14:paraId="3CB6E9F2">
            <w:pPr>
              <w:pStyle w:val="6"/>
              <w:spacing w:before="65" w:line="274" w:lineRule="exact"/>
              <w:ind w:left="254"/>
            </w:pPr>
            <w:r>
              <w:rPr>
                <w:position w:val="2"/>
              </w:rPr>
              <w:t>115.00</w:t>
            </w:r>
          </w:p>
        </w:tc>
        <w:tc>
          <w:tcPr>
            <w:tcW w:w="3175" w:type="dxa"/>
            <w:tcBorders>
              <w:right w:val="single" w:color="000000" w:sz="10" w:space="0"/>
            </w:tcBorders>
            <w:vAlign w:val="top"/>
          </w:tcPr>
          <w:p w14:paraId="78BC01E2">
            <w:pPr>
              <w:rPr>
                <w:rFonts w:ascii="Arial"/>
                <w:sz w:val="21"/>
              </w:rPr>
            </w:pPr>
          </w:p>
        </w:tc>
      </w:tr>
      <w:tr w14:paraId="1F362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109B7C3">
            <w:pPr>
              <w:rPr>
                <w:rFonts w:ascii="Arial"/>
                <w:sz w:val="21"/>
              </w:rPr>
            </w:pPr>
          </w:p>
        </w:tc>
        <w:tc>
          <w:tcPr>
            <w:tcW w:w="7811" w:type="dxa"/>
            <w:gridSpan w:val="4"/>
            <w:vAlign w:val="top"/>
          </w:tcPr>
          <w:p w14:paraId="791FC031">
            <w:pPr>
              <w:pStyle w:val="6"/>
              <w:spacing w:before="58" w:line="320" w:lineRule="exact"/>
              <w:ind w:left="5"/>
              <w:rPr>
                <w:rFonts w:ascii="华文楷体" w:hAnsi="华文楷体" w:eastAsia="华文楷体" w:cs="华文楷体"/>
              </w:rPr>
            </w:pPr>
            <w:r>
              <w:rPr>
                <w:b/>
                <w:bCs/>
                <w:spacing w:val="3"/>
                <w:position w:val="3"/>
              </w:rPr>
              <w:t>2</w:t>
            </w:r>
            <w:r>
              <w:rPr>
                <w:b/>
                <w:bCs/>
                <w:spacing w:val="-21"/>
                <w:position w:val="3"/>
              </w:rPr>
              <w:t xml:space="preserve"> </w:t>
            </w:r>
            <w:r>
              <w:rPr>
                <w:rFonts w:ascii="宋体" w:hAnsi="宋体" w:eastAsia="宋体" w:cs="宋体"/>
                <w:b/>
                <w:bCs/>
                <w:spacing w:val="3"/>
                <w:position w:val="3"/>
              </w:rPr>
              <w:t>、普通国省道</w:t>
            </w:r>
            <w:r>
              <w:rPr>
                <w:rFonts w:ascii="华文楷体" w:hAnsi="华文楷体" w:eastAsia="华文楷体" w:cs="华文楷体"/>
                <w:spacing w:val="3"/>
                <w:position w:val="3"/>
              </w:rPr>
              <w:t>（注：</w:t>
            </w:r>
            <w:r>
              <w:rPr>
                <w:rFonts w:ascii="华文楷体" w:hAnsi="华文楷体" w:eastAsia="华文楷体" w:cs="华文楷体"/>
                <w:spacing w:val="-19"/>
                <w:position w:val="3"/>
              </w:rPr>
              <w:t xml:space="preserve"> </w:t>
            </w:r>
            <w:r>
              <w:rPr>
                <w:rFonts w:ascii="华文楷体" w:hAnsi="华文楷体" w:eastAsia="华文楷体" w:cs="华文楷体"/>
                <w:spacing w:val="3"/>
                <w:position w:val="3"/>
              </w:rPr>
              <w:t>统计不含储备项 目</w:t>
            </w:r>
            <w:r>
              <w:rPr>
                <w:rFonts w:ascii="华文楷体" w:hAnsi="华文楷体" w:eastAsia="华文楷体" w:cs="华文楷体"/>
                <w:spacing w:val="-20"/>
                <w:position w:val="3"/>
              </w:rPr>
              <w:t xml:space="preserve"> </w:t>
            </w:r>
            <w:r>
              <w:rPr>
                <w:rFonts w:ascii="华文楷体" w:hAnsi="华文楷体" w:eastAsia="华文楷体" w:cs="华文楷体"/>
                <w:spacing w:val="3"/>
                <w:position w:val="3"/>
              </w:rPr>
              <w:t>的里程及投资）</w:t>
            </w:r>
          </w:p>
        </w:tc>
        <w:tc>
          <w:tcPr>
            <w:tcW w:w="2204" w:type="dxa"/>
            <w:vAlign w:val="top"/>
          </w:tcPr>
          <w:p w14:paraId="17617067">
            <w:pPr>
              <w:rPr>
                <w:rFonts w:ascii="Arial"/>
                <w:sz w:val="21"/>
              </w:rPr>
            </w:pPr>
          </w:p>
        </w:tc>
        <w:tc>
          <w:tcPr>
            <w:tcW w:w="2066" w:type="dxa"/>
            <w:vAlign w:val="top"/>
          </w:tcPr>
          <w:p w14:paraId="7EDD28A5">
            <w:pPr>
              <w:rPr>
                <w:rFonts w:ascii="Arial"/>
                <w:sz w:val="21"/>
              </w:rPr>
            </w:pPr>
          </w:p>
        </w:tc>
        <w:tc>
          <w:tcPr>
            <w:tcW w:w="920" w:type="dxa"/>
            <w:vAlign w:val="top"/>
          </w:tcPr>
          <w:p w14:paraId="1D90A8B5">
            <w:pPr>
              <w:rPr>
                <w:rFonts w:ascii="Arial"/>
                <w:sz w:val="21"/>
              </w:rPr>
            </w:pPr>
          </w:p>
        </w:tc>
        <w:tc>
          <w:tcPr>
            <w:tcW w:w="963" w:type="dxa"/>
            <w:vAlign w:val="top"/>
          </w:tcPr>
          <w:p w14:paraId="28010833">
            <w:pPr>
              <w:rPr>
                <w:rFonts w:ascii="Arial"/>
                <w:sz w:val="21"/>
              </w:rPr>
            </w:pPr>
          </w:p>
        </w:tc>
        <w:tc>
          <w:tcPr>
            <w:tcW w:w="1071" w:type="dxa"/>
            <w:vAlign w:val="top"/>
          </w:tcPr>
          <w:p w14:paraId="5DFAADFE">
            <w:pPr>
              <w:pStyle w:val="6"/>
              <w:spacing w:before="132" w:line="195" w:lineRule="auto"/>
              <w:ind w:left="256"/>
            </w:pPr>
            <w:r>
              <w:rPr>
                <w:b/>
                <w:bCs/>
                <w:spacing w:val="3"/>
              </w:rPr>
              <w:t>84.019</w:t>
            </w:r>
          </w:p>
        </w:tc>
        <w:tc>
          <w:tcPr>
            <w:tcW w:w="1113" w:type="dxa"/>
            <w:vAlign w:val="top"/>
          </w:tcPr>
          <w:p w14:paraId="5C3670F3">
            <w:pPr>
              <w:rPr>
                <w:rFonts w:ascii="Arial"/>
                <w:sz w:val="21"/>
              </w:rPr>
            </w:pPr>
          </w:p>
        </w:tc>
        <w:tc>
          <w:tcPr>
            <w:tcW w:w="1028" w:type="dxa"/>
            <w:vAlign w:val="top"/>
          </w:tcPr>
          <w:p w14:paraId="0757AA2B">
            <w:pPr>
              <w:pStyle w:val="6"/>
              <w:spacing w:before="132" w:line="195" w:lineRule="auto"/>
              <w:ind w:left="290"/>
            </w:pPr>
            <w:r>
              <w:rPr>
                <w:b/>
                <w:bCs/>
                <w:spacing w:val="3"/>
              </w:rPr>
              <w:t>53.35</w:t>
            </w:r>
          </w:p>
        </w:tc>
        <w:tc>
          <w:tcPr>
            <w:tcW w:w="3175" w:type="dxa"/>
            <w:tcBorders>
              <w:right w:val="single" w:color="000000" w:sz="10" w:space="0"/>
            </w:tcBorders>
            <w:vAlign w:val="top"/>
          </w:tcPr>
          <w:p w14:paraId="68A584BF">
            <w:pPr>
              <w:rPr>
                <w:rFonts w:ascii="Arial"/>
                <w:sz w:val="21"/>
              </w:rPr>
            </w:pPr>
          </w:p>
        </w:tc>
      </w:tr>
      <w:tr w14:paraId="018A7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6F58034">
            <w:pPr>
              <w:rPr>
                <w:rFonts w:ascii="Arial"/>
                <w:sz w:val="21"/>
              </w:rPr>
            </w:pPr>
          </w:p>
        </w:tc>
        <w:tc>
          <w:tcPr>
            <w:tcW w:w="7811" w:type="dxa"/>
            <w:gridSpan w:val="4"/>
            <w:vAlign w:val="top"/>
          </w:tcPr>
          <w:p w14:paraId="1FB7B2A5">
            <w:pPr>
              <w:spacing w:before="97" w:line="228" w:lineRule="auto"/>
              <w:ind w:left="19"/>
              <w:rPr>
                <w:rFonts w:ascii="宋体" w:hAnsi="宋体" w:eastAsia="宋体" w:cs="宋体"/>
                <w:sz w:val="20"/>
                <w:szCs w:val="20"/>
              </w:rPr>
            </w:pPr>
            <w:r>
              <w:rPr>
                <w:rFonts w:ascii="宋体" w:hAnsi="宋体" w:eastAsia="宋体" w:cs="宋体"/>
                <w:b/>
                <w:bCs/>
                <w:spacing w:val="2"/>
                <w:sz w:val="20"/>
                <w:szCs w:val="20"/>
              </w:rPr>
              <w:t>（1）</w:t>
            </w:r>
            <w:r>
              <w:rPr>
                <w:rFonts w:ascii="宋体" w:hAnsi="宋体" w:eastAsia="宋体" w:cs="宋体"/>
                <w:spacing w:val="-74"/>
                <w:sz w:val="20"/>
                <w:szCs w:val="20"/>
              </w:rPr>
              <w:t xml:space="preserve"> </w:t>
            </w:r>
            <w:r>
              <w:rPr>
                <w:rFonts w:ascii="宋体" w:hAnsi="宋体" w:eastAsia="宋体" w:cs="宋体"/>
                <w:b/>
                <w:bCs/>
                <w:spacing w:val="2"/>
                <w:sz w:val="20"/>
                <w:szCs w:val="20"/>
              </w:rPr>
              <w:t>“十四五</w:t>
            </w:r>
            <w:r>
              <w:rPr>
                <w:rFonts w:ascii="宋体" w:hAnsi="宋体" w:eastAsia="宋体" w:cs="宋体"/>
                <w:spacing w:val="-70"/>
                <w:sz w:val="20"/>
                <w:szCs w:val="20"/>
              </w:rPr>
              <w:t xml:space="preserve"> </w:t>
            </w:r>
            <w:r>
              <w:rPr>
                <w:rFonts w:ascii="宋体" w:hAnsi="宋体" w:eastAsia="宋体" w:cs="宋体"/>
                <w:b/>
                <w:bCs/>
                <w:spacing w:val="2"/>
                <w:sz w:val="20"/>
                <w:szCs w:val="20"/>
              </w:rPr>
              <w:t>”新建项目&lt;1</w:t>
            </w:r>
            <w:r>
              <w:rPr>
                <w:rFonts w:ascii="宋体" w:hAnsi="宋体" w:eastAsia="宋体" w:cs="宋体"/>
                <w:spacing w:val="-38"/>
                <w:sz w:val="20"/>
                <w:szCs w:val="20"/>
              </w:rPr>
              <w:t xml:space="preserve"> </w:t>
            </w:r>
            <w:r>
              <w:rPr>
                <w:rFonts w:ascii="宋体" w:hAnsi="宋体" w:eastAsia="宋体" w:cs="宋体"/>
                <w:b/>
                <w:bCs/>
                <w:spacing w:val="2"/>
                <w:sz w:val="20"/>
                <w:szCs w:val="20"/>
              </w:rPr>
              <w:t>个&gt;</w:t>
            </w:r>
          </w:p>
        </w:tc>
        <w:tc>
          <w:tcPr>
            <w:tcW w:w="2204" w:type="dxa"/>
            <w:vAlign w:val="top"/>
          </w:tcPr>
          <w:p w14:paraId="48658E64">
            <w:pPr>
              <w:rPr>
                <w:rFonts w:ascii="Arial"/>
                <w:sz w:val="21"/>
              </w:rPr>
            </w:pPr>
          </w:p>
        </w:tc>
        <w:tc>
          <w:tcPr>
            <w:tcW w:w="2066" w:type="dxa"/>
            <w:vAlign w:val="top"/>
          </w:tcPr>
          <w:p w14:paraId="47CC4F19">
            <w:pPr>
              <w:rPr>
                <w:rFonts w:ascii="Arial"/>
                <w:sz w:val="21"/>
              </w:rPr>
            </w:pPr>
          </w:p>
        </w:tc>
        <w:tc>
          <w:tcPr>
            <w:tcW w:w="920" w:type="dxa"/>
            <w:vAlign w:val="top"/>
          </w:tcPr>
          <w:p w14:paraId="2DEF74BB">
            <w:pPr>
              <w:rPr>
                <w:rFonts w:ascii="Arial"/>
                <w:sz w:val="21"/>
              </w:rPr>
            </w:pPr>
          </w:p>
        </w:tc>
        <w:tc>
          <w:tcPr>
            <w:tcW w:w="963" w:type="dxa"/>
            <w:vAlign w:val="top"/>
          </w:tcPr>
          <w:p w14:paraId="283FADF4">
            <w:pPr>
              <w:rPr>
                <w:rFonts w:ascii="Arial"/>
                <w:sz w:val="21"/>
              </w:rPr>
            </w:pPr>
          </w:p>
        </w:tc>
        <w:tc>
          <w:tcPr>
            <w:tcW w:w="1071" w:type="dxa"/>
            <w:vAlign w:val="top"/>
          </w:tcPr>
          <w:p w14:paraId="0A4B778B">
            <w:pPr>
              <w:rPr>
                <w:rFonts w:ascii="Arial"/>
                <w:sz w:val="21"/>
              </w:rPr>
            </w:pPr>
          </w:p>
        </w:tc>
        <w:tc>
          <w:tcPr>
            <w:tcW w:w="1113" w:type="dxa"/>
            <w:vAlign w:val="top"/>
          </w:tcPr>
          <w:p w14:paraId="53423CD3">
            <w:pPr>
              <w:rPr>
                <w:rFonts w:ascii="Arial"/>
                <w:sz w:val="21"/>
              </w:rPr>
            </w:pPr>
          </w:p>
        </w:tc>
        <w:tc>
          <w:tcPr>
            <w:tcW w:w="1028" w:type="dxa"/>
            <w:vAlign w:val="top"/>
          </w:tcPr>
          <w:p w14:paraId="6C04C674">
            <w:pPr>
              <w:rPr>
                <w:rFonts w:ascii="Arial"/>
                <w:sz w:val="21"/>
              </w:rPr>
            </w:pPr>
          </w:p>
        </w:tc>
        <w:tc>
          <w:tcPr>
            <w:tcW w:w="3175" w:type="dxa"/>
            <w:tcBorders>
              <w:right w:val="single" w:color="000000" w:sz="10" w:space="0"/>
            </w:tcBorders>
            <w:vAlign w:val="top"/>
          </w:tcPr>
          <w:p w14:paraId="5EDEF89C">
            <w:pPr>
              <w:rPr>
                <w:rFonts w:ascii="Arial"/>
                <w:sz w:val="21"/>
              </w:rPr>
            </w:pPr>
          </w:p>
        </w:tc>
      </w:tr>
      <w:tr w14:paraId="6C2A7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06E06201">
            <w:pPr>
              <w:pStyle w:val="6"/>
              <w:spacing w:before="213" w:line="274" w:lineRule="exact"/>
              <w:ind w:left="272"/>
            </w:pPr>
            <w:r>
              <w:rPr>
                <w:position w:val="1"/>
              </w:rPr>
              <w:t>1</w:t>
            </w:r>
          </w:p>
        </w:tc>
        <w:tc>
          <w:tcPr>
            <w:tcW w:w="641" w:type="dxa"/>
            <w:vAlign w:val="top"/>
          </w:tcPr>
          <w:p w14:paraId="049EB7AB">
            <w:pPr>
              <w:spacing w:before="242" w:line="231" w:lineRule="auto"/>
              <w:ind w:left="125"/>
              <w:rPr>
                <w:rFonts w:ascii="宋体" w:hAnsi="宋体" w:eastAsia="宋体" w:cs="宋体"/>
                <w:sz w:val="20"/>
                <w:szCs w:val="20"/>
              </w:rPr>
            </w:pPr>
            <w:r>
              <w:rPr>
                <w:rFonts w:ascii="宋体" w:hAnsi="宋体" w:eastAsia="宋体" w:cs="宋体"/>
                <w:spacing w:val="-6"/>
                <w:sz w:val="20"/>
                <w:szCs w:val="20"/>
              </w:rPr>
              <w:t>国道</w:t>
            </w:r>
          </w:p>
        </w:tc>
        <w:tc>
          <w:tcPr>
            <w:tcW w:w="771" w:type="dxa"/>
            <w:vAlign w:val="top"/>
          </w:tcPr>
          <w:p w14:paraId="58E26879">
            <w:pPr>
              <w:pStyle w:val="6"/>
              <w:spacing w:before="213" w:line="274" w:lineRule="exact"/>
              <w:ind w:left="147"/>
            </w:pPr>
            <w:r>
              <w:rPr>
                <w:spacing w:val="3"/>
                <w:position w:val="2"/>
              </w:rPr>
              <w:t>G357</w:t>
            </w:r>
          </w:p>
        </w:tc>
        <w:tc>
          <w:tcPr>
            <w:tcW w:w="3274" w:type="dxa"/>
            <w:vAlign w:val="top"/>
          </w:tcPr>
          <w:p w14:paraId="3E3BFDD4">
            <w:pPr>
              <w:pStyle w:val="6"/>
              <w:spacing w:before="242" w:line="228" w:lineRule="auto"/>
              <w:ind w:left="977"/>
              <w:rPr>
                <w:rFonts w:ascii="宋体" w:hAnsi="宋体" w:eastAsia="宋体" w:cs="宋体"/>
              </w:rPr>
            </w:pPr>
            <w:r>
              <w:rPr>
                <w:rFonts w:ascii="宋体" w:hAnsi="宋体" w:eastAsia="宋体" w:cs="宋体"/>
                <w:spacing w:val="6"/>
              </w:rPr>
              <w:t>东山</w:t>
            </w:r>
            <w:r>
              <w:rPr>
                <w:spacing w:val="6"/>
              </w:rPr>
              <w:t>-</w:t>
            </w:r>
            <w:r>
              <w:rPr>
                <w:rFonts w:ascii="宋体" w:hAnsi="宋体" w:eastAsia="宋体" w:cs="宋体"/>
                <w:spacing w:val="6"/>
              </w:rPr>
              <w:t>泸水公路</w:t>
            </w:r>
          </w:p>
        </w:tc>
        <w:tc>
          <w:tcPr>
            <w:tcW w:w="3125" w:type="dxa"/>
            <w:vAlign w:val="top"/>
          </w:tcPr>
          <w:p w14:paraId="7F3BEF3C">
            <w:pPr>
              <w:spacing w:before="242" w:line="228" w:lineRule="auto"/>
              <w:ind w:left="831"/>
              <w:rPr>
                <w:rFonts w:ascii="宋体" w:hAnsi="宋体" w:eastAsia="宋体" w:cs="宋体"/>
                <w:sz w:val="20"/>
                <w:szCs w:val="20"/>
              </w:rPr>
            </w:pPr>
            <w:r>
              <w:rPr>
                <w:rFonts w:ascii="宋体" w:hAnsi="宋体" w:eastAsia="宋体" w:cs="宋体"/>
                <w:spacing w:val="8"/>
                <w:sz w:val="20"/>
                <w:szCs w:val="20"/>
              </w:rPr>
              <w:t>大水井至五龙段</w:t>
            </w:r>
          </w:p>
        </w:tc>
        <w:tc>
          <w:tcPr>
            <w:tcW w:w="2204" w:type="dxa"/>
            <w:vAlign w:val="top"/>
          </w:tcPr>
          <w:p w14:paraId="1730AF15">
            <w:pPr>
              <w:spacing w:before="242" w:line="228" w:lineRule="auto"/>
              <w:ind w:left="794"/>
              <w:rPr>
                <w:rFonts w:ascii="宋体" w:hAnsi="宋体" w:eastAsia="宋体" w:cs="宋体"/>
                <w:sz w:val="20"/>
                <w:szCs w:val="20"/>
              </w:rPr>
            </w:pPr>
            <w:r>
              <w:rPr>
                <w:rFonts w:ascii="宋体" w:hAnsi="宋体" w:eastAsia="宋体" w:cs="宋体"/>
                <w:spacing w:val="6"/>
                <w:sz w:val="20"/>
                <w:szCs w:val="20"/>
              </w:rPr>
              <w:t>大水井</w:t>
            </w:r>
          </w:p>
        </w:tc>
        <w:tc>
          <w:tcPr>
            <w:tcW w:w="2066" w:type="dxa"/>
            <w:vAlign w:val="top"/>
          </w:tcPr>
          <w:p w14:paraId="2A1067E7">
            <w:pPr>
              <w:spacing w:before="242" w:line="228" w:lineRule="auto"/>
              <w:ind w:left="833"/>
              <w:rPr>
                <w:rFonts w:ascii="宋体" w:hAnsi="宋体" w:eastAsia="宋体" w:cs="宋体"/>
                <w:sz w:val="20"/>
                <w:szCs w:val="20"/>
              </w:rPr>
            </w:pPr>
            <w:r>
              <w:rPr>
                <w:rFonts w:ascii="宋体" w:hAnsi="宋体" w:eastAsia="宋体" w:cs="宋体"/>
                <w:spacing w:val="3"/>
                <w:sz w:val="20"/>
                <w:szCs w:val="20"/>
              </w:rPr>
              <w:t>五龙</w:t>
            </w:r>
          </w:p>
        </w:tc>
        <w:tc>
          <w:tcPr>
            <w:tcW w:w="920" w:type="dxa"/>
            <w:vAlign w:val="top"/>
          </w:tcPr>
          <w:p w14:paraId="2E9373C2">
            <w:pPr>
              <w:spacing w:before="242"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179CD3C7">
            <w:pPr>
              <w:spacing w:before="241"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5CA0E181">
            <w:pPr>
              <w:pStyle w:val="6"/>
              <w:spacing w:before="213" w:line="274" w:lineRule="exact"/>
              <w:ind w:left="437"/>
            </w:pPr>
            <w:r>
              <w:rPr>
                <w:spacing w:val="3"/>
                <w:position w:val="2"/>
              </w:rPr>
              <w:t>40</w:t>
            </w:r>
          </w:p>
        </w:tc>
        <w:tc>
          <w:tcPr>
            <w:tcW w:w="1113" w:type="dxa"/>
            <w:vAlign w:val="top"/>
          </w:tcPr>
          <w:p w14:paraId="5D8E7047">
            <w:pPr>
              <w:pStyle w:val="6"/>
              <w:spacing w:before="213" w:line="274" w:lineRule="exact"/>
              <w:ind w:left="111"/>
            </w:pPr>
            <w:r>
              <w:rPr>
                <w:spacing w:val="4"/>
                <w:position w:val="2"/>
              </w:rPr>
              <w:t>2021-2025</w:t>
            </w:r>
          </w:p>
        </w:tc>
        <w:tc>
          <w:tcPr>
            <w:tcW w:w="1028" w:type="dxa"/>
            <w:vAlign w:val="top"/>
          </w:tcPr>
          <w:p w14:paraId="4FE26C80">
            <w:pPr>
              <w:pStyle w:val="6"/>
              <w:spacing w:before="213" w:line="274" w:lineRule="exact"/>
              <w:ind w:left="291"/>
            </w:pPr>
            <w:r>
              <w:rPr>
                <w:spacing w:val="3"/>
                <w:position w:val="2"/>
              </w:rPr>
              <w:t>33.00</w:t>
            </w:r>
          </w:p>
        </w:tc>
        <w:tc>
          <w:tcPr>
            <w:tcW w:w="3175" w:type="dxa"/>
            <w:tcBorders>
              <w:right w:val="single" w:color="000000" w:sz="10" w:space="0"/>
            </w:tcBorders>
            <w:vAlign w:val="top"/>
          </w:tcPr>
          <w:p w14:paraId="51ECD45C">
            <w:pPr>
              <w:spacing w:before="77" w:line="271" w:lineRule="auto"/>
              <w:ind w:left="234" w:right="7" w:hanging="197"/>
              <w:rPr>
                <w:rFonts w:ascii="宋体" w:hAnsi="宋体" w:eastAsia="宋体" w:cs="宋体"/>
                <w:sz w:val="20"/>
                <w:szCs w:val="20"/>
              </w:rPr>
            </w:pPr>
            <w:r>
              <w:rPr>
                <w:rFonts w:ascii="宋体" w:hAnsi="宋体" w:eastAsia="宋体" w:cs="宋体"/>
                <w:spacing w:val="5"/>
                <w:sz w:val="20"/>
                <w:szCs w:val="20"/>
              </w:rPr>
              <w:t>断头路，《云南省“十四五</w:t>
            </w:r>
            <w:r>
              <w:rPr>
                <w:rFonts w:ascii="宋体" w:hAnsi="宋体" w:eastAsia="宋体" w:cs="宋体"/>
                <w:spacing w:val="-61"/>
                <w:sz w:val="20"/>
                <w:szCs w:val="20"/>
              </w:rPr>
              <w:t xml:space="preserve"> </w:t>
            </w:r>
            <w:r>
              <w:rPr>
                <w:rFonts w:ascii="宋体" w:hAnsi="宋体" w:eastAsia="宋体" w:cs="宋体"/>
                <w:spacing w:val="5"/>
                <w:sz w:val="20"/>
                <w:szCs w:val="20"/>
              </w:rPr>
              <w:t>”综合</w:t>
            </w:r>
            <w:r>
              <w:rPr>
                <w:rFonts w:ascii="宋体" w:hAnsi="宋体" w:eastAsia="宋体" w:cs="宋体"/>
                <w:spacing w:val="8"/>
                <w:sz w:val="20"/>
                <w:szCs w:val="20"/>
              </w:rPr>
              <w:t>交通运输发展规划》新建项目</w:t>
            </w:r>
          </w:p>
        </w:tc>
      </w:tr>
      <w:tr w14:paraId="51F60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4287B24C">
            <w:pPr>
              <w:rPr>
                <w:rFonts w:ascii="Arial"/>
                <w:sz w:val="21"/>
              </w:rPr>
            </w:pPr>
          </w:p>
        </w:tc>
        <w:tc>
          <w:tcPr>
            <w:tcW w:w="7811" w:type="dxa"/>
            <w:gridSpan w:val="4"/>
            <w:vAlign w:val="top"/>
          </w:tcPr>
          <w:p w14:paraId="17F015F6">
            <w:pPr>
              <w:spacing w:before="100" w:line="228" w:lineRule="auto"/>
              <w:ind w:left="19"/>
              <w:rPr>
                <w:rFonts w:ascii="宋体" w:hAnsi="宋体" w:eastAsia="宋体" w:cs="宋体"/>
                <w:sz w:val="20"/>
                <w:szCs w:val="20"/>
              </w:rPr>
            </w:pPr>
            <w:r>
              <w:rPr>
                <w:rFonts w:ascii="宋体" w:hAnsi="宋体" w:eastAsia="宋体" w:cs="宋体"/>
                <w:b/>
                <w:bCs/>
                <w:spacing w:val="6"/>
                <w:sz w:val="20"/>
                <w:szCs w:val="20"/>
              </w:rPr>
              <w:t>（2）</w:t>
            </w:r>
            <w:r>
              <w:rPr>
                <w:rFonts w:ascii="宋体" w:hAnsi="宋体" w:eastAsia="宋体" w:cs="宋体"/>
                <w:spacing w:val="-66"/>
                <w:sz w:val="20"/>
                <w:szCs w:val="20"/>
              </w:rPr>
              <w:t xml:space="preserve"> </w:t>
            </w:r>
            <w:r>
              <w:rPr>
                <w:rFonts w:ascii="宋体" w:hAnsi="宋体" w:eastAsia="宋体" w:cs="宋体"/>
                <w:b/>
                <w:bCs/>
                <w:spacing w:val="6"/>
                <w:sz w:val="20"/>
                <w:szCs w:val="20"/>
              </w:rPr>
              <w:t>“十四五</w:t>
            </w:r>
            <w:r>
              <w:rPr>
                <w:rFonts w:ascii="宋体" w:hAnsi="宋体" w:eastAsia="宋体" w:cs="宋体"/>
                <w:spacing w:val="-70"/>
                <w:sz w:val="20"/>
                <w:szCs w:val="20"/>
              </w:rPr>
              <w:t xml:space="preserve"> </w:t>
            </w:r>
            <w:r>
              <w:rPr>
                <w:rFonts w:ascii="宋体" w:hAnsi="宋体" w:eastAsia="宋体" w:cs="宋体"/>
                <w:b/>
                <w:bCs/>
                <w:spacing w:val="6"/>
                <w:sz w:val="20"/>
                <w:szCs w:val="20"/>
              </w:rPr>
              <w:t>”适时启动建设项目&lt;1个&gt;</w:t>
            </w:r>
          </w:p>
        </w:tc>
        <w:tc>
          <w:tcPr>
            <w:tcW w:w="2204" w:type="dxa"/>
            <w:vAlign w:val="top"/>
          </w:tcPr>
          <w:p w14:paraId="47456DF0">
            <w:pPr>
              <w:rPr>
                <w:rFonts w:ascii="Arial"/>
                <w:sz w:val="21"/>
              </w:rPr>
            </w:pPr>
          </w:p>
        </w:tc>
        <w:tc>
          <w:tcPr>
            <w:tcW w:w="2066" w:type="dxa"/>
            <w:vAlign w:val="top"/>
          </w:tcPr>
          <w:p w14:paraId="6FF6C046">
            <w:pPr>
              <w:rPr>
                <w:rFonts w:ascii="Arial"/>
                <w:sz w:val="21"/>
              </w:rPr>
            </w:pPr>
          </w:p>
        </w:tc>
        <w:tc>
          <w:tcPr>
            <w:tcW w:w="920" w:type="dxa"/>
            <w:vAlign w:val="top"/>
          </w:tcPr>
          <w:p w14:paraId="423436DD">
            <w:pPr>
              <w:rPr>
                <w:rFonts w:ascii="Arial"/>
                <w:sz w:val="21"/>
              </w:rPr>
            </w:pPr>
          </w:p>
        </w:tc>
        <w:tc>
          <w:tcPr>
            <w:tcW w:w="963" w:type="dxa"/>
            <w:vAlign w:val="top"/>
          </w:tcPr>
          <w:p w14:paraId="50606835">
            <w:pPr>
              <w:rPr>
                <w:rFonts w:ascii="Arial"/>
                <w:sz w:val="21"/>
              </w:rPr>
            </w:pPr>
          </w:p>
        </w:tc>
        <w:tc>
          <w:tcPr>
            <w:tcW w:w="1071" w:type="dxa"/>
            <w:vAlign w:val="top"/>
          </w:tcPr>
          <w:p w14:paraId="4D6B9BF2">
            <w:pPr>
              <w:rPr>
                <w:rFonts w:ascii="Arial"/>
                <w:sz w:val="21"/>
              </w:rPr>
            </w:pPr>
          </w:p>
        </w:tc>
        <w:tc>
          <w:tcPr>
            <w:tcW w:w="1113" w:type="dxa"/>
            <w:vAlign w:val="top"/>
          </w:tcPr>
          <w:p w14:paraId="24C57DDC">
            <w:pPr>
              <w:rPr>
                <w:rFonts w:ascii="Arial"/>
                <w:sz w:val="21"/>
              </w:rPr>
            </w:pPr>
          </w:p>
        </w:tc>
        <w:tc>
          <w:tcPr>
            <w:tcW w:w="1028" w:type="dxa"/>
            <w:vAlign w:val="top"/>
          </w:tcPr>
          <w:p w14:paraId="670524C9">
            <w:pPr>
              <w:rPr>
                <w:rFonts w:ascii="Arial"/>
                <w:sz w:val="21"/>
              </w:rPr>
            </w:pPr>
          </w:p>
        </w:tc>
        <w:tc>
          <w:tcPr>
            <w:tcW w:w="3175" w:type="dxa"/>
            <w:tcBorders>
              <w:right w:val="single" w:color="000000" w:sz="10" w:space="0"/>
            </w:tcBorders>
            <w:vAlign w:val="top"/>
          </w:tcPr>
          <w:p w14:paraId="14C20C24">
            <w:pPr>
              <w:rPr>
                <w:rFonts w:ascii="Arial"/>
                <w:sz w:val="21"/>
              </w:rPr>
            </w:pPr>
          </w:p>
        </w:tc>
      </w:tr>
      <w:tr w14:paraId="00136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54678FAB">
            <w:pPr>
              <w:pStyle w:val="6"/>
              <w:spacing w:before="212" w:line="274" w:lineRule="exact"/>
              <w:ind w:left="272"/>
            </w:pPr>
            <w:r>
              <w:rPr>
                <w:position w:val="1"/>
              </w:rPr>
              <w:t>1</w:t>
            </w:r>
          </w:p>
        </w:tc>
        <w:tc>
          <w:tcPr>
            <w:tcW w:w="641" w:type="dxa"/>
            <w:vAlign w:val="top"/>
          </w:tcPr>
          <w:p w14:paraId="69D95786">
            <w:pPr>
              <w:spacing w:before="243" w:line="231" w:lineRule="auto"/>
              <w:ind w:left="125"/>
              <w:rPr>
                <w:rFonts w:ascii="宋体" w:hAnsi="宋体" w:eastAsia="宋体" w:cs="宋体"/>
                <w:sz w:val="20"/>
                <w:szCs w:val="20"/>
              </w:rPr>
            </w:pPr>
            <w:r>
              <w:rPr>
                <w:rFonts w:ascii="宋体" w:hAnsi="宋体" w:eastAsia="宋体" w:cs="宋体"/>
                <w:spacing w:val="-6"/>
                <w:sz w:val="20"/>
                <w:szCs w:val="20"/>
              </w:rPr>
              <w:t>国道</w:t>
            </w:r>
          </w:p>
        </w:tc>
        <w:tc>
          <w:tcPr>
            <w:tcW w:w="771" w:type="dxa"/>
            <w:vAlign w:val="top"/>
          </w:tcPr>
          <w:p w14:paraId="6A17534A">
            <w:pPr>
              <w:pStyle w:val="6"/>
              <w:spacing w:before="212" w:line="274" w:lineRule="exact"/>
              <w:ind w:left="147"/>
            </w:pPr>
            <w:r>
              <w:rPr>
                <w:spacing w:val="3"/>
                <w:position w:val="2"/>
              </w:rPr>
              <w:t>G326</w:t>
            </w:r>
          </w:p>
        </w:tc>
        <w:tc>
          <w:tcPr>
            <w:tcW w:w="3274" w:type="dxa"/>
            <w:vAlign w:val="top"/>
          </w:tcPr>
          <w:p w14:paraId="3AAA0FDD">
            <w:pPr>
              <w:pStyle w:val="6"/>
              <w:spacing w:before="243" w:line="228" w:lineRule="auto"/>
              <w:ind w:left="972"/>
              <w:rPr>
                <w:rFonts w:ascii="宋体" w:hAnsi="宋体" w:eastAsia="宋体" w:cs="宋体"/>
              </w:rPr>
            </w:pPr>
            <w:r>
              <w:rPr>
                <w:rFonts w:ascii="宋体" w:hAnsi="宋体" w:eastAsia="宋体" w:cs="宋体"/>
                <w:spacing w:val="6"/>
              </w:rPr>
              <w:t>秀山</w:t>
            </w:r>
            <w:r>
              <w:rPr>
                <w:spacing w:val="6"/>
              </w:rPr>
              <w:t>-</w:t>
            </w:r>
            <w:r>
              <w:rPr>
                <w:rFonts w:ascii="宋体" w:hAnsi="宋体" w:eastAsia="宋体" w:cs="宋体"/>
                <w:spacing w:val="6"/>
              </w:rPr>
              <w:t>河口公路</w:t>
            </w:r>
          </w:p>
        </w:tc>
        <w:tc>
          <w:tcPr>
            <w:tcW w:w="3125" w:type="dxa"/>
            <w:vAlign w:val="top"/>
          </w:tcPr>
          <w:p w14:paraId="11F0D8A5">
            <w:pPr>
              <w:spacing w:before="243" w:line="228" w:lineRule="auto"/>
              <w:ind w:left="936"/>
              <w:rPr>
                <w:rFonts w:ascii="宋体" w:hAnsi="宋体" w:eastAsia="宋体" w:cs="宋体"/>
                <w:sz w:val="20"/>
                <w:szCs w:val="20"/>
              </w:rPr>
            </w:pPr>
            <w:r>
              <w:rPr>
                <w:rFonts w:ascii="宋体" w:hAnsi="宋体" w:eastAsia="宋体" w:cs="宋体"/>
                <w:spacing w:val="7"/>
                <w:sz w:val="20"/>
                <w:szCs w:val="20"/>
              </w:rPr>
              <w:t>水寨至西桥段</w:t>
            </w:r>
          </w:p>
        </w:tc>
        <w:tc>
          <w:tcPr>
            <w:tcW w:w="2204" w:type="dxa"/>
            <w:vAlign w:val="top"/>
          </w:tcPr>
          <w:p w14:paraId="095D0ECC">
            <w:pPr>
              <w:spacing w:before="243" w:line="228" w:lineRule="auto"/>
              <w:ind w:left="580"/>
              <w:rPr>
                <w:rFonts w:ascii="宋体" w:hAnsi="宋体" w:eastAsia="宋体" w:cs="宋体"/>
                <w:sz w:val="20"/>
                <w:szCs w:val="20"/>
              </w:rPr>
            </w:pPr>
            <w:r>
              <w:rPr>
                <w:rFonts w:ascii="宋体" w:hAnsi="宋体" w:eastAsia="宋体" w:cs="宋体"/>
                <w:spacing w:val="8"/>
                <w:sz w:val="20"/>
                <w:szCs w:val="20"/>
              </w:rPr>
              <w:t>麒麟横大路</w:t>
            </w:r>
          </w:p>
        </w:tc>
        <w:tc>
          <w:tcPr>
            <w:tcW w:w="2066" w:type="dxa"/>
            <w:vAlign w:val="top"/>
          </w:tcPr>
          <w:p w14:paraId="047937F0">
            <w:pPr>
              <w:spacing w:before="243" w:line="229" w:lineRule="auto"/>
              <w:ind w:left="631"/>
              <w:rPr>
                <w:rFonts w:ascii="宋体" w:hAnsi="宋体" w:eastAsia="宋体" w:cs="宋体"/>
                <w:sz w:val="20"/>
                <w:szCs w:val="20"/>
              </w:rPr>
            </w:pPr>
            <w:r>
              <w:rPr>
                <w:rFonts w:ascii="宋体" w:hAnsi="宋体" w:eastAsia="宋体" w:cs="宋体"/>
                <w:spacing w:val="4"/>
                <w:sz w:val="20"/>
                <w:szCs w:val="20"/>
              </w:rPr>
              <w:t>陆良西桥</w:t>
            </w:r>
          </w:p>
        </w:tc>
        <w:tc>
          <w:tcPr>
            <w:tcW w:w="920" w:type="dxa"/>
            <w:vAlign w:val="top"/>
          </w:tcPr>
          <w:p w14:paraId="4427D24A">
            <w:pPr>
              <w:spacing w:before="243"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744EE4A7">
            <w:pPr>
              <w:spacing w:before="242"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68E5DADF">
            <w:pPr>
              <w:pStyle w:val="6"/>
              <w:spacing w:before="212" w:line="274" w:lineRule="exact"/>
              <w:ind w:left="252"/>
            </w:pPr>
            <w:r>
              <w:rPr>
                <w:spacing w:val="3"/>
                <w:position w:val="2"/>
              </w:rPr>
              <w:t>44.019</w:t>
            </w:r>
          </w:p>
        </w:tc>
        <w:tc>
          <w:tcPr>
            <w:tcW w:w="1113" w:type="dxa"/>
            <w:vAlign w:val="top"/>
          </w:tcPr>
          <w:p w14:paraId="6C5E4E3F">
            <w:pPr>
              <w:pStyle w:val="6"/>
              <w:spacing w:before="212" w:line="274" w:lineRule="exact"/>
              <w:ind w:left="111"/>
            </w:pPr>
            <w:r>
              <w:rPr>
                <w:spacing w:val="4"/>
                <w:position w:val="2"/>
              </w:rPr>
              <w:t>2021-2025</w:t>
            </w:r>
          </w:p>
        </w:tc>
        <w:tc>
          <w:tcPr>
            <w:tcW w:w="1028" w:type="dxa"/>
            <w:vAlign w:val="top"/>
          </w:tcPr>
          <w:p w14:paraId="4C1D03C9">
            <w:pPr>
              <w:pStyle w:val="6"/>
              <w:spacing w:before="212" w:line="274" w:lineRule="exact"/>
              <w:ind w:left="307"/>
            </w:pPr>
            <w:r>
              <w:rPr>
                <w:spacing w:val="-1"/>
                <w:position w:val="2"/>
              </w:rPr>
              <w:t>19.42</w:t>
            </w:r>
          </w:p>
        </w:tc>
        <w:tc>
          <w:tcPr>
            <w:tcW w:w="3175" w:type="dxa"/>
            <w:tcBorders>
              <w:right w:val="single" w:color="000000" w:sz="10" w:space="0"/>
            </w:tcBorders>
            <w:vAlign w:val="top"/>
          </w:tcPr>
          <w:p w14:paraId="089BF462">
            <w:pPr>
              <w:spacing w:before="80" w:line="270" w:lineRule="auto"/>
              <w:ind w:left="233" w:right="7" w:hanging="19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9"/>
                <w:sz w:val="20"/>
                <w:szCs w:val="20"/>
              </w:rPr>
              <w:t>发展规划》适时启动建设项目</w:t>
            </w:r>
          </w:p>
        </w:tc>
      </w:tr>
      <w:tr w14:paraId="58E2A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9282249">
            <w:pPr>
              <w:rPr>
                <w:rFonts w:ascii="Arial"/>
                <w:sz w:val="21"/>
              </w:rPr>
            </w:pPr>
          </w:p>
        </w:tc>
        <w:tc>
          <w:tcPr>
            <w:tcW w:w="7811" w:type="dxa"/>
            <w:gridSpan w:val="4"/>
            <w:vAlign w:val="top"/>
          </w:tcPr>
          <w:p w14:paraId="66B118AF">
            <w:pPr>
              <w:spacing w:before="101" w:line="228" w:lineRule="auto"/>
              <w:ind w:left="19"/>
              <w:rPr>
                <w:rFonts w:ascii="宋体" w:hAnsi="宋体" w:eastAsia="宋体" w:cs="宋体"/>
                <w:sz w:val="20"/>
                <w:szCs w:val="20"/>
              </w:rPr>
            </w:pPr>
            <w:r>
              <w:rPr>
                <w:rFonts w:ascii="宋体" w:hAnsi="宋体" w:eastAsia="宋体" w:cs="宋体"/>
                <w:b/>
                <w:bCs/>
                <w:spacing w:val="4"/>
                <w:sz w:val="20"/>
                <w:szCs w:val="20"/>
              </w:rPr>
              <w:t>（3）储备项目&lt;15</w:t>
            </w:r>
            <w:r>
              <w:rPr>
                <w:rFonts w:ascii="宋体" w:hAnsi="宋体" w:eastAsia="宋体" w:cs="宋体"/>
                <w:spacing w:val="-37"/>
                <w:sz w:val="20"/>
                <w:szCs w:val="20"/>
              </w:rPr>
              <w:t xml:space="preserve"> </w:t>
            </w:r>
            <w:r>
              <w:rPr>
                <w:rFonts w:ascii="宋体" w:hAnsi="宋体" w:eastAsia="宋体" w:cs="宋体"/>
                <w:b/>
                <w:bCs/>
                <w:spacing w:val="4"/>
                <w:sz w:val="20"/>
                <w:szCs w:val="20"/>
              </w:rPr>
              <w:t>个&gt;</w:t>
            </w:r>
          </w:p>
        </w:tc>
        <w:tc>
          <w:tcPr>
            <w:tcW w:w="2204" w:type="dxa"/>
            <w:vAlign w:val="top"/>
          </w:tcPr>
          <w:p w14:paraId="0D0144CF">
            <w:pPr>
              <w:rPr>
                <w:rFonts w:ascii="Arial"/>
                <w:sz w:val="21"/>
              </w:rPr>
            </w:pPr>
          </w:p>
        </w:tc>
        <w:tc>
          <w:tcPr>
            <w:tcW w:w="2066" w:type="dxa"/>
            <w:vAlign w:val="top"/>
          </w:tcPr>
          <w:p w14:paraId="53DC81F4">
            <w:pPr>
              <w:rPr>
                <w:rFonts w:ascii="Arial"/>
                <w:sz w:val="21"/>
              </w:rPr>
            </w:pPr>
          </w:p>
        </w:tc>
        <w:tc>
          <w:tcPr>
            <w:tcW w:w="920" w:type="dxa"/>
            <w:vAlign w:val="top"/>
          </w:tcPr>
          <w:p w14:paraId="68199B10">
            <w:pPr>
              <w:rPr>
                <w:rFonts w:ascii="Arial"/>
                <w:sz w:val="21"/>
              </w:rPr>
            </w:pPr>
          </w:p>
        </w:tc>
        <w:tc>
          <w:tcPr>
            <w:tcW w:w="963" w:type="dxa"/>
            <w:vAlign w:val="top"/>
          </w:tcPr>
          <w:p w14:paraId="7A2AC9D6">
            <w:pPr>
              <w:rPr>
                <w:rFonts w:ascii="Arial"/>
                <w:sz w:val="21"/>
              </w:rPr>
            </w:pPr>
          </w:p>
        </w:tc>
        <w:tc>
          <w:tcPr>
            <w:tcW w:w="1071" w:type="dxa"/>
            <w:vAlign w:val="top"/>
          </w:tcPr>
          <w:p w14:paraId="08C383AE">
            <w:pPr>
              <w:pStyle w:val="6"/>
              <w:spacing w:before="136" w:line="195" w:lineRule="auto"/>
              <w:ind w:left="160"/>
            </w:pPr>
            <w:r>
              <w:rPr>
                <w:b/>
                <w:bCs/>
                <w:spacing w:val="2"/>
              </w:rPr>
              <w:t>1399.997</w:t>
            </w:r>
          </w:p>
        </w:tc>
        <w:tc>
          <w:tcPr>
            <w:tcW w:w="1113" w:type="dxa"/>
            <w:vAlign w:val="top"/>
          </w:tcPr>
          <w:p w14:paraId="58DB2D3B">
            <w:pPr>
              <w:rPr>
                <w:rFonts w:ascii="Arial"/>
                <w:sz w:val="21"/>
              </w:rPr>
            </w:pPr>
          </w:p>
        </w:tc>
        <w:tc>
          <w:tcPr>
            <w:tcW w:w="1028" w:type="dxa"/>
            <w:vAlign w:val="top"/>
          </w:tcPr>
          <w:p w14:paraId="65170987">
            <w:pPr>
              <w:pStyle w:val="6"/>
              <w:spacing w:before="136" w:line="195" w:lineRule="auto"/>
              <w:ind w:left="238"/>
            </w:pPr>
            <w:r>
              <w:rPr>
                <w:b/>
                <w:bCs/>
                <w:spacing w:val="3"/>
              </w:rPr>
              <w:t>608.55</w:t>
            </w:r>
          </w:p>
        </w:tc>
        <w:tc>
          <w:tcPr>
            <w:tcW w:w="3175" w:type="dxa"/>
            <w:tcBorders>
              <w:right w:val="single" w:color="000000" w:sz="10" w:space="0"/>
            </w:tcBorders>
            <w:vAlign w:val="top"/>
          </w:tcPr>
          <w:p w14:paraId="6B876FDA">
            <w:pPr>
              <w:rPr>
                <w:rFonts w:ascii="Arial"/>
                <w:sz w:val="21"/>
              </w:rPr>
            </w:pPr>
          </w:p>
        </w:tc>
      </w:tr>
      <w:tr w14:paraId="74CAE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B0EB822">
            <w:pPr>
              <w:pStyle w:val="6"/>
              <w:spacing w:before="70" w:line="274" w:lineRule="exact"/>
              <w:ind w:left="272"/>
            </w:pPr>
            <w:r>
              <w:rPr>
                <w:position w:val="1"/>
              </w:rPr>
              <w:t>1</w:t>
            </w:r>
          </w:p>
        </w:tc>
        <w:tc>
          <w:tcPr>
            <w:tcW w:w="641" w:type="dxa"/>
            <w:vMerge w:val="restart"/>
            <w:tcBorders>
              <w:bottom w:val="nil"/>
            </w:tcBorders>
            <w:vAlign w:val="top"/>
          </w:tcPr>
          <w:p w14:paraId="309B9F04">
            <w:pPr>
              <w:spacing w:line="258" w:lineRule="auto"/>
              <w:rPr>
                <w:rFonts w:ascii="Arial"/>
                <w:sz w:val="21"/>
              </w:rPr>
            </w:pPr>
          </w:p>
          <w:p w14:paraId="03151FAF">
            <w:pPr>
              <w:spacing w:line="258" w:lineRule="auto"/>
              <w:rPr>
                <w:rFonts w:ascii="Arial"/>
                <w:sz w:val="21"/>
              </w:rPr>
            </w:pPr>
          </w:p>
          <w:p w14:paraId="56F66EE9">
            <w:pPr>
              <w:spacing w:line="258" w:lineRule="auto"/>
              <w:rPr>
                <w:rFonts w:ascii="Arial"/>
                <w:sz w:val="21"/>
              </w:rPr>
            </w:pPr>
          </w:p>
          <w:p w14:paraId="4C48E6FF">
            <w:pPr>
              <w:spacing w:line="259" w:lineRule="auto"/>
              <w:rPr>
                <w:rFonts w:ascii="Arial"/>
                <w:sz w:val="21"/>
              </w:rPr>
            </w:pPr>
          </w:p>
          <w:p w14:paraId="33E820DE">
            <w:pPr>
              <w:spacing w:line="259" w:lineRule="auto"/>
              <w:rPr>
                <w:rFonts w:ascii="Arial"/>
                <w:sz w:val="21"/>
              </w:rPr>
            </w:pPr>
          </w:p>
          <w:p w14:paraId="5FFCBFA2">
            <w:pPr>
              <w:spacing w:line="259" w:lineRule="auto"/>
              <w:rPr>
                <w:rFonts w:ascii="Arial"/>
                <w:sz w:val="21"/>
              </w:rPr>
            </w:pPr>
          </w:p>
          <w:p w14:paraId="0C8F2A9F">
            <w:pPr>
              <w:spacing w:before="65" w:line="231" w:lineRule="auto"/>
              <w:ind w:left="125"/>
              <w:rPr>
                <w:rFonts w:ascii="宋体" w:hAnsi="宋体" w:eastAsia="宋体" w:cs="宋体"/>
                <w:sz w:val="20"/>
                <w:szCs w:val="20"/>
              </w:rPr>
            </w:pPr>
            <w:r>
              <w:rPr>
                <w:rFonts w:ascii="宋体" w:hAnsi="宋体" w:eastAsia="宋体" w:cs="宋体"/>
                <w:spacing w:val="-6"/>
                <w:sz w:val="20"/>
                <w:szCs w:val="20"/>
              </w:rPr>
              <w:t>国道</w:t>
            </w:r>
          </w:p>
        </w:tc>
        <w:tc>
          <w:tcPr>
            <w:tcW w:w="771" w:type="dxa"/>
            <w:vAlign w:val="top"/>
          </w:tcPr>
          <w:p w14:paraId="69567AE5">
            <w:pPr>
              <w:pStyle w:val="6"/>
              <w:spacing w:before="70" w:line="274" w:lineRule="exact"/>
              <w:ind w:left="147"/>
            </w:pPr>
            <w:r>
              <w:rPr>
                <w:spacing w:val="3"/>
                <w:position w:val="2"/>
              </w:rPr>
              <w:t>G248</w:t>
            </w:r>
          </w:p>
        </w:tc>
        <w:tc>
          <w:tcPr>
            <w:tcW w:w="3274" w:type="dxa"/>
            <w:vAlign w:val="top"/>
          </w:tcPr>
          <w:p w14:paraId="375842D1">
            <w:pPr>
              <w:pStyle w:val="6"/>
              <w:spacing w:before="101" w:line="228" w:lineRule="auto"/>
              <w:ind w:left="970"/>
              <w:rPr>
                <w:rFonts w:ascii="宋体" w:hAnsi="宋体" w:eastAsia="宋体" w:cs="宋体"/>
              </w:rPr>
            </w:pPr>
            <w:r>
              <w:rPr>
                <w:rFonts w:ascii="宋体" w:hAnsi="宋体" w:eastAsia="宋体" w:cs="宋体"/>
                <w:spacing w:val="7"/>
              </w:rPr>
              <w:t>兰州</w:t>
            </w:r>
            <w:r>
              <w:rPr>
                <w:spacing w:val="7"/>
              </w:rPr>
              <w:t>-</w:t>
            </w:r>
            <w:r>
              <w:rPr>
                <w:rFonts w:ascii="宋体" w:hAnsi="宋体" w:eastAsia="宋体" w:cs="宋体"/>
                <w:spacing w:val="7"/>
              </w:rPr>
              <w:t>马关公路</w:t>
            </w:r>
          </w:p>
        </w:tc>
        <w:tc>
          <w:tcPr>
            <w:tcW w:w="3125" w:type="dxa"/>
            <w:vAlign w:val="top"/>
          </w:tcPr>
          <w:p w14:paraId="4472A58F">
            <w:pPr>
              <w:spacing w:before="101" w:line="229" w:lineRule="auto"/>
              <w:ind w:left="728"/>
              <w:rPr>
                <w:rFonts w:ascii="宋体" w:hAnsi="宋体" w:eastAsia="宋体" w:cs="宋体"/>
                <w:sz w:val="20"/>
                <w:szCs w:val="20"/>
              </w:rPr>
            </w:pPr>
            <w:r>
              <w:rPr>
                <w:rFonts w:ascii="宋体" w:hAnsi="宋体" w:eastAsia="宋体" w:cs="宋体"/>
                <w:spacing w:val="7"/>
                <w:sz w:val="20"/>
                <w:szCs w:val="20"/>
              </w:rPr>
              <w:t>小江大桥至炭棚段</w:t>
            </w:r>
          </w:p>
        </w:tc>
        <w:tc>
          <w:tcPr>
            <w:tcW w:w="2204" w:type="dxa"/>
            <w:vAlign w:val="top"/>
          </w:tcPr>
          <w:p w14:paraId="12898C7A">
            <w:pPr>
              <w:pStyle w:val="6"/>
              <w:spacing w:before="70" w:line="274" w:lineRule="exact"/>
              <w:ind w:left="308"/>
            </w:pPr>
            <w:r>
              <w:rPr>
                <w:rFonts w:ascii="宋体" w:hAnsi="宋体" w:eastAsia="宋体" w:cs="宋体"/>
                <w:spacing w:val="6"/>
                <w:position w:val="2"/>
              </w:rPr>
              <w:t>小江大桥</w:t>
            </w:r>
            <w:r>
              <w:rPr>
                <w:spacing w:val="6"/>
                <w:position w:val="2"/>
              </w:rPr>
              <w:t>(</w:t>
            </w:r>
            <w:r>
              <w:rPr>
                <w:rFonts w:ascii="宋体" w:hAnsi="宋体" w:eastAsia="宋体" w:cs="宋体"/>
                <w:spacing w:val="6"/>
                <w:position w:val="2"/>
              </w:rPr>
              <w:t>巧家界</w:t>
            </w:r>
            <w:r>
              <w:rPr>
                <w:spacing w:val="6"/>
                <w:position w:val="2"/>
              </w:rPr>
              <w:t>)</w:t>
            </w:r>
          </w:p>
        </w:tc>
        <w:tc>
          <w:tcPr>
            <w:tcW w:w="2066" w:type="dxa"/>
            <w:vAlign w:val="top"/>
          </w:tcPr>
          <w:p w14:paraId="738229EA">
            <w:pPr>
              <w:spacing w:before="101" w:line="228" w:lineRule="auto"/>
              <w:ind w:left="307"/>
              <w:rPr>
                <w:rFonts w:ascii="宋体" w:hAnsi="宋体" w:eastAsia="宋体" w:cs="宋体"/>
                <w:sz w:val="20"/>
                <w:szCs w:val="20"/>
              </w:rPr>
            </w:pPr>
            <w:r>
              <w:rPr>
                <w:rFonts w:ascii="宋体" w:hAnsi="宋体" w:eastAsia="宋体" w:cs="宋体"/>
                <w:spacing w:val="6"/>
                <w:sz w:val="20"/>
                <w:szCs w:val="20"/>
              </w:rPr>
              <w:t>炭棚（东川界）</w:t>
            </w:r>
          </w:p>
        </w:tc>
        <w:tc>
          <w:tcPr>
            <w:tcW w:w="920" w:type="dxa"/>
            <w:vAlign w:val="top"/>
          </w:tcPr>
          <w:p w14:paraId="2D562684">
            <w:pPr>
              <w:spacing w:before="101"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6F605F95">
            <w:pPr>
              <w:pStyle w:val="6"/>
              <w:spacing w:before="70" w:line="274" w:lineRule="exact"/>
              <w:ind w:left="45"/>
              <w:rPr>
                <w:rFonts w:ascii="宋体" w:hAnsi="宋体" w:eastAsia="宋体" w:cs="宋体"/>
              </w:rPr>
            </w:pPr>
            <w:r>
              <w:rPr>
                <w:rFonts w:ascii="宋体" w:hAnsi="宋体" w:eastAsia="宋体" w:cs="宋体"/>
                <w:spacing w:val="6"/>
                <w:position w:val="1"/>
              </w:rPr>
              <w:t>一级</w:t>
            </w:r>
            <w:r>
              <w:rPr>
                <w:spacing w:val="6"/>
                <w:position w:val="1"/>
              </w:rPr>
              <w:t>/</w:t>
            </w:r>
            <w:r>
              <w:rPr>
                <w:rFonts w:ascii="宋体" w:hAnsi="宋体" w:eastAsia="宋体" w:cs="宋体"/>
                <w:spacing w:val="6"/>
                <w:position w:val="1"/>
              </w:rPr>
              <w:t>二级</w:t>
            </w:r>
          </w:p>
        </w:tc>
        <w:tc>
          <w:tcPr>
            <w:tcW w:w="1071" w:type="dxa"/>
            <w:vAlign w:val="top"/>
          </w:tcPr>
          <w:p w14:paraId="3F9114BB">
            <w:pPr>
              <w:pStyle w:val="6"/>
              <w:spacing w:before="70" w:line="274" w:lineRule="exact"/>
              <w:ind w:left="223"/>
            </w:pPr>
            <w:r>
              <w:rPr>
                <w:spacing w:val="1"/>
                <w:position w:val="2"/>
              </w:rPr>
              <w:t>108.189</w:t>
            </w:r>
          </w:p>
        </w:tc>
        <w:tc>
          <w:tcPr>
            <w:tcW w:w="1113" w:type="dxa"/>
            <w:vAlign w:val="top"/>
          </w:tcPr>
          <w:p w14:paraId="05784B28">
            <w:pPr>
              <w:rPr>
                <w:rFonts w:ascii="Arial"/>
                <w:sz w:val="21"/>
              </w:rPr>
            </w:pPr>
          </w:p>
        </w:tc>
        <w:tc>
          <w:tcPr>
            <w:tcW w:w="1028" w:type="dxa"/>
            <w:vAlign w:val="top"/>
          </w:tcPr>
          <w:p w14:paraId="7D213B61">
            <w:pPr>
              <w:pStyle w:val="6"/>
              <w:spacing w:before="70" w:line="274" w:lineRule="exact"/>
              <w:ind w:left="293"/>
            </w:pPr>
            <w:r>
              <w:rPr>
                <w:spacing w:val="2"/>
                <w:position w:val="2"/>
              </w:rPr>
              <w:t>54.27</w:t>
            </w:r>
          </w:p>
        </w:tc>
        <w:tc>
          <w:tcPr>
            <w:tcW w:w="3175" w:type="dxa"/>
            <w:tcBorders>
              <w:right w:val="single" w:color="000000" w:sz="10" w:space="0"/>
            </w:tcBorders>
            <w:vAlign w:val="top"/>
          </w:tcPr>
          <w:p w14:paraId="35D9A8C7">
            <w:pPr>
              <w:rPr>
                <w:rFonts w:ascii="Arial"/>
                <w:sz w:val="21"/>
              </w:rPr>
            </w:pPr>
          </w:p>
        </w:tc>
      </w:tr>
      <w:tr w14:paraId="07C2E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7509BDA4">
            <w:pPr>
              <w:pStyle w:val="6"/>
              <w:spacing w:before="73" w:line="274" w:lineRule="exact"/>
              <w:ind w:left="252"/>
            </w:pPr>
            <w:r>
              <w:rPr>
                <w:position w:val="1"/>
              </w:rPr>
              <w:t>2</w:t>
            </w:r>
          </w:p>
        </w:tc>
        <w:tc>
          <w:tcPr>
            <w:tcW w:w="641" w:type="dxa"/>
            <w:vMerge w:val="continue"/>
            <w:tcBorders>
              <w:top w:val="nil"/>
              <w:bottom w:val="nil"/>
            </w:tcBorders>
            <w:vAlign w:val="top"/>
          </w:tcPr>
          <w:p w14:paraId="712BA3E2">
            <w:pPr>
              <w:rPr>
                <w:rFonts w:ascii="Arial"/>
                <w:sz w:val="21"/>
              </w:rPr>
            </w:pPr>
          </w:p>
        </w:tc>
        <w:tc>
          <w:tcPr>
            <w:tcW w:w="771" w:type="dxa"/>
            <w:vAlign w:val="top"/>
          </w:tcPr>
          <w:p w14:paraId="0123D615">
            <w:pPr>
              <w:pStyle w:val="6"/>
              <w:spacing w:before="73" w:line="274" w:lineRule="exact"/>
              <w:ind w:left="147"/>
            </w:pPr>
            <w:r>
              <w:rPr>
                <w:spacing w:val="3"/>
                <w:position w:val="2"/>
              </w:rPr>
              <w:t>G248</w:t>
            </w:r>
          </w:p>
        </w:tc>
        <w:tc>
          <w:tcPr>
            <w:tcW w:w="3274" w:type="dxa"/>
            <w:vAlign w:val="top"/>
          </w:tcPr>
          <w:p w14:paraId="0456759D">
            <w:pPr>
              <w:pStyle w:val="6"/>
              <w:spacing w:before="101" w:line="228" w:lineRule="auto"/>
              <w:ind w:left="970"/>
              <w:rPr>
                <w:rFonts w:ascii="宋体" w:hAnsi="宋体" w:eastAsia="宋体" w:cs="宋体"/>
              </w:rPr>
            </w:pPr>
            <w:r>
              <w:rPr>
                <w:rFonts w:ascii="宋体" w:hAnsi="宋体" w:eastAsia="宋体" w:cs="宋体"/>
                <w:spacing w:val="7"/>
              </w:rPr>
              <w:t>兰州</w:t>
            </w:r>
            <w:r>
              <w:rPr>
                <w:spacing w:val="7"/>
              </w:rPr>
              <w:t>-</w:t>
            </w:r>
            <w:r>
              <w:rPr>
                <w:rFonts w:ascii="宋体" w:hAnsi="宋体" w:eastAsia="宋体" w:cs="宋体"/>
                <w:spacing w:val="7"/>
              </w:rPr>
              <w:t>马关公路</w:t>
            </w:r>
          </w:p>
        </w:tc>
        <w:tc>
          <w:tcPr>
            <w:tcW w:w="3125" w:type="dxa"/>
            <w:vAlign w:val="top"/>
          </w:tcPr>
          <w:p w14:paraId="459354E2">
            <w:pPr>
              <w:pStyle w:val="6"/>
              <w:spacing w:before="73" w:line="274" w:lineRule="exact"/>
              <w:ind w:left="574"/>
              <w:rPr>
                <w:rFonts w:ascii="宋体" w:hAnsi="宋体" w:eastAsia="宋体" w:cs="宋体"/>
              </w:rPr>
            </w:pPr>
            <w:r>
              <w:rPr>
                <w:rFonts w:ascii="宋体" w:hAnsi="宋体" w:eastAsia="宋体" w:cs="宋体"/>
                <w:spacing w:val="5"/>
                <w:position w:val="2"/>
              </w:rPr>
              <w:t>曲靖</w:t>
            </w:r>
            <w:r>
              <w:rPr>
                <w:spacing w:val="5"/>
                <w:position w:val="2"/>
              </w:rPr>
              <w:t>(</w:t>
            </w:r>
            <w:r>
              <w:rPr>
                <w:rFonts w:ascii="宋体" w:hAnsi="宋体" w:eastAsia="宋体" w:cs="宋体"/>
                <w:spacing w:val="5"/>
                <w:position w:val="2"/>
              </w:rPr>
              <w:t>天生桥</w:t>
            </w:r>
            <w:r>
              <w:rPr>
                <w:spacing w:val="5"/>
                <w:position w:val="2"/>
              </w:rPr>
              <w:t>)</w:t>
            </w:r>
            <w:r>
              <w:rPr>
                <w:rFonts w:ascii="宋体" w:hAnsi="宋体" w:eastAsia="宋体" w:cs="宋体"/>
                <w:spacing w:val="5"/>
                <w:position w:val="2"/>
              </w:rPr>
              <w:t>至召夸段</w:t>
            </w:r>
          </w:p>
        </w:tc>
        <w:tc>
          <w:tcPr>
            <w:tcW w:w="2204" w:type="dxa"/>
            <w:vAlign w:val="top"/>
          </w:tcPr>
          <w:p w14:paraId="11DFBCF3">
            <w:pPr>
              <w:spacing w:before="102" w:line="229" w:lineRule="auto"/>
              <w:ind w:left="796"/>
              <w:rPr>
                <w:rFonts w:ascii="宋体" w:hAnsi="宋体" w:eastAsia="宋体" w:cs="宋体"/>
                <w:sz w:val="20"/>
                <w:szCs w:val="20"/>
              </w:rPr>
            </w:pPr>
            <w:r>
              <w:rPr>
                <w:rFonts w:ascii="宋体" w:hAnsi="宋体" w:eastAsia="宋体" w:cs="宋体"/>
                <w:spacing w:val="5"/>
                <w:sz w:val="20"/>
                <w:szCs w:val="20"/>
              </w:rPr>
              <w:t>天生桥</w:t>
            </w:r>
          </w:p>
        </w:tc>
        <w:tc>
          <w:tcPr>
            <w:tcW w:w="2066" w:type="dxa"/>
            <w:vAlign w:val="top"/>
          </w:tcPr>
          <w:p w14:paraId="33C2C585">
            <w:pPr>
              <w:pStyle w:val="6"/>
              <w:spacing w:before="73" w:line="274" w:lineRule="exact"/>
              <w:ind w:left="197"/>
            </w:pPr>
            <w:r>
              <w:rPr>
                <w:rFonts w:ascii="宋体" w:hAnsi="宋体" w:eastAsia="宋体" w:cs="宋体"/>
                <w:spacing w:val="4"/>
                <w:position w:val="2"/>
              </w:rPr>
              <w:t>陆良召夸</w:t>
            </w:r>
            <w:r>
              <w:rPr>
                <w:spacing w:val="4"/>
                <w:position w:val="2"/>
              </w:rPr>
              <w:t>(</w:t>
            </w:r>
            <w:r>
              <w:rPr>
                <w:rFonts w:ascii="宋体" w:hAnsi="宋体" w:eastAsia="宋体" w:cs="宋体"/>
                <w:spacing w:val="4"/>
                <w:position w:val="2"/>
              </w:rPr>
              <w:t>接</w:t>
            </w:r>
            <w:r>
              <w:rPr>
                <w:rFonts w:ascii="宋体" w:hAnsi="宋体" w:eastAsia="宋体" w:cs="宋体"/>
                <w:spacing w:val="-31"/>
                <w:position w:val="2"/>
              </w:rPr>
              <w:t xml:space="preserve"> </w:t>
            </w:r>
            <w:r>
              <w:rPr>
                <w:spacing w:val="4"/>
                <w:position w:val="2"/>
              </w:rPr>
              <w:t>G324)</w:t>
            </w:r>
          </w:p>
        </w:tc>
        <w:tc>
          <w:tcPr>
            <w:tcW w:w="920" w:type="dxa"/>
            <w:vAlign w:val="top"/>
          </w:tcPr>
          <w:p w14:paraId="7736B1F3">
            <w:pPr>
              <w:spacing w:before="102"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2D25E29D">
            <w:pPr>
              <w:spacing w:before="101"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657A136A">
            <w:pPr>
              <w:pStyle w:val="6"/>
              <w:spacing w:before="73" w:line="274" w:lineRule="exact"/>
              <w:ind w:left="274"/>
            </w:pPr>
            <w:r>
              <w:rPr>
                <w:position w:val="2"/>
              </w:rPr>
              <w:t>108.67</w:t>
            </w:r>
          </w:p>
        </w:tc>
        <w:tc>
          <w:tcPr>
            <w:tcW w:w="1113" w:type="dxa"/>
            <w:vAlign w:val="top"/>
          </w:tcPr>
          <w:p w14:paraId="080125CE">
            <w:pPr>
              <w:rPr>
                <w:rFonts w:ascii="Arial"/>
                <w:sz w:val="21"/>
              </w:rPr>
            </w:pPr>
          </w:p>
        </w:tc>
        <w:tc>
          <w:tcPr>
            <w:tcW w:w="1028" w:type="dxa"/>
            <w:vAlign w:val="top"/>
          </w:tcPr>
          <w:p w14:paraId="7D9B0B49">
            <w:pPr>
              <w:pStyle w:val="6"/>
              <w:spacing w:before="73" w:line="274" w:lineRule="exact"/>
              <w:ind w:left="286"/>
            </w:pPr>
            <w:r>
              <w:rPr>
                <w:spacing w:val="4"/>
                <w:position w:val="2"/>
              </w:rPr>
              <w:t>45.99</w:t>
            </w:r>
          </w:p>
        </w:tc>
        <w:tc>
          <w:tcPr>
            <w:tcW w:w="3175" w:type="dxa"/>
            <w:tcBorders>
              <w:right w:val="single" w:color="000000" w:sz="10" w:space="0"/>
            </w:tcBorders>
            <w:vAlign w:val="top"/>
          </w:tcPr>
          <w:p w14:paraId="4CC76E09">
            <w:pPr>
              <w:rPr>
                <w:rFonts w:ascii="Arial"/>
                <w:sz w:val="21"/>
              </w:rPr>
            </w:pPr>
          </w:p>
        </w:tc>
      </w:tr>
      <w:tr w14:paraId="0BED7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2657FA08">
            <w:pPr>
              <w:pStyle w:val="6"/>
              <w:spacing w:before="73" w:line="274" w:lineRule="exact"/>
              <w:ind w:left="256"/>
            </w:pPr>
            <w:r>
              <w:rPr>
                <w:position w:val="2"/>
              </w:rPr>
              <w:t>3</w:t>
            </w:r>
          </w:p>
        </w:tc>
        <w:tc>
          <w:tcPr>
            <w:tcW w:w="641" w:type="dxa"/>
            <w:vMerge w:val="continue"/>
            <w:tcBorders>
              <w:top w:val="nil"/>
              <w:bottom w:val="nil"/>
            </w:tcBorders>
            <w:vAlign w:val="top"/>
          </w:tcPr>
          <w:p w14:paraId="5CD653BE">
            <w:pPr>
              <w:rPr>
                <w:rFonts w:ascii="Arial"/>
                <w:sz w:val="21"/>
              </w:rPr>
            </w:pPr>
          </w:p>
        </w:tc>
        <w:tc>
          <w:tcPr>
            <w:tcW w:w="771" w:type="dxa"/>
            <w:vAlign w:val="top"/>
          </w:tcPr>
          <w:p w14:paraId="55C4A9DF">
            <w:pPr>
              <w:pStyle w:val="6"/>
              <w:spacing w:before="73" w:line="274" w:lineRule="exact"/>
              <w:ind w:left="147"/>
            </w:pPr>
            <w:r>
              <w:rPr>
                <w:spacing w:val="3"/>
                <w:position w:val="2"/>
              </w:rPr>
              <w:t>G248</w:t>
            </w:r>
          </w:p>
        </w:tc>
        <w:tc>
          <w:tcPr>
            <w:tcW w:w="3274" w:type="dxa"/>
            <w:vAlign w:val="top"/>
          </w:tcPr>
          <w:p w14:paraId="755B1167">
            <w:pPr>
              <w:pStyle w:val="6"/>
              <w:spacing w:before="101" w:line="228" w:lineRule="auto"/>
              <w:ind w:left="970"/>
              <w:rPr>
                <w:rFonts w:ascii="宋体" w:hAnsi="宋体" w:eastAsia="宋体" w:cs="宋体"/>
              </w:rPr>
            </w:pPr>
            <w:r>
              <w:rPr>
                <w:rFonts w:ascii="宋体" w:hAnsi="宋体" w:eastAsia="宋体" w:cs="宋体"/>
                <w:spacing w:val="7"/>
              </w:rPr>
              <w:t>兰州</w:t>
            </w:r>
            <w:r>
              <w:rPr>
                <w:spacing w:val="7"/>
              </w:rPr>
              <w:t>-</w:t>
            </w:r>
            <w:r>
              <w:rPr>
                <w:rFonts w:ascii="宋体" w:hAnsi="宋体" w:eastAsia="宋体" w:cs="宋体"/>
                <w:spacing w:val="7"/>
              </w:rPr>
              <w:t>马关公路</w:t>
            </w:r>
          </w:p>
        </w:tc>
        <w:tc>
          <w:tcPr>
            <w:tcW w:w="3125" w:type="dxa"/>
            <w:vAlign w:val="top"/>
          </w:tcPr>
          <w:p w14:paraId="355F8963">
            <w:pPr>
              <w:spacing w:before="101" w:line="228" w:lineRule="auto"/>
              <w:ind w:left="625"/>
              <w:rPr>
                <w:rFonts w:ascii="宋体" w:hAnsi="宋体" w:eastAsia="宋体" w:cs="宋体"/>
                <w:sz w:val="20"/>
                <w:szCs w:val="20"/>
              </w:rPr>
            </w:pPr>
            <w:r>
              <w:rPr>
                <w:rFonts w:ascii="宋体" w:hAnsi="宋体" w:eastAsia="宋体" w:cs="宋体"/>
                <w:spacing w:val="8"/>
                <w:sz w:val="20"/>
                <w:szCs w:val="20"/>
              </w:rPr>
              <w:t>召夸至板桥河水库段</w:t>
            </w:r>
          </w:p>
        </w:tc>
        <w:tc>
          <w:tcPr>
            <w:tcW w:w="2204" w:type="dxa"/>
            <w:vAlign w:val="top"/>
          </w:tcPr>
          <w:p w14:paraId="2D82D6D6">
            <w:pPr>
              <w:spacing w:before="102" w:line="228" w:lineRule="auto"/>
              <w:ind w:left="697"/>
              <w:rPr>
                <w:rFonts w:ascii="宋体" w:hAnsi="宋体" w:eastAsia="宋体" w:cs="宋体"/>
                <w:sz w:val="20"/>
                <w:szCs w:val="20"/>
              </w:rPr>
            </w:pPr>
            <w:r>
              <w:rPr>
                <w:rFonts w:ascii="宋体" w:hAnsi="宋体" w:eastAsia="宋体" w:cs="宋体"/>
                <w:spacing w:val="4"/>
                <w:sz w:val="20"/>
                <w:szCs w:val="20"/>
              </w:rPr>
              <w:t>陆良召夸</w:t>
            </w:r>
          </w:p>
        </w:tc>
        <w:tc>
          <w:tcPr>
            <w:tcW w:w="2066" w:type="dxa"/>
            <w:vAlign w:val="top"/>
          </w:tcPr>
          <w:p w14:paraId="019EA1ED">
            <w:pPr>
              <w:pStyle w:val="6"/>
              <w:spacing w:before="73" w:line="274" w:lineRule="exact"/>
              <w:ind w:left="132"/>
            </w:pPr>
            <w:r>
              <w:rPr>
                <w:rFonts w:ascii="宋体" w:hAnsi="宋体" w:eastAsia="宋体" w:cs="宋体"/>
                <w:spacing w:val="7"/>
                <w:position w:val="2"/>
              </w:rPr>
              <w:t>板桥河水库</w:t>
            </w:r>
            <w:r>
              <w:rPr>
                <w:spacing w:val="7"/>
                <w:position w:val="2"/>
              </w:rPr>
              <w:t>(</w:t>
            </w:r>
            <w:r>
              <w:rPr>
                <w:rFonts w:ascii="宋体" w:hAnsi="宋体" w:eastAsia="宋体" w:cs="宋体"/>
                <w:spacing w:val="7"/>
                <w:position w:val="2"/>
              </w:rPr>
              <w:t>泸西界</w:t>
            </w:r>
            <w:r>
              <w:rPr>
                <w:spacing w:val="7"/>
                <w:position w:val="2"/>
              </w:rPr>
              <w:t>)</w:t>
            </w:r>
          </w:p>
        </w:tc>
        <w:tc>
          <w:tcPr>
            <w:tcW w:w="920" w:type="dxa"/>
            <w:vAlign w:val="top"/>
          </w:tcPr>
          <w:p w14:paraId="0BAF21F2">
            <w:pPr>
              <w:spacing w:before="101"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3159F147">
            <w:pPr>
              <w:spacing w:before="101"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6A400B4D">
            <w:pPr>
              <w:pStyle w:val="6"/>
              <w:spacing w:before="73" w:line="274" w:lineRule="exact"/>
              <w:ind w:left="458"/>
            </w:pPr>
            <w:r>
              <w:rPr>
                <w:spacing w:val="-8"/>
                <w:position w:val="2"/>
              </w:rPr>
              <w:t>18</w:t>
            </w:r>
          </w:p>
        </w:tc>
        <w:tc>
          <w:tcPr>
            <w:tcW w:w="1113" w:type="dxa"/>
            <w:vAlign w:val="top"/>
          </w:tcPr>
          <w:p w14:paraId="5503AF19">
            <w:pPr>
              <w:rPr>
                <w:rFonts w:ascii="Arial"/>
                <w:sz w:val="21"/>
              </w:rPr>
            </w:pPr>
          </w:p>
        </w:tc>
        <w:tc>
          <w:tcPr>
            <w:tcW w:w="1028" w:type="dxa"/>
            <w:vAlign w:val="top"/>
          </w:tcPr>
          <w:p w14:paraId="4355787D">
            <w:pPr>
              <w:pStyle w:val="6"/>
              <w:spacing w:before="73" w:line="274" w:lineRule="exact"/>
              <w:ind w:left="344"/>
            </w:pPr>
            <w:r>
              <w:rPr>
                <w:spacing w:val="2"/>
                <w:position w:val="2"/>
              </w:rPr>
              <w:t>6.01</w:t>
            </w:r>
          </w:p>
        </w:tc>
        <w:tc>
          <w:tcPr>
            <w:tcW w:w="3175" w:type="dxa"/>
            <w:tcBorders>
              <w:right w:val="single" w:color="000000" w:sz="10" w:space="0"/>
            </w:tcBorders>
            <w:vAlign w:val="top"/>
          </w:tcPr>
          <w:p w14:paraId="4761321D">
            <w:pPr>
              <w:rPr>
                <w:rFonts w:ascii="Arial"/>
                <w:sz w:val="21"/>
              </w:rPr>
            </w:pPr>
          </w:p>
        </w:tc>
      </w:tr>
      <w:tr w14:paraId="766E5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5BC9FF9">
            <w:pPr>
              <w:pStyle w:val="6"/>
              <w:spacing w:before="73" w:line="275" w:lineRule="exact"/>
              <w:ind w:left="251"/>
            </w:pPr>
            <w:r>
              <w:rPr>
                <w:spacing w:val="1"/>
                <w:position w:val="1"/>
              </w:rPr>
              <w:t>4</w:t>
            </w:r>
          </w:p>
        </w:tc>
        <w:tc>
          <w:tcPr>
            <w:tcW w:w="641" w:type="dxa"/>
            <w:vMerge w:val="continue"/>
            <w:tcBorders>
              <w:top w:val="nil"/>
              <w:bottom w:val="nil"/>
            </w:tcBorders>
            <w:vAlign w:val="top"/>
          </w:tcPr>
          <w:p w14:paraId="523E93F9">
            <w:pPr>
              <w:rPr>
                <w:rFonts w:ascii="Arial"/>
                <w:sz w:val="21"/>
              </w:rPr>
            </w:pPr>
          </w:p>
        </w:tc>
        <w:tc>
          <w:tcPr>
            <w:tcW w:w="771" w:type="dxa"/>
            <w:vAlign w:val="top"/>
          </w:tcPr>
          <w:p w14:paraId="11A1EA07">
            <w:pPr>
              <w:pStyle w:val="6"/>
              <w:spacing w:before="73" w:line="275" w:lineRule="exact"/>
              <w:ind w:left="147"/>
            </w:pPr>
            <w:r>
              <w:rPr>
                <w:spacing w:val="3"/>
                <w:position w:val="2"/>
              </w:rPr>
              <w:t>G320</w:t>
            </w:r>
          </w:p>
        </w:tc>
        <w:tc>
          <w:tcPr>
            <w:tcW w:w="3274" w:type="dxa"/>
            <w:vAlign w:val="top"/>
          </w:tcPr>
          <w:p w14:paraId="224C7FD0">
            <w:pPr>
              <w:pStyle w:val="6"/>
              <w:spacing w:before="102" w:line="228" w:lineRule="auto"/>
              <w:ind w:left="972"/>
              <w:rPr>
                <w:rFonts w:ascii="宋体" w:hAnsi="宋体" w:eastAsia="宋体" w:cs="宋体"/>
              </w:rPr>
            </w:pPr>
            <w:r>
              <w:rPr>
                <w:rFonts w:ascii="宋体" w:hAnsi="宋体" w:eastAsia="宋体" w:cs="宋体"/>
                <w:spacing w:val="6"/>
              </w:rPr>
              <w:t>上海</w:t>
            </w:r>
            <w:r>
              <w:rPr>
                <w:spacing w:val="6"/>
              </w:rPr>
              <w:t>-</w:t>
            </w:r>
            <w:r>
              <w:rPr>
                <w:rFonts w:ascii="宋体" w:hAnsi="宋体" w:eastAsia="宋体" w:cs="宋体"/>
                <w:spacing w:val="6"/>
              </w:rPr>
              <w:t>瑞丽公路</w:t>
            </w:r>
          </w:p>
        </w:tc>
        <w:tc>
          <w:tcPr>
            <w:tcW w:w="3125" w:type="dxa"/>
            <w:vAlign w:val="top"/>
          </w:tcPr>
          <w:p w14:paraId="64E225AD">
            <w:pPr>
              <w:spacing w:before="101" w:line="228" w:lineRule="auto"/>
              <w:ind w:left="408"/>
              <w:rPr>
                <w:rFonts w:ascii="宋体" w:hAnsi="宋体" w:eastAsia="宋体" w:cs="宋体"/>
                <w:sz w:val="20"/>
                <w:szCs w:val="20"/>
              </w:rPr>
            </w:pPr>
            <w:r>
              <w:rPr>
                <w:rFonts w:ascii="宋体" w:hAnsi="宋体" w:eastAsia="宋体" w:cs="宋体"/>
                <w:spacing w:val="9"/>
                <w:sz w:val="20"/>
                <w:szCs w:val="20"/>
              </w:rPr>
              <w:t>胜境关至下三支龙村东段</w:t>
            </w:r>
          </w:p>
        </w:tc>
        <w:tc>
          <w:tcPr>
            <w:tcW w:w="2204" w:type="dxa"/>
            <w:vAlign w:val="top"/>
          </w:tcPr>
          <w:p w14:paraId="267C56EA">
            <w:pPr>
              <w:pStyle w:val="6"/>
              <w:spacing w:before="73" w:line="275" w:lineRule="exact"/>
              <w:ind w:left="519"/>
            </w:pPr>
            <w:r>
              <w:rPr>
                <w:rFonts w:ascii="宋体" w:hAnsi="宋体" w:eastAsia="宋体" w:cs="宋体"/>
                <w:spacing w:val="5"/>
                <w:position w:val="2"/>
              </w:rPr>
              <w:t>富源</w:t>
            </w:r>
            <w:r>
              <w:rPr>
                <w:spacing w:val="5"/>
                <w:position w:val="2"/>
              </w:rPr>
              <w:t>(</w:t>
            </w:r>
            <w:r>
              <w:rPr>
                <w:rFonts w:ascii="宋体" w:hAnsi="宋体" w:eastAsia="宋体" w:cs="宋体"/>
                <w:spacing w:val="5"/>
                <w:position w:val="2"/>
              </w:rPr>
              <w:t>胜境关</w:t>
            </w:r>
            <w:r>
              <w:rPr>
                <w:spacing w:val="5"/>
                <w:position w:val="2"/>
              </w:rPr>
              <w:t>)</w:t>
            </w:r>
          </w:p>
        </w:tc>
        <w:tc>
          <w:tcPr>
            <w:tcW w:w="2066" w:type="dxa"/>
            <w:vAlign w:val="top"/>
          </w:tcPr>
          <w:p w14:paraId="3EFC3825">
            <w:pPr>
              <w:pStyle w:val="6"/>
              <w:spacing w:before="73" w:line="275" w:lineRule="exact"/>
              <w:ind w:left="243"/>
            </w:pPr>
            <w:r>
              <w:rPr>
                <w:rFonts w:ascii="宋体" w:hAnsi="宋体" w:eastAsia="宋体" w:cs="宋体"/>
                <w:spacing w:val="6"/>
                <w:position w:val="2"/>
              </w:rPr>
              <w:t>马龙</w:t>
            </w:r>
            <w:r>
              <w:rPr>
                <w:spacing w:val="6"/>
                <w:position w:val="2"/>
              </w:rPr>
              <w:t>(</w:t>
            </w:r>
            <w:r>
              <w:rPr>
                <w:rFonts w:ascii="宋体" w:hAnsi="宋体" w:eastAsia="宋体" w:cs="宋体"/>
                <w:spacing w:val="6"/>
                <w:position w:val="2"/>
              </w:rPr>
              <w:t>下三支龙村</w:t>
            </w:r>
            <w:r>
              <w:rPr>
                <w:spacing w:val="6"/>
                <w:position w:val="2"/>
              </w:rPr>
              <w:t>)</w:t>
            </w:r>
          </w:p>
        </w:tc>
        <w:tc>
          <w:tcPr>
            <w:tcW w:w="920" w:type="dxa"/>
            <w:vAlign w:val="top"/>
          </w:tcPr>
          <w:p w14:paraId="1E0F7FDC">
            <w:pPr>
              <w:spacing w:before="102"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10604BA2">
            <w:pPr>
              <w:spacing w:before="101"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7003D63A">
            <w:pPr>
              <w:pStyle w:val="6"/>
              <w:spacing w:before="73" w:line="275" w:lineRule="exact"/>
              <w:ind w:left="326"/>
            </w:pPr>
            <w:r>
              <w:rPr>
                <w:spacing w:val="-1"/>
                <w:position w:val="2"/>
              </w:rPr>
              <w:t>135.7</w:t>
            </w:r>
          </w:p>
        </w:tc>
        <w:tc>
          <w:tcPr>
            <w:tcW w:w="1113" w:type="dxa"/>
            <w:vAlign w:val="top"/>
          </w:tcPr>
          <w:p w14:paraId="3FF1E58A">
            <w:pPr>
              <w:rPr>
                <w:rFonts w:ascii="Arial"/>
                <w:sz w:val="21"/>
              </w:rPr>
            </w:pPr>
          </w:p>
        </w:tc>
        <w:tc>
          <w:tcPr>
            <w:tcW w:w="1028" w:type="dxa"/>
            <w:vAlign w:val="top"/>
          </w:tcPr>
          <w:p w14:paraId="75774434">
            <w:pPr>
              <w:pStyle w:val="6"/>
              <w:spacing w:before="73" w:line="275" w:lineRule="exact"/>
              <w:ind w:left="293"/>
            </w:pPr>
            <w:r>
              <w:rPr>
                <w:spacing w:val="2"/>
                <w:position w:val="2"/>
              </w:rPr>
              <w:t>57.18</w:t>
            </w:r>
          </w:p>
        </w:tc>
        <w:tc>
          <w:tcPr>
            <w:tcW w:w="3175" w:type="dxa"/>
            <w:tcBorders>
              <w:right w:val="single" w:color="000000" w:sz="10" w:space="0"/>
            </w:tcBorders>
            <w:vAlign w:val="top"/>
          </w:tcPr>
          <w:p w14:paraId="795AF8F2">
            <w:pPr>
              <w:rPr>
                <w:rFonts w:ascii="Arial"/>
                <w:sz w:val="21"/>
              </w:rPr>
            </w:pPr>
          </w:p>
        </w:tc>
      </w:tr>
      <w:tr w14:paraId="36AF8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E065B0E">
            <w:pPr>
              <w:pStyle w:val="6"/>
              <w:spacing w:before="144" w:line="192" w:lineRule="auto"/>
              <w:ind w:left="258"/>
            </w:pPr>
            <w:r>
              <w:t>5</w:t>
            </w:r>
          </w:p>
        </w:tc>
        <w:tc>
          <w:tcPr>
            <w:tcW w:w="641" w:type="dxa"/>
            <w:vMerge w:val="continue"/>
            <w:tcBorders>
              <w:top w:val="nil"/>
              <w:bottom w:val="nil"/>
            </w:tcBorders>
            <w:vAlign w:val="top"/>
          </w:tcPr>
          <w:p w14:paraId="72C2136F">
            <w:pPr>
              <w:rPr>
                <w:rFonts w:ascii="Arial"/>
                <w:sz w:val="21"/>
              </w:rPr>
            </w:pPr>
          </w:p>
        </w:tc>
        <w:tc>
          <w:tcPr>
            <w:tcW w:w="771" w:type="dxa"/>
            <w:vAlign w:val="top"/>
          </w:tcPr>
          <w:p w14:paraId="43A05537">
            <w:pPr>
              <w:pStyle w:val="6"/>
              <w:spacing w:before="74" w:line="274" w:lineRule="exact"/>
              <w:ind w:left="147"/>
            </w:pPr>
            <w:r>
              <w:rPr>
                <w:spacing w:val="3"/>
                <w:position w:val="2"/>
              </w:rPr>
              <w:t>G324</w:t>
            </w:r>
          </w:p>
        </w:tc>
        <w:tc>
          <w:tcPr>
            <w:tcW w:w="3274" w:type="dxa"/>
            <w:vAlign w:val="top"/>
          </w:tcPr>
          <w:p w14:paraId="7EDE43BF">
            <w:pPr>
              <w:spacing w:before="104" w:line="228" w:lineRule="auto"/>
              <w:ind w:left="950"/>
              <w:rPr>
                <w:rFonts w:ascii="宋体" w:hAnsi="宋体" w:eastAsia="宋体" w:cs="宋体"/>
                <w:sz w:val="20"/>
                <w:szCs w:val="20"/>
              </w:rPr>
            </w:pPr>
            <w:r>
              <w:rPr>
                <w:rFonts w:ascii="宋体" w:hAnsi="宋体" w:eastAsia="宋体" w:cs="宋体"/>
                <w:spacing w:val="8"/>
                <w:sz w:val="20"/>
                <w:szCs w:val="20"/>
              </w:rPr>
              <w:t>福州-昆明公路</w:t>
            </w:r>
          </w:p>
        </w:tc>
        <w:tc>
          <w:tcPr>
            <w:tcW w:w="3125" w:type="dxa"/>
            <w:vAlign w:val="top"/>
          </w:tcPr>
          <w:p w14:paraId="35AB540D">
            <w:pPr>
              <w:spacing w:before="105" w:line="228" w:lineRule="auto"/>
              <w:ind w:left="733"/>
              <w:rPr>
                <w:rFonts w:ascii="宋体" w:hAnsi="宋体" w:eastAsia="宋体" w:cs="宋体"/>
                <w:sz w:val="20"/>
                <w:szCs w:val="20"/>
              </w:rPr>
            </w:pPr>
            <w:r>
              <w:rPr>
                <w:rFonts w:ascii="宋体" w:hAnsi="宋体" w:eastAsia="宋体" w:cs="宋体"/>
                <w:spacing w:val="7"/>
                <w:sz w:val="20"/>
                <w:szCs w:val="20"/>
              </w:rPr>
              <w:t>陆良召夸至西桥段</w:t>
            </w:r>
          </w:p>
        </w:tc>
        <w:tc>
          <w:tcPr>
            <w:tcW w:w="2204" w:type="dxa"/>
            <w:vAlign w:val="top"/>
          </w:tcPr>
          <w:p w14:paraId="58FE95EA">
            <w:pPr>
              <w:spacing w:before="105" w:line="228" w:lineRule="auto"/>
              <w:ind w:left="903"/>
              <w:rPr>
                <w:rFonts w:ascii="宋体" w:hAnsi="宋体" w:eastAsia="宋体" w:cs="宋体"/>
                <w:sz w:val="20"/>
                <w:szCs w:val="20"/>
              </w:rPr>
            </w:pPr>
            <w:r>
              <w:rPr>
                <w:rFonts w:ascii="宋体" w:hAnsi="宋体" w:eastAsia="宋体" w:cs="宋体"/>
                <w:sz w:val="20"/>
                <w:szCs w:val="20"/>
              </w:rPr>
              <w:t>召夸</w:t>
            </w:r>
          </w:p>
        </w:tc>
        <w:tc>
          <w:tcPr>
            <w:tcW w:w="2066" w:type="dxa"/>
            <w:vAlign w:val="top"/>
          </w:tcPr>
          <w:p w14:paraId="68167B82">
            <w:pPr>
              <w:spacing w:before="105" w:line="229" w:lineRule="auto"/>
              <w:ind w:left="834"/>
              <w:rPr>
                <w:rFonts w:ascii="宋体" w:hAnsi="宋体" w:eastAsia="宋体" w:cs="宋体"/>
                <w:sz w:val="20"/>
                <w:szCs w:val="20"/>
              </w:rPr>
            </w:pPr>
            <w:r>
              <w:rPr>
                <w:rFonts w:ascii="宋体" w:hAnsi="宋体" w:eastAsia="宋体" w:cs="宋体"/>
                <w:spacing w:val="2"/>
                <w:sz w:val="20"/>
                <w:szCs w:val="20"/>
              </w:rPr>
              <w:t>西桥</w:t>
            </w:r>
          </w:p>
        </w:tc>
        <w:tc>
          <w:tcPr>
            <w:tcW w:w="920" w:type="dxa"/>
            <w:vAlign w:val="top"/>
          </w:tcPr>
          <w:p w14:paraId="5CE7D641">
            <w:pPr>
              <w:spacing w:before="105"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7EB07B71">
            <w:pPr>
              <w:spacing w:before="104"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5F694880">
            <w:pPr>
              <w:pStyle w:val="6"/>
              <w:spacing w:before="74" w:line="274" w:lineRule="exact"/>
              <w:ind w:left="253"/>
            </w:pPr>
            <w:r>
              <w:rPr>
                <w:spacing w:val="3"/>
                <w:position w:val="2"/>
              </w:rPr>
              <w:t>21.968</w:t>
            </w:r>
          </w:p>
        </w:tc>
        <w:tc>
          <w:tcPr>
            <w:tcW w:w="1113" w:type="dxa"/>
            <w:vAlign w:val="top"/>
          </w:tcPr>
          <w:p w14:paraId="1C5142E9">
            <w:pPr>
              <w:rPr>
                <w:rFonts w:ascii="Arial"/>
                <w:sz w:val="21"/>
              </w:rPr>
            </w:pPr>
          </w:p>
        </w:tc>
        <w:tc>
          <w:tcPr>
            <w:tcW w:w="1028" w:type="dxa"/>
            <w:vAlign w:val="top"/>
          </w:tcPr>
          <w:p w14:paraId="6D2B6296">
            <w:pPr>
              <w:pStyle w:val="6"/>
              <w:spacing w:before="74" w:line="274" w:lineRule="exact"/>
              <w:ind w:left="344"/>
            </w:pPr>
            <w:r>
              <w:rPr>
                <w:spacing w:val="2"/>
                <w:position w:val="2"/>
              </w:rPr>
              <w:t>9.10</w:t>
            </w:r>
          </w:p>
        </w:tc>
        <w:tc>
          <w:tcPr>
            <w:tcW w:w="3175" w:type="dxa"/>
            <w:tcBorders>
              <w:right w:val="single" w:color="000000" w:sz="10" w:space="0"/>
            </w:tcBorders>
            <w:vAlign w:val="top"/>
          </w:tcPr>
          <w:p w14:paraId="154EC510">
            <w:pPr>
              <w:rPr>
                <w:rFonts w:ascii="Arial"/>
                <w:sz w:val="21"/>
              </w:rPr>
            </w:pPr>
          </w:p>
        </w:tc>
      </w:tr>
      <w:tr w14:paraId="1DE9E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26670ED3">
            <w:pPr>
              <w:pStyle w:val="6"/>
              <w:spacing w:before="75" w:line="274" w:lineRule="exact"/>
              <w:ind w:left="257"/>
            </w:pPr>
            <w:r>
              <w:rPr>
                <w:position w:val="2"/>
              </w:rPr>
              <w:t>6</w:t>
            </w:r>
          </w:p>
        </w:tc>
        <w:tc>
          <w:tcPr>
            <w:tcW w:w="641" w:type="dxa"/>
            <w:vMerge w:val="continue"/>
            <w:tcBorders>
              <w:top w:val="nil"/>
              <w:bottom w:val="nil"/>
            </w:tcBorders>
            <w:vAlign w:val="top"/>
          </w:tcPr>
          <w:p w14:paraId="31A5CF4C">
            <w:pPr>
              <w:rPr>
                <w:rFonts w:ascii="Arial"/>
                <w:sz w:val="21"/>
              </w:rPr>
            </w:pPr>
          </w:p>
        </w:tc>
        <w:tc>
          <w:tcPr>
            <w:tcW w:w="771" w:type="dxa"/>
            <w:vAlign w:val="top"/>
          </w:tcPr>
          <w:p w14:paraId="050E5601">
            <w:pPr>
              <w:pStyle w:val="6"/>
              <w:spacing w:before="75" w:line="274" w:lineRule="exact"/>
              <w:ind w:left="147"/>
            </w:pPr>
            <w:r>
              <w:rPr>
                <w:spacing w:val="3"/>
                <w:position w:val="2"/>
              </w:rPr>
              <w:t>G324</w:t>
            </w:r>
          </w:p>
        </w:tc>
        <w:tc>
          <w:tcPr>
            <w:tcW w:w="3274" w:type="dxa"/>
            <w:vAlign w:val="top"/>
          </w:tcPr>
          <w:p w14:paraId="3ED6B4B8">
            <w:pPr>
              <w:pStyle w:val="6"/>
              <w:spacing w:before="105" w:line="228" w:lineRule="auto"/>
              <w:ind w:left="969"/>
              <w:rPr>
                <w:rFonts w:ascii="宋体" w:hAnsi="宋体" w:eastAsia="宋体" w:cs="宋体"/>
              </w:rPr>
            </w:pPr>
            <w:r>
              <w:rPr>
                <w:rFonts w:ascii="宋体" w:hAnsi="宋体" w:eastAsia="宋体" w:cs="宋体"/>
                <w:spacing w:val="7"/>
              </w:rPr>
              <w:t>福州</w:t>
            </w:r>
            <w:r>
              <w:rPr>
                <w:spacing w:val="7"/>
              </w:rPr>
              <w:t>-</w:t>
            </w:r>
            <w:r>
              <w:rPr>
                <w:rFonts w:ascii="宋体" w:hAnsi="宋体" w:eastAsia="宋体" w:cs="宋体"/>
                <w:spacing w:val="7"/>
              </w:rPr>
              <w:t>昆明公路</w:t>
            </w:r>
          </w:p>
        </w:tc>
        <w:tc>
          <w:tcPr>
            <w:tcW w:w="3125" w:type="dxa"/>
            <w:vAlign w:val="top"/>
          </w:tcPr>
          <w:p w14:paraId="7865E379">
            <w:pPr>
              <w:pStyle w:val="6"/>
              <w:spacing w:before="75" w:line="274" w:lineRule="exact"/>
              <w:ind w:left="349"/>
              <w:rPr>
                <w:rFonts w:ascii="宋体" w:hAnsi="宋体" w:eastAsia="宋体" w:cs="宋体"/>
              </w:rPr>
            </w:pPr>
            <w:r>
              <w:rPr>
                <w:rFonts w:ascii="宋体" w:hAnsi="宋体" w:eastAsia="宋体" w:cs="宋体"/>
                <w:spacing w:val="7"/>
                <w:position w:val="2"/>
              </w:rPr>
              <w:t>陆良召夸至石林</w:t>
            </w:r>
            <w:r>
              <w:rPr>
                <w:spacing w:val="7"/>
                <w:position w:val="2"/>
              </w:rPr>
              <w:t>(</w:t>
            </w:r>
            <w:r>
              <w:rPr>
                <w:rFonts w:ascii="宋体" w:hAnsi="宋体" w:eastAsia="宋体" w:cs="宋体"/>
                <w:spacing w:val="7"/>
                <w:position w:val="2"/>
              </w:rPr>
              <w:t>老木凹</w:t>
            </w:r>
            <w:r>
              <w:rPr>
                <w:spacing w:val="7"/>
                <w:position w:val="2"/>
              </w:rPr>
              <w:t>)</w:t>
            </w:r>
            <w:r>
              <w:rPr>
                <w:rFonts w:ascii="宋体" w:hAnsi="宋体" w:eastAsia="宋体" w:cs="宋体"/>
                <w:spacing w:val="7"/>
                <w:position w:val="2"/>
              </w:rPr>
              <w:t>段</w:t>
            </w:r>
          </w:p>
        </w:tc>
        <w:tc>
          <w:tcPr>
            <w:tcW w:w="2204" w:type="dxa"/>
            <w:vAlign w:val="top"/>
          </w:tcPr>
          <w:p w14:paraId="038EE8E8">
            <w:pPr>
              <w:spacing w:before="106" w:line="228" w:lineRule="auto"/>
              <w:ind w:left="903"/>
              <w:rPr>
                <w:rFonts w:ascii="宋体" w:hAnsi="宋体" w:eastAsia="宋体" w:cs="宋体"/>
                <w:sz w:val="20"/>
                <w:szCs w:val="20"/>
              </w:rPr>
            </w:pPr>
            <w:r>
              <w:rPr>
                <w:rFonts w:ascii="宋体" w:hAnsi="宋体" w:eastAsia="宋体" w:cs="宋体"/>
                <w:sz w:val="20"/>
                <w:szCs w:val="20"/>
              </w:rPr>
              <w:t>召夸</w:t>
            </w:r>
          </w:p>
        </w:tc>
        <w:tc>
          <w:tcPr>
            <w:tcW w:w="2066" w:type="dxa"/>
            <w:vAlign w:val="top"/>
          </w:tcPr>
          <w:p w14:paraId="284D2493">
            <w:pPr>
              <w:spacing w:before="106" w:line="229" w:lineRule="auto"/>
              <w:ind w:left="727"/>
              <w:rPr>
                <w:rFonts w:ascii="宋体" w:hAnsi="宋体" w:eastAsia="宋体" w:cs="宋体"/>
                <w:sz w:val="20"/>
                <w:szCs w:val="20"/>
              </w:rPr>
            </w:pPr>
            <w:r>
              <w:rPr>
                <w:rFonts w:ascii="宋体" w:hAnsi="宋体" w:eastAsia="宋体" w:cs="宋体"/>
                <w:spacing w:val="5"/>
                <w:sz w:val="20"/>
                <w:szCs w:val="20"/>
              </w:rPr>
              <w:t>老木凹</w:t>
            </w:r>
          </w:p>
        </w:tc>
        <w:tc>
          <w:tcPr>
            <w:tcW w:w="920" w:type="dxa"/>
            <w:vAlign w:val="top"/>
          </w:tcPr>
          <w:p w14:paraId="2F2B9BF9">
            <w:pPr>
              <w:spacing w:before="106"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5F9FEAD3">
            <w:pPr>
              <w:spacing w:before="105"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3DF7B18F">
            <w:pPr>
              <w:pStyle w:val="6"/>
              <w:spacing w:before="75" w:line="274" w:lineRule="exact"/>
              <w:ind w:left="274"/>
            </w:pPr>
            <w:r>
              <w:rPr>
                <w:position w:val="2"/>
              </w:rPr>
              <w:t>11.941</w:t>
            </w:r>
          </w:p>
        </w:tc>
        <w:tc>
          <w:tcPr>
            <w:tcW w:w="1113" w:type="dxa"/>
            <w:vAlign w:val="top"/>
          </w:tcPr>
          <w:p w14:paraId="78403156">
            <w:pPr>
              <w:rPr>
                <w:rFonts w:ascii="Arial"/>
                <w:sz w:val="21"/>
              </w:rPr>
            </w:pPr>
          </w:p>
        </w:tc>
        <w:tc>
          <w:tcPr>
            <w:tcW w:w="1028" w:type="dxa"/>
            <w:vAlign w:val="top"/>
          </w:tcPr>
          <w:p w14:paraId="600BAF5F">
            <w:pPr>
              <w:pStyle w:val="6"/>
              <w:spacing w:before="75" w:line="274" w:lineRule="exact"/>
              <w:ind w:left="339"/>
            </w:pPr>
            <w:r>
              <w:rPr>
                <w:spacing w:val="3"/>
                <w:position w:val="2"/>
              </w:rPr>
              <w:t>4.91</w:t>
            </w:r>
          </w:p>
        </w:tc>
        <w:tc>
          <w:tcPr>
            <w:tcW w:w="3175" w:type="dxa"/>
            <w:tcBorders>
              <w:right w:val="single" w:color="000000" w:sz="10" w:space="0"/>
            </w:tcBorders>
            <w:vAlign w:val="top"/>
          </w:tcPr>
          <w:p w14:paraId="29F4FF91">
            <w:pPr>
              <w:rPr>
                <w:rFonts w:ascii="Arial"/>
                <w:sz w:val="21"/>
              </w:rPr>
            </w:pPr>
          </w:p>
        </w:tc>
      </w:tr>
      <w:tr w14:paraId="1B5A7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47705C12">
            <w:pPr>
              <w:pStyle w:val="6"/>
              <w:spacing w:before="289" w:line="192" w:lineRule="auto"/>
              <w:ind w:left="255"/>
            </w:pPr>
            <w:r>
              <w:t>7</w:t>
            </w:r>
          </w:p>
        </w:tc>
        <w:tc>
          <w:tcPr>
            <w:tcW w:w="641" w:type="dxa"/>
            <w:vMerge w:val="continue"/>
            <w:tcBorders>
              <w:top w:val="nil"/>
              <w:bottom w:val="nil"/>
            </w:tcBorders>
            <w:vAlign w:val="top"/>
          </w:tcPr>
          <w:p w14:paraId="3BE0999E">
            <w:pPr>
              <w:rPr>
                <w:rFonts w:ascii="Arial"/>
                <w:sz w:val="21"/>
              </w:rPr>
            </w:pPr>
          </w:p>
        </w:tc>
        <w:tc>
          <w:tcPr>
            <w:tcW w:w="771" w:type="dxa"/>
            <w:vAlign w:val="top"/>
          </w:tcPr>
          <w:p w14:paraId="07048870">
            <w:pPr>
              <w:pStyle w:val="6"/>
              <w:spacing w:before="219" w:line="274" w:lineRule="exact"/>
              <w:ind w:left="147"/>
            </w:pPr>
            <w:r>
              <w:rPr>
                <w:spacing w:val="3"/>
                <w:position w:val="2"/>
              </w:rPr>
              <w:t>G357</w:t>
            </w:r>
          </w:p>
        </w:tc>
        <w:tc>
          <w:tcPr>
            <w:tcW w:w="3274" w:type="dxa"/>
            <w:vAlign w:val="top"/>
          </w:tcPr>
          <w:p w14:paraId="2D8DB73A">
            <w:pPr>
              <w:pStyle w:val="6"/>
              <w:spacing w:before="250" w:line="228" w:lineRule="auto"/>
              <w:ind w:left="977"/>
              <w:rPr>
                <w:rFonts w:ascii="宋体" w:hAnsi="宋体" w:eastAsia="宋体" w:cs="宋体"/>
              </w:rPr>
            </w:pPr>
            <w:r>
              <w:rPr>
                <w:rFonts w:ascii="宋体" w:hAnsi="宋体" w:eastAsia="宋体" w:cs="宋体"/>
                <w:spacing w:val="6"/>
              </w:rPr>
              <w:t>东山</w:t>
            </w:r>
            <w:r>
              <w:rPr>
                <w:spacing w:val="6"/>
              </w:rPr>
              <w:t>-</w:t>
            </w:r>
            <w:r>
              <w:rPr>
                <w:rFonts w:ascii="宋体" w:hAnsi="宋体" w:eastAsia="宋体" w:cs="宋体"/>
                <w:spacing w:val="6"/>
              </w:rPr>
              <w:t>泸水公路</w:t>
            </w:r>
          </w:p>
        </w:tc>
        <w:tc>
          <w:tcPr>
            <w:tcW w:w="3125" w:type="dxa"/>
            <w:vAlign w:val="top"/>
          </w:tcPr>
          <w:p w14:paraId="44215060">
            <w:pPr>
              <w:spacing w:before="87" w:line="228" w:lineRule="auto"/>
              <w:ind w:left="18"/>
              <w:rPr>
                <w:rFonts w:ascii="宋体" w:hAnsi="宋体" w:eastAsia="宋体" w:cs="宋体"/>
                <w:sz w:val="20"/>
                <w:szCs w:val="20"/>
              </w:rPr>
            </w:pPr>
            <w:r>
              <w:rPr>
                <w:rFonts w:ascii="宋体" w:hAnsi="宋体" w:eastAsia="宋体" w:cs="宋体"/>
                <w:spacing w:val="5"/>
                <w:sz w:val="20"/>
                <w:szCs w:val="20"/>
              </w:rPr>
              <w:t>八大河至大水井至泸师交界段（不</w:t>
            </w:r>
          </w:p>
          <w:p w14:paraId="5AE5F1CA">
            <w:pPr>
              <w:spacing w:before="79" w:line="228" w:lineRule="auto"/>
              <w:ind w:left="617"/>
              <w:rPr>
                <w:rFonts w:ascii="宋体" w:hAnsi="宋体" w:eastAsia="宋体" w:cs="宋体"/>
                <w:sz w:val="20"/>
                <w:szCs w:val="20"/>
              </w:rPr>
            </w:pPr>
            <w:r>
              <w:rPr>
                <w:rFonts w:ascii="宋体" w:hAnsi="宋体" w:eastAsia="宋体" w:cs="宋体"/>
                <w:spacing w:val="7"/>
                <w:sz w:val="20"/>
                <w:szCs w:val="20"/>
              </w:rPr>
              <w:t>含大水井至五龙段）</w:t>
            </w:r>
          </w:p>
        </w:tc>
        <w:tc>
          <w:tcPr>
            <w:tcW w:w="2204" w:type="dxa"/>
            <w:vAlign w:val="top"/>
          </w:tcPr>
          <w:p w14:paraId="4A89A044">
            <w:pPr>
              <w:pStyle w:val="6"/>
              <w:spacing w:before="219" w:line="274" w:lineRule="exact"/>
              <w:ind w:left="198"/>
            </w:pPr>
            <w:r>
              <w:rPr>
                <w:rFonts w:ascii="宋体" w:hAnsi="宋体" w:eastAsia="宋体" w:cs="宋体"/>
                <w:spacing w:val="7"/>
                <w:position w:val="2"/>
              </w:rPr>
              <w:t>罗平八大河</w:t>
            </w:r>
            <w:r>
              <w:rPr>
                <w:spacing w:val="7"/>
                <w:position w:val="2"/>
              </w:rPr>
              <w:t>(</w:t>
            </w:r>
            <w:r>
              <w:rPr>
                <w:rFonts w:ascii="宋体" w:hAnsi="宋体" w:eastAsia="宋体" w:cs="宋体"/>
                <w:spacing w:val="7"/>
                <w:position w:val="2"/>
              </w:rPr>
              <w:t>广西界</w:t>
            </w:r>
            <w:r>
              <w:rPr>
                <w:spacing w:val="7"/>
                <w:position w:val="2"/>
              </w:rPr>
              <w:t>)</w:t>
            </w:r>
          </w:p>
        </w:tc>
        <w:tc>
          <w:tcPr>
            <w:tcW w:w="2066" w:type="dxa"/>
            <w:vAlign w:val="top"/>
          </w:tcPr>
          <w:p w14:paraId="46B8F72F">
            <w:pPr>
              <w:pStyle w:val="6"/>
              <w:spacing w:before="219" w:line="274" w:lineRule="exact"/>
              <w:ind w:left="240"/>
            </w:pPr>
            <w:r>
              <w:rPr>
                <w:rFonts w:ascii="宋体" w:hAnsi="宋体" w:eastAsia="宋体" w:cs="宋体"/>
                <w:spacing w:val="7"/>
                <w:position w:val="2"/>
              </w:rPr>
              <w:t>师宗龙庆</w:t>
            </w:r>
            <w:r>
              <w:rPr>
                <w:spacing w:val="7"/>
                <w:position w:val="2"/>
              </w:rPr>
              <w:t>(</w:t>
            </w:r>
            <w:r>
              <w:rPr>
                <w:rFonts w:ascii="宋体" w:hAnsi="宋体" w:eastAsia="宋体" w:cs="宋体"/>
                <w:spacing w:val="7"/>
                <w:position w:val="2"/>
              </w:rPr>
              <w:t>泸西界</w:t>
            </w:r>
            <w:r>
              <w:rPr>
                <w:spacing w:val="7"/>
                <w:position w:val="2"/>
              </w:rPr>
              <w:t>)</w:t>
            </w:r>
          </w:p>
        </w:tc>
        <w:tc>
          <w:tcPr>
            <w:tcW w:w="920" w:type="dxa"/>
            <w:vAlign w:val="top"/>
          </w:tcPr>
          <w:p w14:paraId="7C230CC3">
            <w:pPr>
              <w:spacing w:before="250" w:line="229" w:lineRule="auto"/>
              <w:ind w:left="154"/>
              <w:rPr>
                <w:rFonts w:ascii="宋体" w:hAnsi="宋体" w:eastAsia="宋体" w:cs="宋体"/>
                <w:sz w:val="20"/>
                <w:szCs w:val="20"/>
              </w:rPr>
            </w:pPr>
            <w:r>
              <w:rPr>
                <w:rFonts w:ascii="宋体" w:hAnsi="宋体" w:eastAsia="宋体" w:cs="宋体"/>
                <w:spacing w:val="6"/>
                <w:sz w:val="20"/>
                <w:szCs w:val="20"/>
              </w:rPr>
              <w:t>新扩建</w:t>
            </w:r>
          </w:p>
        </w:tc>
        <w:tc>
          <w:tcPr>
            <w:tcW w:w="963" w:type="dxa"/>
            <w:vAlign w:val="top"/>
          </w:tcPr>
          <w:p w14:paraId="4B84E4A4">
            <w:pPr>
              <w:spacing w:before="249"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59176165">
            <w:pPr>
              <w:pStyle w:val="6"/>
              <w:spacing w:before="219" w:line="274" w:lineRule="exact"/>
              <w:ind w:left="258"/>
            </w:pPr>
            <w:r>
              <w:rPr>
                <w:spacing w:val="3"/>
                <w:position w:val="2"/>
              </w:rPr>
              <w:t>66.434</w:t>
            </w:r>
          </w:p>
        </w:tc>
        <w:tc>
          <w:tcPr>
            <w:tcW w:w="1113" w:type="dxa"/>
            <w:vAlign w:val="top"/>
          </w:tcPr>
          <w:p w14:paraId="2B6095A0">
            <w:pPr>
              <w:rPr>
                <w:rFonts w:ascii="Arial"/>
                <w:sz w:val="21"/>
              </w:rPr>
            </w:pPr>
          </w:p>
        </w:tc>
        <w:tc>
          <w:tcPr>
            <w:tcW w:w="1028" w:type="dxa"/>
            <w:vAlign w:val="top"/>
          </w:tcPr>
          <w:p w14:paraId="1ACBCC07">
            <w:pPr>
              <w:pStyle w:val="6"/>
              <w:spacing w:before="219" w:line="274" w:lineRule="exact"/>
              <w:ind w:left="291"/>
            </w:pPr>
            <w:r>
              <w:rPr>
                <w:spacing w:val="3"/>
                <w:position w:val="2"/>
              </w:rPr>
              <w:t>31.20</w:t>
            </w:r>
          </w:p>
        </w:tc>
        <w:tc>
          <w:tcPr>
            <w:tcW w:w="3175" w:type="dxa"/>
            <w:tcBorders>
              <w:right w:val="single" w:color="000000" w:sz="10" w:space="0"/>
            </w:tcBorders>
            <w:vAlign w:val="top"/>
          </w:tcPr>
          <w:p w14:paraId="286FCFD0">
            <w:pPr>
              <w:rPr>
                <w:rFonts w:ascii="Arial"/>
                <w:sz w:val="21"/>
              </w:rPr>
            </w:pPr>
          </w:p>
        </w:tc>
      </w:tr>
      <w:tr w14:paraId="42763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699C0035">
            <w:pPr>
              <w:rPr>
                <w:rFonts w:ascii="Arial"/>
                <w:sz w:val="21"/>
              </w:rPr>
            </w:pPr>
          </w:p>
        </w:tc>
        <w:tc>
          <w:tcPr>
            <w:tcW w:w="641" w:type="dxa"/>
            <w:vMerge w:val="continue"/>
            <w:tcBorders>
              <w:top w:val="nil"/>
            </w:tcBorders>
            <w:vAlign w:val="top"/>
          </w:tcPr>
          <w:p w14:paraId="20F06803">
            <w:pPr>
              <w:rPr>
                <w:rFonts w:ascii="Arial"/>
                <w:sz w:val="21"/>
              </w:rPr>
            </w:pPr>
          </w:p>
        </w:tc>
        <w:tc>
          <w:tcPr>
            <w:tcW w:w="7170" w:type="dxa"/>
            <w:gridSpan w:val="3"/>
            <w:vAlign w:val="top"/>
          </w:tcPr>
          <w:p w14:paraId="7C6CD8E3">
            <w:pPr>
              <w:spacing w:before="107" w:line="230" w:lineRule="auto"/>
              <w:ind w:left="3379"/>
              <w:rPr>
                <w:rFonts w:ascii="宋体" w:hAnsi="宋体" w:eastAsia="宋体" w:cs="宋体"/>
                <w:sz w:val="20"/>
                <w:szCs w:val="20"/>
              </w:rPr>
            </w:pPr>
            <w:r>
              <w:rPr>
                <w:rFonts w:ascii="宋体" w:hAnsi="宋体" w:eastAsia="宋体" w:cs="宋体"/>
                <w:b/>
                <w:bCs/>
                <w:spacing w:val="1"/>
                <w:sz w:val="20"/>
                <w:szCs w:val="20"/>
              </w:rPr>
              <w:t>小计</w:t>
            </w:r>
          </w:p>
        </w:tc>
        <w:tc>
          <w:tcPr>
            <w:tcW w:w="2204" w:type="dxa"/>
            <w:vAlign w:val="top"/>
          </w:tcPr>
          <w:p w14:paraId="63203E5E">
            <w:pPr>
              <w:rPr>
                <w:rFonts w:ascii="Arial"/>
                <w:sz w:val="21"/>
              </w:rPr>
            </w:pPr>
          </w:p>
        </w:tc>
        <w:tc>
          <w:tcPr>
            <w:tcW w:w="2066" w:type="dxa"/>
            <w:vAlign w:val="top"/>
          </w:tcPr>
          <w:p w14:paraId="7F29216E">
            <w:pPr>
              <w:rPr>
                <w:rFonts w:ascii="Arial"/>
                <w:sz w:val="21"/>
              </w:rPr>
            </w:pPr>
          </w:p>
        </w:tc>
        <w:tc>
          <w:tcPr>
            <w:tcW w:w="920" w:type="dxa"/>
            <w:vAlign w:val="top"/>
          </w:tcPr>
          <w:p w14:paraId="52553257">
            <w:pPr>
              <w:rPr>
                <w:rFonts w:ascii="Arial"/>
                <w:sz w:val="21"/>
              </w:rPr>
            </w:pPr>
          </w:p>
        </w:tc>
        <w:tc>
          <w:tcPr>
            <w:tcW w:w="963" w:type="dxa"/>
            <w:vAlign w:val="top"/>
          </w:tcPr>
          <w:p w14:paraId="6802FEBE">
            <w:pPr>
              <w:rPr>
                <w:rFonts w:ascii="Arial"/>
                <w:sz w:val="21"/>
              </w:rPr>
            </w:pPr>
          </w:p>
        </w:tc>
        <w:tc>
          <w:tcPr>
            <w:tcW w:w="1071" w:type="dxa"/>
            <w:vAlign w:val="top"/>
          </w:tcPr>
          <w:p w14:paraId="137D45E1">
            <w:pPr>
              <w:pStyle w:val="6"/>
              <w:spacing w:before="143" w:line="195" w:lineRule="auto"/>
              <w:ind w:left="204"/>
            </w:pPr>
            <w:r>
              <w:rPr>
                <w:b/>
                <w:bCs/>
                <w:spacing w:val="3"/>
              </w:rPr>
              <w:t>470.902</w:t>
            </w:r>
          </w:p>
        </w:tc>
        <w:tc>
          <w:tcPr>
            <w:tcW w:w="1113" w:type="dxa"/>
            <w:vAlign w:val="top"/>
          </w:tcPr>
          <w:p w14:paraId="00A0D79F">
            <w:pPr>
              <w:rPr>
                <w:rFonts w:ascii="Arial"/>
                <w:sz w:val="21"/>
              </w:rPr>
            </w:pPr>
          </w:p>
        </w:tc>
        <w:tc>
          <w:tcPr>
            <w:tcW w:w="1028" w:type="dxa"/>
            <w:vAlign w:val="top"/>
          </w:tcPr>
          <w:p w14:paraId="063693C2">
            <w:pPr>
              <w:pStyle w:val="6"/>
              <w:spacing w:before="143" w:line="195" w:lineRule="auto"/>
              <w:ind w:left="235"/>
            </w:pPr>
            <w:r>
              <w:rPr>
                <w:b/>
                <w:bCs/>
                <w:spacing w:val="3"/>
              </w:rPr>
              <w:t>208.66</w:t>
            </w:r>
          </w:p>
        </w:tc>
        <w:tc>
          <w:tcPr>
            <w:tcW w:w="3175" w:type="dxa"/>
            <w:tcBorders>
              <w:right w:val="single" w:color="000000" w:sz="10" w:space="0"/>
            </w:tcBorders>
            <w:vAlign w:val="top"/>
          </w:tcPr>
          <w:p w14:paraId="2F30B4ED">
            <w:pPr>
              <w:rPr>
                <w:rFonts w:ascii="Arial"/>
                <w:sz w:val="21"/>
              </w:rPr>
            </w:pPr>
          </w:p>
        </w:tc>
      </w:tr>
      <w:tr w14:paraId="4E735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27158528">
            <w:pPr>
              <w:pStyle w:val="6"/>
              <w:spacing w:before="77" w:line="275" w:lineRule="exact"/>
              <w:ind w:left="272"/>
            </w:pPr>
            <w:r>
              <w:rPr>
                <w:position w:val="1"/>
              </w:rPr>
              <w:t>1</w:t>
            </w:r>
          </w:p>
        </w:tc>
        <w:tc>
          <w:tcPr>
            <w:tcW w:w="641" w:type="dxa"/>
            <w:vMerge w:val="restart"/>
            <w:tcBorders>
              <w:bottom w:val="nil"/>
            </w:tcBorders>
            <w:vAlign w:val="top"/>
          </w:tcPr>
          <w:p w14:paraId="6E8E8D35">
            <w:pPr>
              <w:spacing w:line="254" w:lineRule="auto"/>
              <w:rPr>
                <w:rFonts w:ascii="Arial"/>
                <w:sz w:val="21"/>
              </w:rPr>
            </w:pPr>
          </w:p>
          <w:p w14:paraId="2F5D7668">
            <w:pPr>
              <w:spacing w:line="254" w:lineRule="auto"/>
              <w:rPr>
                <w:rFonts w:ascii="Arial"/>
                <w:sz w:val="21"/>
              </w:rPr>
            </w:pPr>
          </w:p>
          <w:p w14:paraId="48349A44">
            <w:pPr>
              <w:spacing w:line="254" w:lineRule="auto"/>
              <w:rPr>
                <w:rFonts w:ascii="Arial"/>
                <w:sz w:val="21"/>
              </w:rPr>
            </w:pPr>
          </w:p>
          <w:p w14:paraId="70317059">
            <w:pPr>
              <w:spacing w:line="255" w:lineRule="auto"/>
              <w:rPr>
                <w:rFonts w:ascii="Arial"/>
                <w:sz w:val="21"/>
              </w:rPr>
            </w:pPr>
          </w:p>
          <w:p w14:paraId="34A413ED">
            <w:pPr>
              <w:spacing w:line="255" w:lineRule="auto"/>
              <w:rPr>
                <w:rFonts w:ascii="Arial"/>
                <w:sz w:val="21"/>
              </w:rPr>
            </w:pPr>
          </w:p>
          <w:p w14:paraId="4DD7C49A">
            <w:pPr>
              <w:spacing w:line="255" w:lineRule="auto"/>
              <w:rPr>
                <w:rFonts w:ascii="Arial"/>
                <w:sz w:val="21"/>
              </w:rPr>
            </w:pPr>
          </w:p>
          <w:p w14:paraId="490E327E">
            <w:pPr>
              <w:spacing w:line="255" w:lineRule="auto"/>
              <w:rPr>
                <w:rFonts w:ascii="Arial"/>
                <w:sz w:val="21"/>
              </w:rPr>
            </w:pPr>
          </w:p>
          <w:p w14:paraId="2001351D">
            <w:pPr>
              <w:spacing w:line="255" w:lineRule="auto"/>
              <w:rPr>
                <w:rFonts w:ascii="Arial"/>
                <w:sz w:val="21"/>
              </w:rPr>
            </w:pPr>
          </w:p>
          <w:p w14:paraId="390B73A0">
            <w:pPr>
              <w:spacing w:before="65" w:line="228" w:lineRule="auto"/>
              <w:ind w:left="108"/>
              <w:rPr>
                <w:rFonts w:ascii="宋体" w:hAnsi="宋体" w:eastAsia="宋体" w:cs="宋体"/>
                <w:sz w:val="20"/>
                <w:szCs w:val="20"/>
              </w:rPr>
            </w:pPr>
            <w:r>
              <w:rPr>
                <w:rFonts w:ascii="宋体" w:hAnsi="宋体" w:eastAsia="宋体" w:cs="宋体"/>
                <w:spacing w:val="3"/>
                <w:sz w:val="20"/>
                <w:szCs w:val="20"/>
              </w:rPr>
              <w:t>省道</w:t>
            </w:r>
          </w:p>
        </w:tc>
        <w:tc>
          <w:tcPr>
            <w:tcW w:w="771" w:type="dxa"/>
            <w:vAlign w:val="top"/>
          </w:tcPr>
          <w:p w14:paraId="61AD0B00">
            <w:pPr>
              <w:pStyle w:val="6"/>
              <w:spacing w:before="77" w:line="275" w:lineRule="exact"/>
              <w:ind w:left="169"/>
            </w:pPr>
            <w:r>
              <w:rPr>
                <w:spacing w:val="1"/>
                <w:position w:val="2"/>
              </w:rPr>
              <w:t>S204</w:t>
            </w:r>
          </w:p>
        </w:tc>
        <w:tc>
          <w:tcPr>
            <w:tcW w:w="6399" w:type="dxa"/>
            <w:gridSpan w:val="2"/>
            <w:vAlign w:val="top"/>
          </w:tcPr>
          <w:p w14:paraId="23A1E77E">
            <w:pPr>
              <w:spacing w:before="109" w:line="228" w:lineRule="auto"/>
              <w:ind w:left="2359"/>
              <w:rPr>
                <w:rFonts w:ascii="宋体" w:hAnsi="宋体" w:eastAsia="宋体" w:cs="宋体"/>
                <w:sz w:val="20"/>
                <w:szCs w:val="20"/>
              </w:rPr>
            </w:pPr>
            <w:r>
              <w:rPr>
                <w:rFonts w:ascii="宋体" w:hAnsi="宋体" w:eastAsia="宋体" w:cs="宋体"/>
                <w:spacing w:val="8"/>
                <w:sz w:val="20"/>
                <w:szCs w:val="20"/>
              </w:rPr>
              <w:t>升官坪至长底公路</w:t>
            </w:r>
          </w:p>
        </w:tc>
        <w:tc>
          <w:tcPr>
            <w:tcW w:w="2204" w:type="dxa"/>
            <w:vAlign w:val="top"/>
          </w:tcPr>
          <w:p w14:paraId="512A42A1">
            <w:pPr>
              <w:spacing w:before="109" w:line="228" w:lineRule="auto"/>
              <w:ind w:left="589"/>
              <w:rPr>
                <w:rFonts w:ascii="宋体" w:hAnsi="宋体" w:eastAsia="宋体" w:cs="宋体"/>
                <w:sz w:val="20"/>
                <w:szCs w:val="20"/>
              </w:rPr>
            </w:pPr>
            <w:r>
              <w:rPr>
                <w:rFonts w:ascii="宋体" w:hAnsi="宋体" w:eastAsia="宋体" w:cs="宋体"/>
                <w:spacing w:val="6"/>
                <w:sz w:val="20"/>
                <w:szCs w:val="20"/>
              </w:rPr>
              <w:t>富源升官坪</w:t>
            </w:r>
          </w:p>
        </w:tc>
        <w:tc>
          <w:tcPr>
            <w:tcW w:w="2066" w:type="dxa"/>
            <w:vAlign w:val="top"/>
          </w:tcPr>
          <w:p w14:paraId="63112BA3">
            <w:pPr>
              <w:spacing w:before="108" w:line="230" w:lineRule="auto"/>
              <w:ind w:left="622"/>
              <w:rPr>
                <w:rFonts w:ascii="宋体" w:hAnsi="宋体" w:eastAsia="宋体" w:cs="宋体"/>
                <w:sz w:val="20"/>
                <w:szCs w:val="20"/>
              </w:rPr>
            </w:pPr>
            <w:r>
              <w:rPr>
                <w:rFonts w:ascii="宋体" w:hAnsi="宋体" w:eastAsia="宋体" w:cs="宋体"/>
                <w:spacing w:val="6"/>
                <w:sz w:val="20"/>
                <w:szCs w:val="20"/>
              </w:rPr>
              <w:t>罗平长底</w:t>
            </w:r>
          </w:p>
        </w:tc>
        <w:tc>
          <w:tcPr>
            <w:tcW w:w="920" w:type="dxa"/>
            <w:vAlign w:val="top"/>
          </w:tcPr>
          <w:p w14:paraId="37D50713">
            <w:pPr>
              <w:spacing w:before="109"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56BEE0FF">
            <w:pPr>
              <w:spacing w:before="108"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59A15928">
            <w:pPr>
              <w:pStyle w:val="6"/>
              <w:spacing w:before="77" w:line="275" w:lineRule="exact"/>
              <w:ind w:left="223"/>
            </w:pPr>
            <w:r>
              <w:rPr>
                <w:spacing w:val="1"/>
                <w:position w:val="2"/>
              </w:rPr>
              <w:t>127.173</w:t>
            </w:r>
          </w:p>
        </w:tc>
        <w:tc>
          <w:tcPr>
            <w:tcW w:w="1113" w:type="dxa"/>
            <w:vAlign w:val="top"/>
          </w:tcPr>
          <w:p w14:paraId="0BF33638">
            <w:pPr>
              <w:rPr>
                <w:rFonts w:ascii="Arial"/>
                <w:sz w:val="21"/>
              </w:rPr>
            </w:pPr>
          </w:p>
        </w:tc>
        <w:tc>
          <w:tcPr>
            <w:tcW w:w="1028" w:type="dxa"/>
            <w:vAlign w:val="top"/>
          </w:tcPr>
          <w:p w14:paraId="4E65A5AB">
            <w:pPr>
              <w:pStyle w:val="6"/>
              <w:spacing w:before="77" w:line="275" w:lineRule="exact"/>
              <w:ind w:left="293"/>
            </w:pPr>
            <w:r>
              <w:rPr>
                <w:spacing w:val="2"/>
                <w:position w:val="2"/>
              </w:rPr>
              <w:t>59.41</w:t>
            </w:r>
          </w:p>
        </w:tc>
        <w:tc>
          <w:tcPr>
            <w:tcW w:w="3175" w:type="dxa"/>
            <w:tcBorders>
              <w:right w:val="single" w:color="000000" w:sz="10" w:space="0"/>
            </w:tcBorders>
            <w:vAlign w:val="top"/>
          </w:tcPr>
          <w:p w14:paraId="594329A0">
            <w:pPr>
              <w:rPr>
                <w:rFonts w:ascii="Arial"/>
                <w:sz w:val="21"/>
              </w:rPr>
            </w:pPr>
          </w:p>
        </w:tc>
      </w:tr>
      <w:tr w14:paraId="17DD1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47FCDD37">
            <w:pPr>
              <w:pStyle w:val="6"/>
              <w:spacing w:before="222" w:line="274" w:lineRule="exact"/>
              <w:ind w:left="252"/>
            </w:pPr>
            <w:r>
              <w:rPr>
                <w:position w:val="1"/>
              </w:rPr>
              <w:t>2</w:t>
            </w:r>
          </w:p>
        </w:tc>
        <w:tc>
          <w:tcPr>
            <w:tcW w:w="641" w:type="dxa"/>
            <w:vMerge w:val="continue"/>
            <w:tcBorders>
              <w:top w:val="nil"/>
              <w:bottom w:val="nil"/>
            </w:tcBorders>
            <w:vAlign w:val="top"/>
          </w:tcPr>
          <w:p w14:paraId="25D5D82D">
            <w:pPr>
              <w:rPr>
                <w:rFonts w:ascii="Arial"/>
                <w:sz w:val="21"/>
              </w:rPr>
            </w:pPr>
          </w:p>
        </w:tc>
        <w:tc>
          <w:tcPr>
            <w:tcW w:w="771" w:type="dxa"/>
            <w:vAlign w:val="top"/>
          </w:tcPr>
          <w:p w14:paraId="2F6D57B5">
            <w:pPr>
              <w:pStyle w:val="6"/>
              <w:spacing w:before="222" w:line="274" w:lineRule="exact"/>
              <w:ind w:left="169"/>
            </w:pPr>
            <w:r>
              <w:rPr>
                <w:spacing w:val="1"/>
                <w:position w:val="2"/>
              </w:rPr>
              <w:t>S205</w:t>
            </w:r>
          </w:p>
        </w:tc>
        <w:tc>
          <w:tcPr>
            <w:tcW w:w="6399" w:type="dxa"/>
            <w:gridSpan w:val="2"/>
            <w:vAlign w:val="top"/>
          </w:tcPr>
          <w:p w14:paraId="70D23898">
            <w:pPr>
              <w:spacing w:before="252" w:line="228" w:lineRule="auto"/>
              <w:ind w:left="2159"/>
              <w:rPr>
                <w:rFonts w:ascii="宋体" w:hAnsi="宋体" w:eastAsia="宋体" w:cs="宋体"/>
                <w:sz w:val="20"/>
                <w:szCs w:val="20"/>
              </w:rPr>
            </w:pPr>
            <w:r>
              <w:rPr>
                <w:rFonts w:ascii="宋体" w:hAnsi="宋体" w:eastAsia="宋体" w:cs="宋体"/>
                <w:spacing w:val="7"/>
                <w:sz w:val="20"/>
                <w:szCs w:val="20"/>
              </w:rPr>
              <w:t>响水大桥至鲁布革公路</w:t>
            </w:r>
          </w:p>
        </w:tc>
        <w:tc>
          <w:tcPr>
            <w:tcW w:w="2204" w:type="dxa"/>
            <w:vAlign w:val="top"/>
          </w:tcPr>
          <w:p w14:paraId="1A2E22BB">
            <w:pPr>
              <w:spacing w:before="253" w:line="228" w:lineRule="auto"/>
              <w:ind w:left="697"/>
              <w:rPr>
                <w:rFonts w:ascii="宋体" w:hAnsi="宋体" w:eastAsia="宋体" w:cs="宋体"/>
                <w:sz w:val="20"/>
                <w:szCs w:val="20"/>
              </w:rPr>
            </w:pPr>
            <w:r>
              <w:rPr>
                <w:rFonts w:ascii="宋体" w:hAnsi="宋体" w:eastAsia="宋体" w:cs="宋体"/>
                <w:spacing w:val="4"/>
                <w:sz w:val="20"/>
                <w:szCs w:val="20"/>
              </w:rPr>
              <w:t>响水大桥</w:t>
            </w:r>
          </w:p>
        </w:tc>
        <w:tc>
          <w:tcPr>
            <w:tcW w:w="2066" w:type="dxa"/>
            <w:vAlign w:val="top"/>
          </w:tcPr>
          <w:p w14:paraId="0B520E2C">
            <w:pPr>
              <w:spacing w:before="252" w:line="228" w:lineRule="auto"/>
              <w:ind w:left="725"/>
              <w:rPr>
                <w:rFonts w:ascii="宋体" w:hAnsi="宋体" w:eastAsia="宋体" w:cs="宋体"/>
                <w:sz w:val="20"/>
                <w:szCs w:val="20"/>
              </w:rPr>
            </w:pPr>
            <w:r>
              <w:rPr>
                <w:rFonts w:ascii="宋体" w:hAnsi="宋体" w:eastAsia="宋体" w:cs="宋体"/>
                <w:spacing w:val="6"/>
                <w:sz w:val="20"/>
                <w:szCs w:val="20"/>
              </w:rPr>
              <w:t>鲁布革</w:t>
            </w:r>
          </w:p>
        </w:tc>
        <w:tc>
          <w:tcPr>
            <w:tcW w:w="920" w:type="dxa"/>
            <w:vAlign w:val="top"/>
          </w:tcPr>
          <w:p w14:paraId="67C6AFB4">
            <w:pPr>
              <w:spacing w:before="253"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3EE0332B">
            <w:pPr>
              <w:spacing w:before="90" w:line="265" w:lineRule="auto"/>
              <w:ind w:left="391" w:right="107" w:hanging="264"/>
              <w:rPr>
                <w:rFonts w:ascii="宋体" w:hAnsi="宋体" w:eastAsia="宋体" w:cs="宋体"/>
                <w:sz w:val="20"/>
                <w:szCs w:val="20"/>
              </w:rPr>
            </w:pPr>
            <w:r>
              <w:rPr>
                <w:rFonts w:ascii="宋体" w:hAnsi="宋体" w:eastAsia="宋体" w:cs="宋体"/>
                <w:spacing w:val="5"/>
                <w:sz w:val="20"/>
                <w:szCs w:val="20"/>
              </w:rPr>
              <w:t>二级/三</w:t>
            </w:r>
            <w:r>
              <w:rPr>
                <w:rFonts w:ascii="宋体" w:hAnsi="宋体" w:eastAsia="宋体" w:cs="宋体"/>
                <w:sz w:val="20"/>
                <w:szCs w:val="20"/>
              </w:rPr>
              <w:t>级</w:t>
            </w:r>
          </w:p>
        </w:tc>
        <w:tc>
          <w:tcPr>
            <w:tcW w:w="1071" w:type="dxa"/>
            <w:vAlign w:val="top"/>
          </w:tcPr>
          <w:p w14:paraId="1ACC95FB">
            <w:pPr>
              <w:pStyle w:val="6"/>
              <w:spacing w:before="222" w:line="274" w:lineRule="exact"/>
              <w:ind w:left="203"/>
            </w:pPr>
            <w:r>
              <w:rPr>
                <w:spacing w:val="4"/>
                <w:position w:val="2"/>
              </w:rPr>
              <w:t>274.328</w:t>
            </w:r>
          </w:p>
        </w:tc>
        <w:tc>
          <w:tcPr>
            <w:tcW w:w="1113" w:type="dxa"/>
            <w:vAlign w:val="top"/>
          </w:tcPr>
          <w:p w14:paraId="4C82D95D">
            <w:pPr>
              <w:rPr>
                <w:rFonts w:ascii="Arial"/>
                <w:sz w:val="21"/>
              </w:rPr>
            </w:pPr>
          </w:p>
        </w:tc>
        <w:tc>
          <w:tcPr>
            <w:tcW w:w="1028" w:type="dxa"/>
            <w:vAlign w:val="top"/>
          </w:tcPr>
          <w:p w14:paraId="3927F6E9">
            <w:pPr>
              <w:pStyle w:val="6"/>
              <w:spacing w:before="222" w:line="274" w:lineRule="exact"/>
              <w:ind w:left="254"/>
            </w:pPr>
            <w:r>
              <w:rPr>
                <w:position w:val="2"/>
              </w:rPr>
              <w:t>114.04</w:t>
            </w:r>
          </w:p>
        </w:tc>
        <w:tc>
          <w:tcPr>
            <w:tcW w:w="3175" w:type="dxa"/>
            <w:tcBorders>
              <w:right w:val="single" w:color="000000" w:sz="10" w:space="0"/>
            </w:tcBorders>
            <w:vAlign w:val="top"/>
          </w:tcPr>
          <w:p w14:paraId="76CB326D">
            <w:pPr>
              <w:rPr>
                <w:rFonts w:ascii="Arial"/>
                <w:sz w:val="21"/>
              </w:rPr>
            </w:pPr>
          </w:p>
        </w:tc>
      </w:tr>
      <w:tr w14:paraId="03F9F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42A27B71">
            <w:pPr>
              <w:pStyle w:val="6"/>
              <w:spacing w:before="80" w:line="274" w:lineRule="exact"/>
              <w:ind w:left="256"/>
            </w:pPr>
            <w:r>
              <w:rPr>
                <w:position w:val="2"/>
              </w:rPr>
              <w:t>3</w:t>
            </w:r>
          </w:p>
        </w:tc>
        <w:tc>
          <w:tcPr>
            <w:tcW w:w="641" w:type="dxa"/>
            <w:vMerge w:val="continue"/>
            <w:tcBorders>
              <w:top w:val="nil"/>
              <w:bottom w:val="nil"/>
            </w:tcBorders>
            <w:vAlign w:val="top"/>
          </w:tcPr>
          <w:p w14:paraId="46A44D60">
            <w:pPr>
              <w:rPr>
                <w:rFonts w:ascii="Arial"/>
                <w:sz w:val="21"/>
              </w:rPr>
            </w:pPr>
          </w:p>
        </w:tc>
        <w:tc>
          <w:tcPr>
            <w:tcW w:w="771" w:type="dxa"/>
            <w:vAlign w:val="top"/>
          </w:tcPr>
          <w:p w14:paraId="0344F53C">
            <w:pPr>
              <w:pStyle w:val="6"/>
              <w:spacing w:before="80" w:line="274" w:lineRule="exact"/>
              <w:ind w:left="169"/>
            </w:pPr>
            <w:r>
              <w:rPr>
                <w:spacing w:val="1"/>
                <w:position w:val="2"/>
              </w:rPr>
              <w:t>S206</w:t>
            </w:r>
          </w:p>
        </w:tc>
        <w:tc>
          <w:tcPr>
            <w:tcW w:w="6399" w:type="dxa"/>
            <w:gridSpan w:val="2"/>
            <w:vAlign w:val="top"/>
          </w:tcPr>
          <w:p w14:paraId="1BE24E8B">
            <w:pPr>
              <w:spacing w:before="111" w:line="228" w:lineRule="auto"/>
              <w:ind w:left="1961"/>
              <w:rPr>
                <w:rFonts w:ascii="宋体" w:hAnsi="宋体" w:eastAsia="宋体" w:cs="宋体"/>
                <w:sz w:val="20"/>
                <w:szCs w:val="20"/>
              </w:rPr>
            </w:pPr>
            <w:r>
              <w:rPr>
                <w:rFonts w:ascii="宋体" w:hAnsi="宋体" w:eastAsia="宋体" w:cs="宋体"/>
                <w:spacing w:val="7"/>
                <w:sz w:val="20"/>
                <w:szCs w:val="20"/>
              </w:rPr>
              <w:t>以且至师宗与丘北交界公路</w:t>
            </w:r>
          </w:p>
        </w:tc>
        <w:tc>
          <w:tcPr>
            <w:tcW w:w="2204" w:type="dxa"/>
            <w:vAlign w:val="top"/>
          </w:tcPr>
          <w:p w14:paraId="622B2BDA">
            <w:pPr>
              <w:spacing w:before="111" w:line="231" w:lineRule="auto"/>
              <w:ind w:left="919"/>
              <w:rPr>
                <w:rFonts w:ascii="宋体" w:hAnsi="宋体" w:eastAsia="宋体" w:cs="宋体"/>
                <w:sz w:val="20"/>
                <w:szCs w:val="20"/>
              </w:rPr>
            </w:pPr>
            <w:r>
              <w:rPr>
                <w:rFonts w:ascii="宋体" w:hAnsi="宋体" w:eastAsia="宋体" w:cs="宋体"/>
                <w:spacing w:val="-7"/>
                <w:sz w:val="20"/>
                <w:szCs w:val="20"/>
              </w:rPr>
              <w:t>以且</w:t>
            </w:r>
          </w:p>
        </w:tc>
        <w:tc>
          <w:tcPr>
            <w:tcW w:w="2066" w:type="dxa"/>
            <w:vAlign w:val="top"/>
          </w:tcPr>
          <w:p w14:paraId="5634580F">
            <w:pPr>
              <w:spacing w:before="111" w:line="228" w:lineRule="auto"/>
              <w:ind w:left="307"/>
              <w:rPr>
                <w:rFonts w:ascii="宋体" w:hAnsi="宋体" w:eastAsia="宋体" w:cs="宋体"/>
                <w:sz w:val="20"/>
                <w:szCs w:val="20"/>
              </w:rPr>
            </w:pPr>
            <w:r>
              <w:rPr>
                <w:rFonts w:ascii="宋体" w:hAnsi="宋体" w:eastAsia="宋体" w:cs="宋体"/>
                <w:spacing w:val="8"/>
                <w:sz w:val="20"/>
                <w:szCs w:val="20"/>
              </w:rPr>
              <w:t>师宗与丘北交界</w:t>
            </w:r>
          </w:p>
        </w:tc>
        <w:tc>
          <w:tcPr>
            <w:tcW w:w="920" w:type="dxa"/>
            <w:vAlign w:val="top"/>
          </w:tcPr>
          <w:p w14:paraId="7FA2DAF7">
            <w:pPr>
              <w:spacing w:before="110"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53CEA52D">
            <w:pPr>
              <w:spacing w:before="110"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27D4CB1C">
            <w:pPr>
              <w:pStyle w:val="6"/>
              <w:spacing w:before="80" w:line="274" w:lineRule="exact"/>
              <w:ind w:left="258"/>
            </w:pPr>
            <w:r>
              <w:rPr>
                <w:spacing w:val="3"/>
                <w:position w:val="2"/>
              </w:rPr>
              <w:t>68.796</w:t>
            </w:r>
          </w:p>
        </w:tc>
        <w:tc>
          <w:tcPr>
            <w:tcW w:w="1113" w:type="dxa"/>
            <w:vAlign w:val="top"/>
          </w:tcPr>
          <w:p w14:paraId="549B4584">
            <w:pPr>
              <w:rPr>
                <w:rFonts w:ascii="Arial"/>
                <w:sz w:val="21"/>
              </w:rPr>
            </w:pPr>
          </w:p>
        </w:tc>
        <w:tc>
          <w:tcPr>
            <w:tcW w:w="1028" w:type="dxa"/>
            <w:vAlign w:val="top"/>
          </w:tcPr>
          <w:p w14:paraId="0C27AF4E">
            <w:pPr>
              <w:pStyle w:val="6"/>
              <w:spacing w:before="80" w:line="274" w:lineRule="exact"/>
              <w:ind w:left="291"/>
            </w:pPr>
            <w:r>
              <w:rPr>
                <w:spacing w:val="3"/>
                <w:position w:val="2"/>
              </w:rPr>
              <w:t>32.59</w:t>
            </w:r>
          </w:p>
        </w:tc>
        <w:tc>
          <w:tcPr>
            <w:tcW w:w="3175" w:type="dxa"/>
            <w:tcBorders>
              <w:right w:val="single" w:color="000000" w:sz="10" w:space="0"/>
            </w:tcBorders>
            <w:vAlign w:val="top"/>
          </w:tcPr>
          <w:p w14:paraId="44779BCB">
            <w:pPr>
              <w:rPr>
                <w:rFonts w:ascii="Arial"/>
                <w:sz w:val="21"/>
              </w:rPr>
            </w:pPr>
          </w:p>
        </w:tc>
      </w:tr>
      <w:tr w14:paraId="61FC2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00D0362E">
            <w:pPr>
              <w:pStyle w:val="6"/>
              <w:spacing w:before="223" w:line="274" w:lineRule="exact"/>
              <w:ind w:left="251"/>
            </w:pPr>
            <w:r>
              <w:rPr>
                <w:spacing w:val="1"/>
                <w:position w:val="1"/>
              </w:rPr>
              <w:t>4</w:t>
            </w:r>
          </w:p>
        </w:tc>
        <w:tc>
          <w:tcPr>
            <w:tcW w:w="641" w:type="dxa"/>
            <w:vMerge w:val="continue"/>
            <w:tcBorders>
              <w:top w:val="nil"/>
              <w:bottom w:val="nil"/>
            </w:tcBorders>
            <w:vAlign w:val="top"/>
          </w:tcPr>
          <w:p w14:paraId="7E16C9BF">
            <w:pPr>
              <w:rPr>
                <w:rFonts w:ascii="Arial"/>
                <w:sz w:val="21"/>
              </w:rPr>
            </w:pPr>
          </w:p>
        </w:tc>
        <w:tc>
          <w:tcPr>
            <w:tcW w:w="771" w:type="dxa"/>
            <w:vAlign w:val="top"/>
          </w:tcPr>
          <w:p w14:paraId="7B5A09EC">
            <w:pPr>
              <w:pStyle w:val="6"/>
              <w:spacing w:before="223" w:line="274" w:lineRule="exact"/>
              <w:ind w:left="169"/>
            </w:pPr>
            <w:r>
              <w:rPr>
                <w:spacing w:val="1"/>
                <w:position w:val="2"/>
              </w:rPr>
              <w:t>S207</w:t>
            </w:r>
          </w:p>
        </w:tc>
        <w:tc>
          <w:tcPr>
            <w:tcW w:w="6399" w:type="dxa"/>
            <w:gridSpan w:val="2"/>
            <w:vAlign w:val="top"/>
          </w:tcPr>
          <w:p w14:paraId="0D107164">
            <w:pPr>
              <w:spacing w:before="254" w:line="228" w:lineRule="auto"/>
              <w:ind w:left="2259"/>
              <w:rPr>
                <w:rFonts w:ascii="宋体" w:hAnsi="宋体" w:eastAsia="宋体" w:cs="宋体"/>
                <w:sz w:val="20"/>
                <w:szCs w:val="20"/>
              </w:rPr>
            </w:pPr>
            <w:r>
              <w:rPr>
                <w:rFonts w:ascii="宋体" w:hAnsi="宋体" w:eastAsia="宋体" w:cs="宋体"/>
                <w:spacing w:val="8"/>
                <w:sz w:val="20"/>
                <w:szCs w:val="20"/>
              </w:rPr>
              <w:t>沾益至贵州金钟公路</w:t>
            </w:r>
          </w:p>
        </w:tc>
        <w:tc>
          <w:tcPr>
            <w:tcW w:w="2204" w:type="dxa"/>
            <w:vAlign w:val="top"/>
          </w:tcPr>
          <w:p w14:paraId="1C72E0A9">
            <w:pPr>
              <w:spacing w:before="254" w:line="231" w:lineRule="auto"/>
              <w:ind w:left="900"/>
              <w:rPr>
                <w:rFonts w:ascii="宋体" w:hAnsi="宋体" w:eastAsia="宋体" w:cs="宋体"/>
                <w:sz w:val="20"/>
                <w:szCs w:val="20"/>
              </w:rPr>
            </w:pPr>
            <w:r>
              <w:rPr>
                <w:rFonts w:ascii="宋体" w:hAnsi="宋体" w:eastAsia="宋体" w:cs="宋体"/>
                <w:spacing w:val="2"/>
                <w:sz w:val="20"/>
                <w:szCs w:val="20"/>
              </w:rPr>
              <w:t>沾益</w:t>
            </w:r>
          </w:p>
        </w:tc>
        <w:tc>
          <w:tcPr>
            <w:tcW w:w="2066" w:type="dxa"/>
            <w:vAlign w:val="top"/>
          </w:tcPr>
          <w:p w14:paraId="62FA303A">
            <w:pPr>
              <w:spacing w:before="254" w:line="228" w:lineRule="auto"/>
              <w:ind w:left="98"/>
              <w:rPr>
                <w:rFonts w:ascii="宋体" w:hAnsi="宋体" w:eastAsia="宋体" w:cs="宋体"/>
                <w:sz w:val="20"/>
                <w:szCs w:val="20"/>
              </w:rPr>
            </w:pPr>
            <w:r>
              <w:rPr>
                <w:rFonts w:ascii="宋体" w:hAnsi="宋体" w:eastAsia="宋体" w:cs="宋体"/>
                <w:spacing w:val="7"/>
                <w:sz w:val="20"/>
                <w:szCs w:val="20"/>
              </w:rPr>
              <w:t>贵州金钟（滇黔界）</w:t>
            </w:r>
          </w:p>
        </w:tc>
        <w:tc>
          <w:tcPr>
            <w:tcW w:w="920" w:type="dxa"/>
            <w:vAlign w:val="top"/>
          </w:tcPr>
          <w:p w14:paraId="391D90A9">
            <w:pPr>
              <w:spacing w:before="254" w:line="229" w:lineRule="auto"/>
              <w:ind w:left="154"/>
              <w:rPr>
                <w:rFonts w:ascii="宋体" w:hAnsi="宋体" w:eastAsia="宋体" w:cs="宋体"/>
                <w:sz w:val="20"/>
                <w:szCs w:val="20"/>
              </w:rPr>
            </w:pPr>
            <w:r>
              <w:rPr>
                <w:rFonts w:ascii="宋体" w:hAnsi="宋体" w:eastAsia="宋体" w:cs="宋体"/>
                <w:spacing w:val="6"/>
                <w:sz w:val="20"/>
                <w:szCs w:val="20"/>
              </w:rPr>
              <w:t>新扩建</w:t>
            </w:r>
          </w:p>
        </w:tc>
        <w:tc>
          <w:tcPr>
            <w:tcW w:w="963" w:type="dxa"/>
            <w:vAlign w:val="top"/>
          </w:tcPr>
          <w:p w14:paraId="4C6E95CE">
            <w:pPr>
              <w:spacing w:before="90" w:line="231" w:lineRule="auto"/>
              <w:ind w:left="127"/>
              <w:rPr>
                <w:rFonts w:ascii="宋体" w:hAnsi="宋体" w:eastAsia="宋体" w:cs="宋体"/>
                <w:sz w:val="20"/>
                <w:szCs w:val="20"/>
              </w:rPr>
            </w:pPr>
            <w:r>
              <w:rPr>
                <w:rFonts w:ascii="宋体" w:hAnsi="宋体" w:eastAsia="宋体" w:cs="宋体"/>
                <w:spacing w:val="5"/>
                <w:sz w:val="20"/>
                <w:szCs w:val="20"/>
              </w:rPr>
              <w:t>一级/二</w:t>
            </w:r>
          </w:p>
          <w:p w14:paraId="3A907D60">
            <w:pPr>
              <w:spacing w:before="76" w:line="228" w:lineRule="auto"/>
              <w:ind w:left="127"/>
              <w:rPr>
                <w:rFonts w:ascii="宋体" w:hAnsi="宋体" w:eastAsia="宋体" w:cs="宋体"/>
                <w:sz w:val="20"/>
                <w:szCs w:val="20"/>
              </w:rPr>
            </w:pPr>
            <w:r>
              <w:rPr>
                <w:rFonts w:ascii="宋体" w:hAnsi="宋体" w:eastAsia="宋体" w:cs="宋体"/>
                <w:spacing w:val="5"/>
                <w:sz w:val="20"/>
                <w:szCs w:val="20"/>
              </w:rPr>
              <w:t>级/三级</w:t>
            </w:r>
          </w:p>
        </w:tc>
        <w:tc>
          <w:tcPr>
            <w:tcW w:w="1071" w:type="dxa"/>
            <w:vAlign w:val="top"/>
          </w:tcPr>
          <w:p w14:paraId="67AD3591">
            <w:pPr>
              <w:pStyle w:val="6"/>
              <w:spacing w:before="223" w:line="274" w:lineRule="exact"/>
              <w:ind w:left="223"/>
            </w:pPr>
            <w:r>
              <w:rPr>
                <w:spacing w:val="1"/>
                <w:position w:val="2"/>
              </w:rPr>
              <w:t>187.289</w:t>
            </w:r>
          </w:p>
        </w:tc>
        <w:tc>
          <w:tcPr>
            <w:tcW w:w="1113" w:type="dxa"/>
            <w:vAlign w:val="top"/>
          </w:tcPr>
          <w:p w14:paraId="5983444C">
            <w:pPr>
              <w:rPr>
                <w:rFonts w:ascii="Arial"/>
                <w:sz w:val="21"/>
              </w:rPr>
            </w:pPr>
          </w:p>
        </w:tc>
        <w:tc>
          <w:tcPr>
            <w:tcW w:w="1028" w:type="dxa"/>
            <w:vAlign w:val="top"/>
          </w:tcPr>
          <w:p w14:paraId="5C5D7E28">
            <w:pPr>
              <w:pStyle w:val="6"/>
              <w:spacing w:before="223" w:line="274" w:lineRule="exact"/>
              <w:ind w:left="290"/>
            </w:pPr>
            <w:r>
              <w:rPr>
                <w:spacing w:val="3"/>
                <w:position w:val="2"/>
              </w:rPr>
              <w:t>71.98</w:t>
            </w:r>
          </w:p>
        </w:tc>
        <w:tc>
          <w:tcPr>
            <w:tcW w:w="3175" w:type="dxa"/>
            <w:tcBorders>
              <w:right w:val="single" w:color="000000" w:sz="10" w:space="0"/>
            </w:tcBorders>
            <w:vAlign w:val="top"/>
          </w:tcPr>
          <w:p w14:paraId="5F5DD5C8">
            <w:pPr>
              <w:rPr>
                <w:rFonts w:ascii="Arial"/>
                <w:sz w:val="21"/>
              </w:rPr>
            </w:pPr>
          </w:p>
        </w:tc>
      </w:tr>
      <w:tr w14:paraId="4980C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AB9D901">
            <w:pPr>
              <w:pStyle w:val="6"/>
              <w:spacing w:before="150" w:line="192" w:lineRule="auto"/>
              <w:ind w:left="258"/>
            </w:pPr>
            <w:r>
              <w:t>5</w:t>
            </w:r>
          </w:p>
        </w:tc>
        <w:tc>
          <w:tcPr>
            <w:tcW w:w="641" w:type="dxa"/>
            <w:vMerge w:val="continue"/>
            <w:tcBorders>
              <w:top w:val="nil"/>
              <w:bottom w:val="nil"/>
            </w:tcBorders>
            <w:vAlign w:val="top"/>
          </w:tcPr>
          <w:p w14:paraId="72E2A9CB">
            <w:pPr>
              <w:rPr>
                <w:rFonts w:ascii="Arial"/>
                <w:sz w:val="21"/>
              </w:rPr>
            </w:pPr>
          </w:p>
        </w:tc>
        <w:tc>
          <w:tcPr>
            <w:tcW w:w="771" w:type="dxa"/>
            <w:vAlign w:val="top"/>
          </w:tcPr>
          <w:p w14:paraId="232FC7F7">
            <w:pPr>
              <w:pStyle w:val="6"/>
              <w:spacing w:before="81" w:line="274" w:lineRule="exact"/>
              <w:ind w:left="169"/>
            </w:pPr>
            <w:r>
              <w:rPr>
                <w:spacing w:val="1"/>
                <w:position w:val="2"/>
              </w:rPr>
              <w:t>S305</w:t>
            </w:r>
          </w:p>
        </w:tc>
        <w:tc>
          <w:tcPr>
            <w:tcW w:w="6399" w:type="dxa"/>
            <w:gridSpan w:val="2"/>
            <w:vAlign w:val="top"/>
          </w:tcPr>
          <w:p w14:paraId="65075CA7">
            <w:pPr>
              <w:spacing w:before="111" w:line="228" w:lineRule="auto"/>
              <w:ind w:left="2465"/>
              <w:rPr>
                <w:rFonts w:ascii="宋体" w:hAnsi="宋体" w:eastAsia="宋体" w:cs="宋体"/>
                <w:sz w:val="20"/>
                <w:szCs w:val="20"/>
              </w:rPr>
            </w:pPr>
            <w:r>
              <w:rPr>
                <w:rFonts w:ascii="宋体" w:hAnsi="宋体" w:eastAsia="宋体" w:cs="宋体"/>
                <w:spacing w:val="8"/>
                <w:sz w:val="20"/>
                <w:szCs w:val="20"/>
              </w:rPr>
              <w:t>大井至会泽公路</w:t>
            </w:r>
          </w:p>
        </w:tc>
        <w:tc>
          <w:tcPr>
            <w:tcW w:w="2204" w:type="dxa"/>
            <w:vAlign w:val="top"/>
          </w:tcPr>
          <w:p w14:paraId="20B473C2">
            <w:pPr>
              <w:spacing w:before="112" w:line="229" w:lineRule="auto"/>
              <w:ind w:left="898"/>
              <w:rPr>
                <w:rFonts w:ascii="宋体" w:hAnsi="宋体" w:eastAsia="宋体" w:cs="宋体"/>
                <w:sz w:val="20"/>
                <w:szCs w:val="20"/>
              </w:rPr>
            </w:pPr>
            <w:r>
              <w:rPr>
                <w:rFonts w:ascii="宋体" w:hAnsi="宋体" w:eastAsia="宋体" w:cs="宋体"/>
                <w:spacing w:val="3"/>
                <w:sz w:val="20"/>
                <w:szCs w:val="20"/>
              </w:rPr>
              <w:t>大井</w:t>
            </w:r>
          </w:p>
        </w:tc>
        <w:tc>
          <w:tcPr>
            <w:tcW w:w="2066" w:type="dxa"/>
            <w:vAlign w:val="top"/>
          </w:tcPr>
          <w:p w14:paraId="0CC1281D">
            <w:pPr>
              <w:spacing w:before="111" w:line="228" w:lineRule="auto"/>
              <w:ind w:left="620"/>
              <w:rPr>
                <w:rFonts w:ascii="宋体" w:hAnsi="宋体" w:eastAsia="宋体" w:cs="宋体"/>
                <w:sz w:val="20"/>
                <w:szCs w:val="20"/>
              </w:rPr>
            </w:pPr>
            <w:r>
              <w:rPr>
                <w:rFonts w:ascii="宋体" w:hAnsi="宋体" w:eastAsia="宋体" w:cs="宋体"/>
                <w:spacing w:val="7"/>
                <w:sz w:val="20"/>
                <w:szCs w:val="20"/>
              </w:rPr>
              <w:t>会泽县城</w:t>
            </w:r>
          </w:p>
        </w:tc>
        <w:tc>
          <w:tcPr>
            <w:tcW w:w="920" w:type="dxa"/>
            <w:vAlign w:val="top"/>
          </w:tcPr>
          <w:p w14:paraId="54FB982B">
            <w:pPr>
              <w:spacing w:before="112"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33BE677D">
            <w:pPr>
              <w:spacing w:before="111"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5489182F">
            <w:pPr>
              <w:pStyle w:val="6"/>
              <w:spacing w:before="81" w:line="274" w:lineRule="exact"/>
              <w:ind w:left="315"/>
            </w:pPr>
            <w:r>
              <w:rPr>
                <w:spacing w:val="2"/>
                <w:position w:val="2"/>
              </w:rPr>
              <w:t>82.04</w:t>
            </w:r>
          </w:p>
        </w:tc>
        <w:tc>
          <w:tcPr>
            <w:tcW w:w="1113" w:type="dxa"/>
            <w:vAlign w:val="top"/>
          </w:tcPr>
          <w:p w14:paraId="24C0D679">
            <w:pPr>
              <w:rPr>
                <w:rFonts w:ascii="Arial"/>
                <w:sz w:val="21"/>
              </w:rPr>
            </w:pPr>
          </w:p>
        </w:tc>
        <w:tc>
          <w:tcPr>
            <w:tcW w:w="1028" w:type="dxa"/>
            <w:vAlign w:val="top"/>
          </w:tcPr>
          <w:p w14:paraId="0E397D8B">
            <w:pPr>
              <w:pStyle w:val="6"/>
              <w:spacing w:before="81" w:line="274" w:lineRule="exact"/>
              <w:ind w:left="291"/>
            </w:pPr>
            <w:r>
              <w:rPr>
                <w:spacing w:val="3"/>
                <w:position w:val="2"/>
              </w:rPr>
              <w:t>38.09</w:t>
            </w:r>
          </w:p>
        </w:tc>
        <w:tc>
          <w:tcPr>
            <w:tcW w:w="3175" w:type="dxa"/>
            <w:tcBorders>
              <w:right w:val="single" w:color="000000" w:sz="10" w:space="0"/>
            </w:tcBorders>
            <w:vAlign w:val="top"/>
          </w:tcPr>
          <w:p w14:paraId="56DE4438">
            <w:pPr>
              <w:rPr>
                <w:rFonts w:ascii="Arial"/>
                <w:sz w:val="21"/>
              </w:rPr>
            </w:pPr>
          </w:p>
        </w:tc>
      </w:tr>
      <w:tr w14:paraId="280BB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741B2816">
            <w:pPr>
              <w:pStyle w:val="6"/>
              <w:spacing w:before="225" w:line="275" w:lineRule="exact"/>
              <w:ind w:left="257"/>
            </w:pPr>
            <w:r>
              <w:rPr>
                <w:position w:val="2"/>
              </w:rPr>
              <w:t>6</w:t>
            </w:r>
          </w:p>
        </w:tc>
        <w:tc>
          <w:tcPr>
            <w:tcW w:w="641" w:type="dxa"/>
            <w:vMerge w:val="continue"/>
            <w:tcBorders>
              <w:top w:val="nil"/>
              <w:bottom w:val="nil"/>
            </w:tcBorders>
            <w:vAlign w:val="top"/>
          </w:tcPr>
          <w:p w14:paraId="4CA902D0">
            <w:pPr>
              <w:rPr>
                <w:rFonts w:ascii="Arial"/>
                <w:sz w:val="21"/>
              </w:rPr>
            </w:pPr>
          </w:p>
        </w:tc>
        <w:tc>
          <w:tcPr>
            <w:tcW w:w="771" w:type="dxa"/>
            <w:vAlign w:val="top"/>
          </w:tcPr>
          <w:p w14:paraId="7B9396E4">
            <w:pPr>
              <w:pStyle w:val="6"/>
              <w:spacing w:before="225" w:line="275" w:lineRule="exact"/>
              <w:ind w:left="169"/>
            </w:pPr>
            <w:r>
              <w:rPr>
                <w:spacing w:val="1"/>
                <w:position w:val="2"/>
              </w:rPr>
              <w:t>S306</w:t>
            </w:r>
          </w:p>
        </w:tc>
        <w:tc>
          <w:tcPr>
            <w:tcW w:w="6399" w:type="dxa"/>
            <w:gridSpan w:val="2"/>
            <w:vAlign w:val="top"/>
          </w:tcPr>
          <w:p w14:paraId="58BD214D">
            <w:pPr>
              <w:spacing w:before="257" w:line="228" w:lineRule="auto"/>
              <w:ind w:left="2044"/>
              <w:rPr>
                <w:rFonts w:ascii="宋体" w:hAnsi="宋体" w:eastAsia="宋体" w:cs="宋体"/>
                <w:sz w:val="20"/>
                <w:szCs w:val="20"/>
              </w:rPr>
            </w:pPr>
            <w:r>
              <w:rPr>
                <w:rFonts w:ascii="宋体" w:hAnsi="宋体" w:eastAsia="宋体" w:cs="宋体"/>
                <w:spacing w:val="9"/>
                <w:sz w:val="20"/>
                <w:szCs w:val="20"/>
              </w:rPr>
              <w:t>十里铺至木通河大桥公路</w:t>
            </w:r>
          </w:p>
        </w:tc>
        <w:tc>
          <w:tcPr>
            <w:tcW w:w="2204" w:type="dxa"/>
            <w:vAlign w:val="top"/>
          </w:tcPr>
          <w:p w14:paraId="463E29B9">
            <w:pPr>
              <w:spacing w:before="256" w:line="230" w:lineRule="auto"/>
              <w:ind w:left="793"/>
              <w:rPr>
                <w:rFonts w:ascii="宋体" w:hAnsi="宋体" w:eastAsia="宋体" w:cs="宋体"/>
                <w:sz w:val="20"/>
                <w:szCs w:val="20"/>
              </w:rPr>
            </w:pPr>
            <w:r>
              <w:rPr>
                <w:rFonts w:ascii="宋体" w:hAnsi="宋体" w:eastAsia="宋体" w:cs="宋体"/>
                <w:spacing w:val="6"/>
                <w:sz w:val="20"/>
                <w:szCs w:val="20"/>
              </w:rPr>
              <w:t>十里铺</w:t>
            </w:r>
          </w:p>
        </w:tc>
        <w:tc>
          <w:tcPr>
            <w:tcW w:w="2066" w:type="dxa"/>
            <w:vAlign w:val="top"/>
          </w:tcPr>
          <w:p w14:paraId="0161E722">
            <w:pPr>
              <w:spacing w:before="256" w:line="229" w:lineRule="auto"/>
              <w:ind w:left="516"/>
              <w:rPr>
                <w:rFonts w:ascii="宋体" w:hAnsi="宋体" w:eastAsia="宋体" w:cs="宋体"/>
                <w:sz w:val="20"/>
                <w:szCs w:val="20"/>
              </w:rPr>
            </w:pPr>
            <w:r>
              <w:rPr>
                <w:rFonts w:ascii="宋体" w:hAnsi="宋体" w:eastAsia="宋体" w:cs="宋体"/>
                <w:spacing w:val="7"/>
                <w:sz w:val="20"/>
                <w:szCs w:val="20"/>
              </w:rPr>
              <w:t>木通河大桥</w:t>
            </w:r>
          </w:p>
        </w:tc>
        <w:tc>
          <w:tcPr>
            <w:tcW w:w="920" w:type="dxa"/>
            <w:vAlign w:val="top"/>
          </w:tcPr>
          <w:p w14:paraId="3DD416F5">
            <w:pPr>
              <w:spacing w:before="256" w:line="229" w:lineRule="auto"/>
              <w:ind w:left="154"/>
              <w:rPr>
                <w:rFonts w:ascii="宋体" w:hAnsi="宋体" w:eastAsia="宋体" w:cs="宋体"/>
                <w:sz w:val="20"/>
                <w:szCs w:val="20"/>
              </w:rPr>
            </w:pPr>
            <w:r>
              <w:rPr>
                <w:rFonts w:ascii="宋体" w:hAnsi="宋体" w:eastAsia="宋体" w:cs="宋体"/>
                <w:spacing w:val="6"/>
                <w:sz w:val="20"/>
                <w:szCs w:val="20"/>
              </w:rPr>
              <w:t>新扩建</w:t>
            </w:r>
          </w:p>
        </w:tc>
        <w:tc>
          <w:tcPr>
            <w:tcW w:w="963" w:type="dxa"/>
            <w:vAlign w:val="top"/>
          </w:tcPr>
          <w:p w14:paraId="37A7A095">
            <w:pPr>
              <w:spacing w:before="92" w:line="264" w:lineRule="auto"/>
              <w:ind w:left="391" w:right="107" w:hanging="264"/>
              <w:rPr>
                <w:rFonts w:ascii="宋体" w:hAnsi="宋体" w:eastAsia="宋体" w:cs="宋体"/>
                <w:sz w:val="20"/>
                <w:szCs w:val="20"/>
              </w:rPr>
            </w:pPr>
            <w:r>
              <w:rPr>
                <w:rFonts w:ascii="宋体" w:hAnsi="宋体" w:eastAsia="宋体" w:cs="宋体"/>
                <w:spacing w:val="5"/>
                <w:sz w:val="20"/>
                <w:szCs w:val="20"/>
              </w:rPr>
              <w:t>二级/三</w:t>
            </w:r>
            <w:r>
              <w:rPr>
                <w:rFonts w:ascii="宋体" w:hAnsi="宋体" w:eastAsia="宋体" w:cs="宋体"/>
                <w:sz w:val="20"/>
                <w:szCs w:val="20"/>
              </w:rPr>
              <w:t>级</w:t>
            </w:r>
          </w:p>
        </w:tc>
        <w:tc>
          <w:tcPr>
            <w:tcW w:w="1071" w:type="dxa"/>
            <w:vAlign w:val="top"/>
          </w:tcPr>
          <w:p w14:paraId="7A8696B7">
            <w:pPr>
              <w:pStyle w:val="6"/>
              <w:spacing w:before="225" w:line="275" w:lineRule="exact"/>
              <w:ind w:left="223"/>
            </w:pPr>
            <w:r>
              <w:rPr>
                <w:spacing w:val="1"/>
                <w:position w:val="2"/>
              </w:rPr>
              <w:t>105.445</w:t>
            </w:r>
          </w:p>
        </w:tc>
        <w:tc>
          <w:tcPr>
            <w:tcW w:w="1113" w:type="dxa"/>
            <w:vAlign w:val="top"/>
          </w:tcPr>
          <w:p w14:paraId="668051AC">
            <w:pPr>
              <w:rPr>
                <w:rFonts w:ascii="Arial"/>
                <w:sz w:val="21"/>
              </w:rPr>
            </w:pPr>
          </w:p>
        </w:tc>
        <w:tc>
          <w:tcPr>
            <w:tcW w:w="1028" w:type="dxa"/>
            <w:vAlign w:val="top"/>
          </w:tcPr>
          <w:p w14:paraId="580CEF5A">
            <w:pPr>
              <w:pStyle w:val="6"/>
              <w:spacing w:before="225" w:line="275" w:lineRule="exact"/>
              <w:ind w:left="286"/>
            </w:pPr>
            <w:r>
              <w:rPr>
                <w:spacing w:val="4"/>
                <w:position w:val="2"/>
              </w:rPr>
              <w:t>43.56</w:t>
            </w:r>
          </w:p>
        </w:tc>
        <w:tc>
          <w:tcPr>
            <w:tcW w:w="3175" w:type="dxa"/>
            <w:tcBorders>
              <w:right w:val="single" w:color="000000" w:sz="10" w:space="0"/>
            </w:tcBorders>
            <w:vAlign w:val="top"/>
          </w:tcPr>
          <w:p w14:paraId="565A5926">
            <w:pPr>
              <w:rPr>
                <w:rFonts w:ascii="Arial"/>
                <w:sz w:val="21"/>
              </w:rPr>
            </w:pPr>
          </w:p>
        </w:tc>
      </w:tr>
      <w:tr w14:paraId="6836F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48B8F5D3">
            <w:pPr>
              <w:pStyle w:val="6"/>
              <w:spacing w:before="153" w:line="192" w:lineRule="auto"/>
              <w:ind w:left="255"/>
            </w:pPr>
            <w:r>
              <w:t>7</w:t>
            </w:r>
          </w:p>
        </w:tc>
        <w:tc>
          <w:tcPr>
            <w:tcW w:w="641" w:type="dxa"/>
            <w:vMerge w:val="continue"/>
            <w:tcBorders>
              <w:top w:val="nil"/>
              <w:bottom w:val="nil"/>
            </w:tcBorders>
            <w:vAlign w:val="top"/>
          </w:tcPr>
          <w:p w14:paraId="778E42C9">
            <w:pPr>
              <w:rPr>
                <w:rFonts w:ascii="Arial"/>
                <w:sz w:val="21"/>
              </w:rPr>
            </w:pPr>
          </w:p>
        </w:tc>
        <w:tc>
          <w:tcPr>
            <w:tcW w:w="771" w:type="dxa"/>
            <w:vAlign w:val="top"/>
          </w:tcPr>
          <w:p w14:paraId="284D2304">
            <w:pPr>
              <w:pStyle w:val="6"/>
              <w:spacing w:before="83" w:line="274" w:lineRule="exact"/>
              <w:ind w:left="169"/>
            </w:pPr>
            <w:r>
              <w:rPr>
                <w:spacing w:val="1"/>
                <w:position w:val="2"/>
              </w:rPr>
              <w:t>S308</w:t>
            </w:r>
          </w:p>
        </w:tc>
        <w:tc>
          <w:tcPr>
            <w:tcW w:w="6399" w:type="dxa"/>
            <w:gridSpan w:val="2"/>
            <w:vAlign w:val="top"/>
          </w:tcPr>
          <w:p w14:paraId="62733AFB">
            <w:pPr>
              <w:spacing w:before="114" w:line="228" w:lineRule="auto"/>
              <w:ind w:left="2471"/>
              <w:rPr>
                <w:rFonts w:ascii="宋体" w:hAnsi="宋体" w:eastAsia="宋体" w:cs="宋体"/>
                <w:sz w:val="20"/>
                <w:szCs w:val="20"/>
              </w:rPr>
            </w:pPr>
            <w:r>
              <w:rPr>
                <w:rFonts w:ascii="宋体" w:hAnsi="宋体" w:eastAsia="宋体" w:cs="宋体"/>
                <w:spacing w:val="7"/>
                <w:sz w:val="20"/>
                <w:szCs w:val="20"/>
              </w:rPr>
              <w:t>富冲至驾车公路</w:t>
            </w:r>
          </w:p>
        </w:tc>
        <w:tc>
          <w:tcPr>
            <w:tcW w:w="2204" w:type="dxa"/>
            <w:vAlign w:val="top"/>
          </w:tcPr>
          <w:p w14:paraId="5390FDDA">
            <w:pPr>
              <w:spacing w:before="114" w:line="229" w:lineRule="auto"/>
              <w:ind w:left="903"/>
              <w:rPr>
                <w:rFonts w:ascii="宋体" w:hAnsi="宋体" w:eastAsia="宋体" w:cs="宋体"/>
                <w:sz w:val="20"/>
                <w:szCs w:val="20"/>
              </w:rPr>
            </w:pPr>
            <w:r>
              <w:rPr>
                <w:rFonts w:ascii="宋体" w:hAnsi="宋体" w:eastAsia="宋体" w:cs="宋体"/>
                <w:sz w:val="20"/>
                <w:szCs w:val="20"/>
              </w:rPr>
              <w:t>富冲</w:t>
            </w:r>
          </w:p>
        </w:tc>
        <w:tc>
          <w:tcPr>
            <w:tcW w:w="2066" w:type="dxa"/>
            <w:vAlign w:val="top"/>
          </w:tcPr>
          <w:p w14:paraId="6B69D213">
            <w:pPr>
              <w:spacing w:before="114" w:line="228" w:lineRule="auto"/>
              <w:ind w:left="836"/>
              <w:rPr>
                <w:rFonts w:ascii="宋体" w:hAnsi="宋体" w:eastAsia="宋体" w:cs="宋体"/>
                <w:sz w:val="20"/>
                <w:szCs w:val="20"/>
              </w:rPr>
            </w:pPr>
            <w:r>
              <w:rPr>
                <w:rFonts w:ascii="宋体" w:hAnsi="宋体" w:eastAsia="宋体" w:cs="宋体"/>
                <w:spacing w:val="1"/>
                <w:sz w:val="20"/>
                <w:szCs w:val="20"/>
              </w:rPr>
              <w:t>驾车</w:t>
            </w:r>
          </w:p>
        </w:tc>
        <w:tc>
          <w:tcPr>
            <w:tcW w:w="920" w:type="dxa"/>
            <w:vAlign w:val="top"/>
          </w:tcPr>
          <w:p w14:paraId="4DD69F56">
            <w:pPr>
              <w:spacing w:before="114" w:line="229" w:lineRule="auto"/>
              <w:ind w:left="259"/>
              <w:rPr>
                <w:rFonts w:ascii="宋体" w:hAnsi="宋体" w:eastAsia="宋体" w:cs="宋体"/>
                <w:sz w:val="20"/>
                <w:szCs w:val="20"/>
              </w:rPr>
            </w:pPr>
            <w:r>
              <w:rPr>
                <w:rFonts w:ascii="宋体" w:hAnsi="宋体" w:eastAsia="宋体" w:cs="宋体"/>
                <w:spacing w:val="4"/>
                <w:sz w:val="20"/>
                <w:szCs w:val="20"/>
              </w:rPr>
              <w:t>扩建</w:t>
            </w:r>
          </w:p>
        </w:tc>
        <w:tc>
          <w:tcPr>
            <w:tcW w:w="963" w:type="dxa"/>
            <w:vAlign w:val="top"/>
          </w:tcPr>
          <w:p w14:paraId="193B33EC">
            <w:pPr>
              <w:spacing w:before="113"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0990BA0F">
            <w:pPr>
              <w:pStyle w:val="6"/>
              <w:spacing w:before="83" w:line="274" w:lineRule="exact"/>
              <w:ind w:left="252"/>
            </w:pPr>
            <w:r>
              <w:rPr>
                <w:spacing w:val="3"/>
                <w:position w:val="2"/>
              </w:rPr>
              <w:t>45.274</w:t>
            </w:r>
          </w:p>
        </w:tc>
        <w:tc>
          <w:tcPr>
            <w:tcW w:w="1113" w:type="dxa"/>
            <w:vAlign w:val="top"/>
          </w:tcPr>
          <w:p w14:paraId="4A72E3FA">
            <w:pPr>
              <w:rPr>
                <w:rFonts w:ascii="Arial"/>
                <w:sz w:val="21"/>
              </w:rPr>
            </w:pPr>
          </w:p>
        </w:tc>
        <w:tc>
          <w:tcPr>
            <w:tcW w:w="1028" w:type="dxa"/>
            <w:vAlign w:val="top"/>
          </w:tcPr>
          <w:p w14:paraId="29E3471E">
            <w:pPr>
              <w:pStyle w:val="6"/>
              <w:spacing w:before="83" w:line="274" w:lineRule="exact"/>
              <w:ind w:left="287"/>
            </w:pPr>
            <w:r>
              <w:rPr>
                <w:spacing w:val="3"/>
                <w:position w:val="2"/>
              </w:rPr>
              <w:t>22.90</w:t>
            </w:r>
          </w:p>
        </w:tc>
        <w:tc>
          <w:tcPr>
            <w:tcW w:w="3175" w:type="dxa"/>
            <w:tcBorders>
              <w:right w:val="single" w:color="000000" w:sz="10" w:space="0"/>
            </w:tcBorders>
            <w:vAlign w:val="top"/>
          </w:tcPr>
          <w:p w14:paraId="6094B0D7">
            <w:pPr>
              <w:rPr>
                <w:rFonts w:ascii="Arial"/>
                <w:sz w:val="21"/>
              </w:rPr>
            </w:pPr>
          </w:p>
        </w:tc>
      </w:tr>
      <w:tr w14:paraId="6F96C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42F4128B">
            <w:pPr>
              <w:pStyle w:val="6"/>
              <w:spacing w:before="84" w:line="274" w:lineRule="exact"/>
              <w:ind w:left="260"/>
            </w:pPr>
            <w:r>
              <w:rPr>
                <w:position w:val="2"/>
              </w:rPr>
              <w:t>8</w:t>
            </w:r>
          </w:p>
        </w:tc>
        <w:tc>
          <w:tcPr>
            <w:tcW w:w="641" w:type="dxa"/>
            <w:vMerge w:val="continue"/>
            <w:tcBorders>
              <w:top w:val="nil"/>
              <w:bottom w:val="nil"/>
            </w:tcBorders>
            <w:vAlign w:val="top"/>
          </w:tcPr>
          <w:p w14:paraId="26F47F9B">
            <w:pPr>
              <w:rPr>
                <w:rFonts w:ascii="Arial"/>
                <w:sz w:val="21"/>
              </w:rPr>
            </w:pPr>
          </w:p>
        </w:tc>
        <w:tc>
          <w:tcPr>
            <w:tcW w:w="771" w:type="dxa"/>
            <w:vAlign w:val="top"/>
          </w:tcPr>
          <w:p w14:paraId="42BA3A62">
            <w:pPr>
              <w:pStyle w:val="6"/>
              <w:spacing w:before="84" w:line="274" w:lineRule="exact"/>
              <w:ind w:left="169"/>
            </w:pPr>
            <w:r>
              <w:rPr>
                <w:spacing w:val="1"/>
                <w:position w:val="2"/>
              </w:rPr>
              <w:t>S309</w:t>
            </w:r>
          </w:p>
        </w:tc>
        <w:tc>
          <w:tcPr>
            <w:tcW w:w="6399" w:type="dxa"/>
            <w:gridSpan w:val="2"/>
            <w:vAlign w:val="top"/>
          </w:tcPr>
          <w:p w14:paraId="355FF169">
            <w:pPr>
              <w:spacing w:before="114" w:line="228" w:lineRule="auto"/>
              <w:ind w:left="2262"/>
              <w:rPr>
                <w:rFonts w:ascii="宋体" w:hAnsi="宋体" w:eastAsia="宋体" w:cs="宋体"/>
                <w:sz w:val="20"/>
                <w:szCs w:val="20"/>
              </w:rPr>
            </w:pPr>
            <w:r>
              <w:rPr>
                <w:rFonts w:ascii="宋体" w:hAnsi="宋体" w:eastAsia="宋体" w:cs="宋体"/>
                <w:spacing w:val="8"/>
                <w:sz w:val="20"/>
                <w:szCs w:val="20"/>
              </w:rPr>
              <w:t>富村至黄泥河段公路</w:t>
            </w:r>
          </w:p>
        </w:tc>
        <w:tc>
          <w:tcPr>
            <w:tcW w:w="2204" w:type="dxa"/>
            <w:vAlign w:val="top"/>
          </w:tcPr>
          <w:p w14:paraId="7B75C4F9">
            <w:pPr>
              <w:spacing w:before="114" w:line="228" w:lineRule="auto"/>
              <w:ind w:left="903"/>
              <w:rPr>
                <w:rFonts w:ascii="宋体" w:hAnsi="宋体" w:eastAsia="宋体" w:cs="宋体"/>
                <w:sz w:val="20"/>
                <w:szCs w:val="20"/>
              </w:rPr>
            </w:pPr>
            <w:r>
              <w:rPr>
                <w:rFonts w:ascii="宋体" w:hAnsi="宋体" w:eastAsia="宋体" w:cs="宋体"/>
                <w:sz w:val="20"/>
                <w:szCs w:val="20"/>
              </w:rPr>
              <w:t>富村</w:t>
            </w:r>
          </w:p>
        </w:tc>
        <w:tc>
          <w:tcPr>
            <w:tcW w:w="2066" w:type="dxa"/>
            <w:vAlign w:val="top"/>
          </w:tcPr>
          <w:p w14:paraId="2414AD15">
            <w:pPr>
              <w:spacing w:before="115" w:line="228" w:lineRule="auto"/>
              <w:ind w:left="723"/>
              <w:rPr>
                <w:rFonts w:ascii="宋体" w:hAnsi="宋体" w:eastAsia="宋体" w:cs="宋体"/>
                <w:sz w:val="20"/>
                <w:szCs w:val="20"/>
              </w:rPr>
            </w:pPr>
            <w:r>
              <w:rPr>
                <w:rFonts w:ascii="宋体" w:hAnsi="宋体" w:eastAsia="宋体" w:cs="宋体"/>
                <w:spacing w:val="7"/>
                <w:sz w:val="20"/>
                <w:szCs w:val="20"/>
              </w:rPr>
              <w:t>黄泥河</w:t>
            </w:r>
          </w:p>
        </w:tc>
        <w:tc>
          <w:tcPr>
            <w:tcW w:w="920" w:type="dxa"/>
            <w:vAlign w:val="top"/>
          </w:tcPr>
          <w:p w14:paraId="04FB993C">
            <w:pPr>
              <w:spacing w:before="115" w:line="228" w:lineRule="auto"/>
              <w:ind w:left="266"/>
              <w:rPr>
                <w:rFonts w:ascii="宋体" w:hAnsi="宋体" w:eastAsia="宋体" w:cs="宋体"/>
                <w:sz w:val="20"/>
                <w:szCs w:val="20"/>
              </w:rPr>
            </w:pPr>
            <w:r>
              <w:rPr>
                <w:rFonts w:ascii="宋体" w:hAnsi="宋体" w:eastAsia="宋体" w:cs="宋体"/>
                <w:spacing w:val="1"/>
                <w:sz w:val="20"/>
                <w:szCs w:val="20"/>
              </w:rPr>
              <w:t>改建</w:t>
            </w:r>
          </w:p>
        </w:tc>
        <w:tc>
          <w:tcPr>
            <w:tcW w:w="963" w:type="dxa"/>
            <w:vAlign w:val="top"/>
          </w:tcPr>
          <w:p w14:paraId="3059FB02">
            <w:pPr>
              <w:spacing w:before="114"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30FC0C11">
            <w:pPr>
              <w:pStyle w:val="6"/>
              <w:spacing w:before="84" w:line="274" w:lineRule="exact"/>
              <w:ind w:left="310"/>
            </w:pPr>
            <w:r>
              <w:rPr>
                <w:spacing w:val="3"/>
                <w:position w:val="2"/>
              </w:rPr>
              <w:t>38.75</w:t>
            </w:r>
          </w:p>
        </w:tc>
        <w:tc>
          <w:tcPr>
            <w:tcW w:w="1113" w:type="dxa"/>
            <w:vAlign w:val="top"/>
          </w:tcPr>
          <w:p w14:paraId="14702D29">
            <w:pPr>
              <w:rPr>
                <w:rFonts w:ascii="Arial"/>
                <w:sz w:val="21"/>
              </w:rPr>
            </w:pPr>
          </w:p>
        </w:tc>
        <w:tc>
          <w:tcPr>
            <w:tcW w:w="1028" w:type="dxa"/>
            <w:vAlign w:val="top"/>
          </w:tcPr>
          <w:p w14:paraId="734E85BA">
            <w:pPr>
              <w:pStyle w:val="6"/>
              <w:spacing w:before="84" w:line="274" w:lineRule="exact"/>
              <w:ind w:left="307"/>
            </w:pPr>
            <w:r>
              <w:rPr>
                <w:spacing w:val="-1"/>
                <w:position w:val="2"/>
              </w:rPr>
              <w:t>17.32</w:t>
            </w:r>
          </w:p>
        </w:tc>
        <w:tc>
          <w:tcPr>
            <w:tcW w:w="3175" w:type="dxa"/>
            <w:tcBorders>
              <w:right w:val="single" w:color="000000" w:sz="10" w:space="0"/>
            </w:tcBorders>
            <w:vAlign w:val="top"/>
          </w:tcPr>
          <w:p w14:paraId="0035F868">
            <w:pPr>
              <w:rPr>
                <w:rFonts w:ascii="Arial"/>
                <w:sz w:val="21"/>
              </w:rPr>
            </w:pPr>
          </w:p>
        </w:tc>
      </w:tr>
      <w:tr w14:paraId="13FB2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4681FA9C">
            <w:pPr>
              <w:rPr>
                <w:rFonts w:ascii="Arial"/>
                <w:sz w:val="21"/>
              </w:rPr>
            </w:pPr>
          </w:p>
        </w:tc>
        <w:tc>
          <w:tcPr>
            <w:tcW w:w="641" w:type="dxa"/>
            <w:vMerge w:val="continue"/>
            <w:tcBorders>
              <w:top w:val="nil"/>
            </w:tcBorders>
            <w:vAlign w:val="top"/>
          </w:tcPr>
          <w:p w14:paraId="7716ABEF">
            <w:pPr>
              <w:rPr>
                <w:rFonts w:ascii="Arial"/>
                <w:sz w:val="21"/>
              </w:rPr>
            </w:pPr>
          </w:p>
        </w:tc>
        <w:tc>
          <w:tcPr>
            <w:tcW w:w="7170" w:type="dxa"/>
            <w:gridSpan w:val="3"/>
            <w:vAlign w:val="top"/>
          </w:tcPr>
          <w:p w14:paraId="1901DB3F">
            <w:pPr>
              <w:spacing w:before="115" w:line="230" w:lineRule="auto"/>
              <w:ind w:left="3379"/>
              <w:rPr>
                <w:rFonts w:ascii="宋体" w:hAnsi="宋体" w:eastAsia="宋体" w:cs="宋体"/>
                <w:sz w:val="20"/>
                <w:szCs w:val="20"/>
              </w:rPr>
            </w:pPr>
            <w:r>
              <w:rPr>
                <w:rFonts w:ascii="宋体" w:hAnsi="宋体" w:eastAsia="宋体" w:cs="宋体"/>
                <w:b/>
                <w:bCs/>
                <w:spacing w:val="1"/>
                <w:sz w:val="20"/>
                <w:szCs w:val="20"/>
              </w:rPr>
              <w:t>小计</w:t>
            </w:r>
          </w:p>
        </w:tc>
        <w:tc>
          <w:tcPr>
            <w:tcW w:w="2204" w:type="dxa"/>
            <w:vAlign w:val="top"/>
          </w:tcPr>
          <w:p w14:paraId="7658F211">
            <w:pPr>
              <w:rPr>
                <w:rFonts w:ascii="Arial"/>
                <w:sz w:val="21"/>
              </w:rPr>
            </w:pPr>
          </w:p>
        </w:tc>
        <w:tc>
          <w:tcPr>
            <w:tcW w:w="2066" w:type="dxa"/>
            <w:vAlign w:val="top"/>
          </w:tcPr>
          <w:p w14:paraId="55C8AEC6">
            <w:pPr>
              <w:rPr>
                <w:rFonts w:ascii="Arial"/>
                <w:sz w:val="21"/>
              </w:rPr>
            </w:pPr>
          </w:p>
        </w:tc>
        <w:tc>
          <w:tcPr>
            <w:tcW w:w="920" w:type="dxa"/>
            <w:vAlign w:val="top"/>
          </w:tcPr>
          <w:p w14:paraId="519847C3">
            <w:pPr>
              <w:rPr>
                <w:rFonts w:ascii="Arial"/>
                <w:sz w:val="21"/>
              </w:rPr>
            </w:pPr>
          </w:p>
        </w:tc>
        <w:tc>
          <w:tcPr>
            <w:tcW w:w="963" w:type="dxa"/>
            <w:vAlign w:val="top"/>
          </w:tcPr>
          <w:p w14:paraId="31FF7CE9">
            <w:pPr>
              <w:rPr>
                <w:rFonts w:ascii="Arial"/>
                <w:sz w:val="21"/>
              </w:rPr>
            </w:pPr>
          </w:p>
        </w:tc>
        <w:tc>
          <w:tcPr>
            <w:tcW w:w="1071" w:type="dxa"/>
            <w:vAlign w:val="top"/>
          </w:tcPr>
          <w:p w14:paraId="1263752D">
            <w:pPr>
              <w:pStyle w:val="6"/>
              <w:spacing w:before="151" w:line="195" w:lineRule="auto"/>
              <w:ind w:left="205"/>
            </w:pPr>
            <w:r>
              <w:rPr>
                <w:b/>
                <w:bCs/>
                <w:spacing w:val="3"/>
              </w:rPr>
              <w:t>929.095</w:t>
            </w:r>
          </w:p>
        </w:tc>
        <w:tc>
          <w:tcPr>
            <w:tcW w:w="1113" w:type="dxa"/>
            <w:vAlign w:val="top"/>
          </w:tcPr>
          <w:p w14:paraId="39E7E709">
            <w:pPr>
              <w:rPr>
                <w:rFonts w:ascii="Arial"/>
                <w:sz w:val="21"/>
              </w:rPr>
            </w:pPr>
          </w:p>
        </w:tc>
        <w:tc>
          <w:tcPr>
            <w:tcW w:w="1028" w:type="dxa"/>
            <w:vAlign w:val="top"/>
          </w:tcPr>
          <w:p w14:paraId="50461905">
            <w:pPr>
              <w:pStyle w:val="6"/>
              <w:spacing w:before="151" w:line="195" w:lineRule="auto"/>
              <w:ind w:left="233"/>
            </w:pPr>
            <w:r>
              <w:rPr>
                <w:b/>
                <w:bCs/>
                <w:spacing w:val="3"/>
              </w:rPr>
              <w:t>399.89</w:t>
            </w:r>
          </w:p>
        </w:tc>
        <w:tc>
          <w:tcPr>
            <w:tcW w:w="3175" w:type="dxa"/>
            <w:tcBorders>
              <w:right w:val="single" w:color="000000" w:sz="10" w:space="0"/>
            </w:tcBorders>
            <w:vAlign w:val="top"/>
          </w:tcPr>
          <w:p w14:paraId="34130724">
            <w:pPr>
              <w:rPr>
                <w:rFonts w:ascii="Arial"/>
                <w:sz w:val="21"/>
              </w:rPr>
            </w:pPr>
          </w:p>
        </w:tc>
      </w:tr>
      <w:tr w14:paraId="2CC44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50E44391">
            <w:pPr>
              <w:rPr>
                <w:rFonts w:ascii="Arial"/>
                <w:sz w:val="21"/>
              </w:rPr>
            </w:pPr>
          </w:p>
        </w:tc>
        <w:tc>
          <w:tcPr>
            <w:tcW w:w="7811" w:type="dxa"/>
            <w:gridSpan w:val="4"/>
            <w:vAlign w:val="top"/>
          </w:tcPr>
          <w:p w14:paraId="7466C5AA">
            <w:pPr>
              <w:spacing w:before="116" w:line="228" w:lineRule="auto"/>
              <w:ind w:left="19"/>
              <w:rPr>
                <w:rFonts w:ascii="宋体" w:hAnsi="宋体" w:eastAsia="宋体" w:cs="宋体"/>
                <w:sz w:val="20"/>
                <w:szCs w:val="20"/>
              </w:rPr>
            </w:pPr>
            <w:r>
              <w:rPr>
                <w:rFonts w:ascii="宋体" w:hAnsi="宋体" w:eastAsia="宋体" w:cs="宋体"/>
                <w:b/>
                <w:bCs/>
                <w:spacing w:val="3"/>
                <w:sz w:val="20"/>
                <w:szCs w:val="20"/>
              </w:rPr>
              <w:t>（4）</w:t>
            </w:r>
            <w:r>
              <w:rPr>
                <w:rFonts w:ascii="宋体" w:hAnsi="宋体" w:eastAsia="宋体" w:cs="宋体"/>
                <w:spacing w:val="-57"/>
                <w:sz w:val="20"/>
                <w:szCs w:val="20"/>
              </w:rPr>
              <w:t xml:space="preserve"> </w:t>
            </w:r>
            <w:r>
              <w:rPr>
                <w:rFonts w:ascii="宋体" w:hAnsi="宋体" w:eastAsia="宋体" w:cs="宋体"/>
                <w:b/>
                <w:bCs/>
                <w:spacing w:val="3"/>
                <w:sz w:val="20"/>
                <w:szCs w:val="20"/>
              </w:rPr>
              <w:t>中心服务区建设项目&lt;10</w:t>
            </w:r>
            <w:r>
              <w:rPr>
                <w:rFonts w:ascii="宋体" w:hAnsi="宋体" w:eastAsia="宋体" w:cs="宋体"/>
                <w:spacing w:val="-40"/>
                <w:sz w:val="20"/>
                <w:szCs w:val="20"/>
              </w:rPr>
              <w:t xml:space="preserve"> </w:t>
            </w:r>
            <w:r>
              <w:rPr>
                <w:rFonts w:ascii="宋体" w:hAnsi="宋体" w:eastAsia="宋体" w:cs="宋体"/>
                <w:b/>
                <w:bCs/>
                <w:spacing w:val="3"/>
                <w:sz w:val="20"/>
                <w:szCs w:val="20"/>
              </w:rPr>
              <w:t>个&gt;</w:t>
            </w:r>
          </w:p>
        </w:tc>
        <w:tc>
          <w:tcPr>
            <w:tcW w:w="2204" w:type="dxa"/>
            <w:vAlign w:val="top"/>
          </w:tcPr>
          <w:p w14:paraId="4FC68B44">
            <w:pPr>
              <w:rPr>
                <w:rFonts w:ascii="Arial"/>
                <w:sz w:val="21"/>
              </w:rPr>
            </w:pPr>
          </w:p>
        </w:tc>
        <w:tc>
          <w:tcPr>
            <w:tcW w:w="2066" w:type="dxa"/>
            <w:vAlign w:val="top"/>
          </w:tcPr>
          <w:p w14:paraId="155E7ED8">
            <w:pPr>
              <w:rPr>
                <w:rFonts w:ascii="Arial"/>
                <w:sz w:val="21"/>
              </w:rPr>
            </w:pPr>
          </w:p>
        </w:tc>
        <w:tc>
          <w:tcPr>
            <w:tcW w:w="920" w:type="dxa"/>
            <w:vAlign w:val="top"/>
          </w:tcPr>
          <w:p w14:paraId="079C98A5">
            <w:pPr>
              <w:rPr>
                <w:rFonts w:ascii="Arial"/>
                <w:sz w:val="21"/>
              </w:rPr>
            </w:pPr>
          </w:p>
        </w:tc>
        <w:tc>
          <w:tcPr>
            <w:tcW w:w="963" w:type="dxa"/>
            <w:vAlign w:val="top"/>
          </w:tcPr>
          <w:p w14:paraId="71F65FC7">
            <w:pPr>
              <w:rPr>
                <w:rFonts w:ascii="Arial"/>
                <w:sz w:val="21"/>
              </w:rPr>
            </w:pPr>
          </w:p>
        </w:tc>
        <w:tc>
          <w:tcPr>
            <w:tcW w:w="1071" w:type="dxa"/>
            <w:vAlign w:val="top"/>
          </w:tcPr>
          <w:p w14:paraId="34327D61">
            <w:pPr>
              <w:rPr>
                <w:rFonts w:ascii="Arial"/>
                <w:sz w:val="21"/>
              </w:rPr>
            </w:pPr>
          </w:p>
        </w:tc>
        <w:tc>
          <w:tcPr>
            <w:tcW w:w="1113" w:type="dxa"/>
            <w:vAlign w:val="top"/>
          </w:tcPr>
          <w:p w14:paraId="42494CA5">
            <w:pPr>
              <w:rPr>
                <w:rFonts w:ascii="Arial"/>
                <w:sz w:val="21"/>
              </w:rPr>
            </w:pPr>
          </w:p>
        </w:tc>
        <w:tc>
          <w:tcPr>
            <w:tcW w:w="1028" w:type="dxa"/>
            <w:vAlign w:val="top"/>
          </w:tcPr>
          <w:p w14:paraId="42108A91">
            <w:pPr>
              <w:pStyle w:val="6"/>
              <w:spacing w:before="154" w:line="195" w:lineRule="auto"/>
              <w:ind w:left="343"/>
            </w:pPr>
            <w:r>
              <w:rPr>
                <w:b/>
                <w:bCs/>
                <w:spacing w:val="2"/>
              </w:rPr>
              <w:t>0.93</w:t>
            </w:r>
          </w:p>
        </w:tc>
        <w:tc>
          <w:tcPr>
            <w:tcW w:w="3175" w:type="dxa"/>
            <w:tcBorders>
              <w:right w:val="single" w:color="000000" w:sz="10" w:space="0"/>
            </w:tcBorders>
            <w:vAlign w:val="top"/>
          </w:tcPr>
          <w:p w14:paraId="1BBDE961">
            <w:pPr>
              <w:rPr>
                <w:rFonts w:ascii="Arial"/>
                <w:sz w:val="21"/>
              </w:rPr>
            </w:pPr>
          </w:p>
        </w:tc>
      </w:tr>
      <w:tr w14:paraId="6052C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75" w:hRule="atLeast"/>
        </w:trPr>
        <w:tc>
          <w:tcPr>
            <w:tcW w:w="639" w:type="dxa"/>
            <w:tcBorders>
              <w:left w:val="single" w:color="000000" w:sz="10" w:space="0"/>
            </w:tcBorders>
            <w:vAlign w:val="top"/>
          </w:tcPr>
          <w:p w14:paraId="5F842B4B">
            <w:pPr>
              <w:rPr>
                <w:rFonts w:ascii="Arial"/>
                <w:sz w:val="21"/>
              </w:rPr>
            </w:pPr>
          </w:p>
        </w:tc>
        <w:tc>
          <w:tcPr>
            <w:tcW w:w="1412" w:type="dxa"/>
            <w:gridSpan w:val="2"/>
            <w:vAlign w:val="top"/>
          </w:tcPr>
          <w:p w14:paraId="16F60AF6">
            <w:pPr>
              <w:rPr>
                <w:rFonts w:ascii="Arial"/>
                <w:sz w:val="21"/>
              </w:rPr>
            </w:pPr>
          </w:p>
        </w:tc>
        <w:tc>
          <w:tcPr>
            <w:tcW w:w="3274" w:type="dxa"/>
            <w:vAlign w:val="top"/>
          </w:tcPr>
          <w:p w14:paraId="4E8650F6">
            <w:pPr>
              <w:spacing w:before="267" w:line="204" w:lineRule="auto"/>
              <w:ind w:left="1116"/>
              <w:rPr>
                <w:rFonts w:ascii="华文楷体" w:hAnsi="华文楷体" w:eastAsia="华文楷体" w:cs="华文楷体"/>
                <w:sz w:val="20"/>
                <w:szCs w:val="20"/>
              </w:rPr>
            </w:pPr>
            <w:r>
              <w:rPr>
                <w:rFonts w:ascii="华文楷体" w:hAnsi="华文楷体" w:eastAsia="华文楷体" w:cs="华文楷体"/>
                <w:spacing w:val="6"/>
                <w:sz w:val="20"/>
                <w:szCs w:val="20"/>
              </w:rPr>
              <w:t>服务区名称</w:t>
            </w:r>
          </w:p>
        </w:tc>
        <w:tc>
          <w:tcPr>
            <w:tcW w:w="3125" w:type="dxa"/>
            <w:vAlign w:val="top"/>
          </w:tcPr>
          <w:p w14:paraId="03042CDD">
            <w:pPr>
              <w:spacing w:before="272" w:line="200" w:lineRule="auto"/>
              <w:ind w:left="1146"/>
              <w:rPr>
                <w:rFonts w:ascii="华文楷体" w:hAnsi="华文楷体" w:eastAsia="华文楷体" w:cs="华文楷体"/>
                <w:sz w:val="20"/>
                <w:szCs w:val="20"/>
              </w:rPr>
            </w:pPr>
            <w:r>
              <w:rPr>
                <w:rFonts w:ascii="华文楷体" w:hAnsi="华文楷体" w:eastAsia="华文楷体" w:cs="华文楷体"/>
                <w:spacing w:val="6"/>
                <w:sz w:val="20"/>
                <w:szCs w:val="20"/>
              </w:rPr>
              <w:t>路线名称</w:t>
            </w:r>
          </w:p>
        </w:tc>
        <w:tc>
          <w:tcPr>
            <w:tcW w:w="2204" w:type="dxa"/>
            <w:vAlign w:val="top"/>
          </w:tcPr>
          <w:p w14:paraId="48488E0C">
            <w:pPr>
              <w:spacing w:before="275" w:line="197" w:lineRule="auto"/>
              <w:ind w:left="698"/>
              <w:rPr>
                <w:rFonts w:ascii="华文楷体" w:hAnsi="华文楷体" w:eastAsia="华文楷体" w:cs="华文楷体"/>
                <w:sz w:val="20"/>
                <w:szCs w:val="20"/>
              </w:rPr>
            </w:pPr>
            <w:r>
              <w:rPr>
                <w:rFonts w:ascii="华文楷体" w:hAnsi="华文楷体" w:eastAsia="华文楷体" w:cs="华文楷体"/>
                <w:spacing w:val="4"/>
                <w:sz w:val="20"/>
                <w:szCs w:val="20"/>
              </w:rPr>
              <w:t>具体位置</w:t>
            </w:r>
          </w:p>
        </w:tc>
        <w:tc>
          <w:tcPr>
            <w:tcW w:w="2066" w:type="dxa"/>
            <w:vAlign w:val="top"/>
          </w:tcPr>
          <w:p w14:paraId="30BC8B73">
            <w:pPr>
              <w:spacing w:before="273" w:line="199" w:lineRule="auto"/>
              <w:ind w:left="423"/>
              <w:rPr>
                <w:rFonts w:ascii="华文楷体" w:hAnsi="华文楷体" w:eastAsia="华文楷体" w:cs="华文楷体"/>
                <w:sz w:val="20"/>
                <w:szCs w:val="20"/>
              </w:rPr>
            </w:pPr>
            <w:r>
              <w:rPr>
                <w:rFonts w:ascii="华文楷体" w:hAnsi="华文楷体" w:eastAsia="华文楷体" w:cs="华文楷体"/>
                <w:spacing w:val="6"/>
                <w:sz w:val="20"/>
                <w:szCs w:val="20"/>
              </w:rPr>
              <w:t>主要功能设置</w:t>
            </w:r>
          </w:p>
        </w:tc>
        <w:tc>
          <w:tcPr>
            <w:tcW w:w="920" w:type="dxa"/>
            <w:vAlign w:val="top"/>
          </w:tcPr>
          <w:p w14:paraId="76A26D5E">
            <w:pPr>
              <w:rPr>
                <w:rFonts w:ascii="Arial"/>
                <w:sz w:val="21"/>
              </w:rPr>
            </w:pPr>
          </w:p>
        </w:tc>
        <w:tc>
          <w:tcPr>
            <w:tcW w:w="963" w:type="dxa"/>
            <w:vAlign w:val="top"/>
          </w:tcPr>
          <w:p w14:paraId="7EE992BF">
            <w:pPr>
              <w:rPr>
                <w:rFonts w:ascii="Arial"/>
                <w:sz w:val="21"/>
              </w:rPr>
            </w:pPr>
          </w:p>
        </w:tc>
        <w:tc>
          <w:tcPr>
            <w:tcW w:w="1071" w:type="dxa"/>
            <w:vAlign w:val="top"/>
          </w:tcPr>
          <w:p w14:paraId="6E486DD4">
            <w:pPr>
              <w:spacing w:before="111" w:line="228" w:lineRule="auto"/>
              <w:ind w:left="33" w:right="33" w:firstLine="115"/>
              <w:rPr>
                <w:rFonts w:ascii="华文楷体" w:hAnsi="华文楷体" w:eastAsia="华文楷体" w:cs="华文楷体"/>
                <w:sz w:val="20"/>
                <w:szCs w:val="20"/>
              </w:rPr>
            </w:pPr>
            <w:r>
              <w:rPr>
                <w:rFonts w:ascii="华文楷体" w:hAnsi="华文楷体" w:eastAsia="华文楷体" w:cs="华文楷体"/>
                <w:spacing w:val="2"/>
                <w:sz w:val="20"/>
                <w:szCs w:val="20"/>
              </w:rPr>
              <w:t>实际用地</w:t>
            </w:r>
            <w:r>
              <w:rPr>
                <w:rFonts w:ascii="华文楷体" w:hAnsi="华文楷体" w:eastAsia="华文楷体" w:cs="华文楷体"/>
                <w:spacing w:val="-1"/>
                <w:sz w:val="20"/>
                <w:szCs w:val="20"/>
              </w:rPr>
              <w:t>规模（亩）</w:t>
            </w:r>
          </w:p>
        </w:tc>
        <w:tc>
          <w:tcPr>
            <w:tcW w:w="1113" w:type="dxa"/>
            <w:vAlign w:val="top"/>
          </w:tcPr>
          <w:p w14:paraId="74FF9D74">
            <w:pPr>
              <w:rPr>
                <w:rFonts w:ascii="Arial"/>
                <w:sz w:val="21"/>
              </w:rPr>
            </w:pPr>
          </w:p>
        </w:tc>
        <w:tc>
          <w:tcPr>
            <w:tcW w:w="1028" w:type="dxa"/>
            <w:vAlign w:val="top"/>
          </w:tcPr>
          <w:p w14:paraId="4EC7CD7F">
            <w:pPr>
              <w:rPr>
                <w:rFonts w:ascii="Arial"/>
                <w:sz w:val="21"/>
              </w:rPr>
            </w:pPr>
          </w:p>
        </w:tc>
        <w:tc>
          <w:tcPr>
            <w:tcW w:w="3175" w:type="dxa"/>
            <w:tcBorders>
              <w:right w:val="single" w:color="000000" w:sz="10" w:space="0"/>
            </w:tcBorders>
            <w:vAlign w:val="top"/>
          </w:tcPr>
          <w:p w14:paraId="554ACEA9">
            <w:pPr>
              <w:rPr>
                <w:rFonts w:ascii="Arial"/>
                <w:sz w:val="21"/>
              </w:rPr>
            </w:pPr>
          </w:p>
        </w:tc>
      </w:tr>
      <w:tr w14:paraId="3ED4B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639" w:type="dxa"/>
            <w:tcBorders>
              <w:left w:val="single" w:color="000000" w:sz="10" w:space="0"/>
              <w:bottom w:val="single" w:color="000000" w:sz="10" w:space="0"/>
            </w:tcBorders>
            <w:vAlign w:val="top"/>
          </w:tcPr>
          <w:p w14:paraId="48098FDB">
            <w:pPr>
              <w:spacing w:line="337" w:lineRule="auto"/>
              <w:rPr>
                <w:rFonts w:ascii="Arial"/>
                <w:sz w:val="21"/>
              </w:rPr>
            </w:pPr>
          </w:p>
          <w:p w14:paraId="65BE5135">
            <w:pPr>
              <w:pStyle w:val="6"/>
              <w:spacing w:before="58" w:line="274" w:lineRule="exact"/>
              <w:ind w:left="272"/>
            </w:pPr>
            <w:r>
              <w:rPr>
                <w:position w:val="1"/>
              </w:rPr>
              <w:t>1</w:t>
            </w:r>
          </w:p>
        </w:tc>
        <w:tc>
          <w:tcPr>
            <w:tcW w:w="1412" w:type="dxa"/>
            <w:gridSpan w:val="2"/>
            <w:tcBorders>
              <w:bottom w:val="single" w:color="000000" w:sz="10" w:space="0"/>
            </w:tcBorders>
            <w:vAlign w:val="top"/>
          </w:tcPr>
          <w:p w14:paraId="2919E6FE">
            <w:pPr>
              <w:spacing w:line="358" w:lineRule="auto"/>
              <w:rPr>
                <w:rFonts w:ascii="Arial"/>
                <w:sz w:val="21"/>
              </w:rPr>
            </w:pPr>
          </w:p>
          <w:p w14:paraId="10AFF4ED">
            <w:pPr>
              <w:spacing w:before="65" w:line="229" w:lineRule="auto"/>
              <w:ind w:left="393"/>
              <w:rPr>
                <w:rFonts w:ascii="宋体" w:hAnsi="宋体" w:eastAsia="宋体" w:cs="宋体"/>
                <w:sz w:val="20"/>
                <w:szCs w:val="20"/>
              </w:rPr>
            </w:pPr>
            <w:r>
              <w:rPr>
                <w:rFonts w:ascii="宋体" w:hAnsi="宋体" w:eastAsia="宋体" w:cs="宋体"/>
                <w:spacing w:val="4"/>
                <w:sz w:val="20"/>
                <w:szCs w:val="20"/>
              </w:rPr>
              <w:t>富源县</w:t>
            </w:r>
          </w:p>
        </w:tc>
        <w:tc>
          <w:tcPr>
            <w:tcW w:w="3274" w:type="dxa"/>
            <w:tcBorders>
              <w:bottom w:val="single" w:color="000000" w:sz="10" w:space="0"/>
            </w:tcBorders>
            <w:vAlign w:val="top"/>
          </w:tcPr>
          <w:p w14:paraId="32133BB9">
            <w:pPr>
              <w:spacing w:line="358" w:lineRule="auto"/>
              <w:rPr>
                <w:rFonts w:ascii="Arial"/>
                <w:sz w:val="21"/>
              </w:rPr>
            </w:pPr>
          </w:p>
          <w:p w14:paraId="4F0F7836">
            <w:pPr>
              <w:spacing w:before="65" w:line="228" w:lineRule="auto"/>
              <w:ind w:left="899"/>
              <w:rPr>
                <w:rFonts w:ascii="宋体" w:hAnsi="宋体" w:eastAsia="宋体" w:cs="宋体"/>
                <w:sz w:val="20"/>
                <w:szCs w:val="20"/>
              </w:rPr>
            </w:pPr>
            <w:r>
              <w:rPr>
                <w:rFonts w:ascii="宋体" w:hAnsi="宋体" w:eastAsia="宋体" w:cs="宋体"/>
                <w:spacing w:val="8"/>
                <w:sz w:val="20"/>
                <w:szCs w:val="20"/>
              </w:rPr>
              <w:t>十八连山服务区</w:t>
            </w:r>
          </w:p>
        </w:tc>
        <w:tc>
          <w:tcPr>
            <w:tcW w:w="3125" w:type="dxa"/>
            <w:tcBorders>
              <w:bottom w:val="single" w:color="000000" w:sz="10" w:space="0"/>
            </w:tcBorders>
            <w:vAlign w:val="top"/>
          </w:tcPr>
          <w:p w14:paraId="26B795BC">
            <w:pPr>
              <w:spacing w:line="330" w:lineRule="auto"/>
              <w:rPr>
                <w:rFonts w:ascii="Arial"/>
                <w:sz w:val="21"/>
              </w:rPr>
            </w:pPr>
          </w:p>
          <w:p w14:paraId="3B9F3F4C">
            <w:pPr>
              <w:pStyle w:val="6"/>
              <w:spacing w:before="65" w:line="274" w:lineRule="exact"/>
              <w:ind w:left="696"/>
              <w:rPr>
                <w:rFonts w:ascii="宋体" w:hAnsi="宋体" w:eastAsia="宋体" w:cs="宋体"/>
              </w:rPr>
            </w:pPr>
            <w:r>
              <w:rPr>
                <w:spacing w:val="4"/>
                <w:position w:val="1"/>
              </w:rPr>
              <w:t>S204</w:t>
            </w:r>
            <w:r>
              <w:rPr>
                <w:spacing w:val="27"/>
                <w:position w:val="1"/>
              </w:rPr>
              <w:t xml:space="preserve"> </w:t>
            </w:r>
            <w:r>
              <w:rPr>
                <w:rFonts w:ascii="宋体" w:hAnsi="宋体" w:eastAsia="宋体" w:cs="宋体"/>
                <w:spacing w:val="4"/>
                <w:position w:val="1"/>
              </w:rPr>
              <w:t>富江二级公路</w:t>
            </w:r>
          </w:p>
        </w:tc>
        <w:tc>
          <w:tcPr>
            <w:tcW w:w="2204" w:type="dxa"/>
            <w:tcBorders>
              <w:bottom w:val="single" w:color="000000" w:sz="10" w:space="0"/>
            </w:tcBorders>
            <w:vAlign w:val="top"/>
          </w:tcPr>
          <w:p w14:paraId="064E48CA">
            <w:pPr>
              <w:spacing w:before="261" w:line="228" w:lineRule="auto"/>
              <w:ind w:left="80"/>
              <w:rPr>
                <w:rFonts w:ascii="宋体" w:hAnsi="宋体" w:eastAsia="宋体" w:cs="宋体"/>
                <w:sz w:val="20"/>
                <w:szCs w:val="20"/>
              </w:rPr>
            </w:pPr>
            <w:r>
              <w:rPr>
                <w:rFonts w:ascii="宋体" w:hAnsi="宋体" w:eastAsia="宋体" w:cs="宋体"/>
                <w:spacing w:val="6"/>
                <w:sz w:val="20"/>
                <w:szCs w:val="20"/>
              </w:rPr>
              <w:t>曲靖市富源县十八连山</w:t>
            </w:r>
          </w:p>
          <w:p w14:paraId="519100A3">
            <w:pPr>
              <w:spacing w:before="82" w:line="228" w:lineRule="auto"/>
              <w:ind w:left="1001"/>
              <w:rPr>
                <w:rFonts w:ascii="宋体" w:hAnsi="宋体" w:eastAsia="宋体" w:cs="宋体"/>
                <w:sz w:val="20"/>
                <w:szCs w:val="20"/>
              </w:rPr>
            </w:pPr>
            <w:r>
              <w:rPr>
                <w:rFonts w:ascii="宋体" w:hAnsi="宋体" w:eastAsia="宋体" w:cs="宋体"/>
                <w:sz w:val="20"/>
                <w:szCs w:val="20"/>
              </w:rPr>
              <w:t>镇</w:t>
            </w:r>
          </w:p>
        </w:tc>
        <w:tc>
          <w:tcPr>
            <w:tcW w:w="2066" w:type="dxa"/>
            <w:tcBorders>
              <w:bottom w:val="single" w:color="000000" w:sz="10" w:space="0"/>
            </w:tcBorders>
            <w:vAlign w:val="top"/>
          </w:tcPr>
          <w:p w14:paraId="18904134">
            <w:pPr>
              <w:spacing w:before="99" w:line="228" w:lineRule="auto"/>
              <w:ind w:left="22"/>
              <w:rPr>
                <w:rFonts w:ascii="宋体" w:hAnsi="宋体" w:eastAsia="宋体" w:cs="宋体"/>
                <w:sz w:val="20"/>
                <w:szCs w:val="20"/>
              </w:rPr>
            </w:pPr>
            <w:r>
              <w:rPr>
                <w:rFonts w:ascii="宋体" w:hAnsi="宋体" w:eastAsia="宋体" w:cs="宋体"/>
                <w:spacing w:val="2"/>
                <w:sz w:val="20"/>
                <w:szCs w:val="20"/>
              </w:rPr>
              <w:t>车辆服务设施、人员服</w:t>
            </w:r>
          </w:p>
          <w:p w14:paraId="56F5EF6A">
            <w:pPr>
              <w:spacing w:before="78" w:line="228" w:lineRule="auto"/>
              <w:ind w:left="22"/>
              <w:rPr>
                <w:rFonts w:ascii="宋体" w:hAnsi="宋体" w:eastAsia="宋体" w:cs="宋体"/>
                <w:sz w:val="20"/>
                <w:szCs w:val="20"/>
              </w:rPr>
            </w:pPr>
            <w:r>
              <w:rPr>
                <w:rFonts w:ascii="宋体" w:hAnsi="宋体" w:eastAsia="宋体" w:cs="宋体"/>
                <w:spacing w:val="2"/>
                <w:sz w:val="20"/>
                <w:szCs w:val="20"/>
              </w:rPr>
              <w:t>务设施、管理及附属设</w:t>
            </w:r>
          </w:p>
          <w:p w14:paraId="078CF8A0">
            <w:pPr>
              <w:spacing w:before="82" w:line="231" w:lineRule="auto"/>
              <w:ind w:left="934"/>
              <w:rPr>
                <w:rFonts w:ascii="宋体" w:hAnsi="宋体" w:eastAsia="宋体" w:cs="宋体"/>
                <w:sz w:val="20"/>
                <w:szCs w:val="20"/>
              </w:rPr>
            </w:pPr>
            <w:r>
              <w:rPr>
                <w:rFonts w:ascii="宋体" w:hAnsi="宋体" w:eastAsia="宋体" w:cs="宋体"/>
                <w:spacing w:val="1"/>
                <w:sz w:val="20"/>
                <w:szCs w:val="20"/>
              </w:rPr>
              <w:t>施</w:t>
            </w:r>
          </w:p>
        </w:tc>
        <w:tc>
          <w:tcPr>
            <w:tcW w:w="920" w:type="dxa"/>
            <w:tcBorders>
              <w:bottom w:val="single" w:color="000000" w:sz="10" w:space="0"/>
            </w:tcBorders>
            <w:vAlign w:val="top"/>
          </w:tcPr>
          <w:p w14:paraId="1AB9C658">
            <w:pPr>
              <w:spacing w:line="358" w:lineRule="auto"/>
              <w:rPr>
                <w:rFonts w:ascii="Arial"/>
                <w:sz w:val="21"/>
              </w:rPr>
            </w:pPr>
          </w:p>
          <w:p w14:paraId="7F034071">
            <w:pPr>
              <w:spacing w:before="65" w:line="228" w:lineRule="auto"/>
              <w:ind w:left="160"/>
              <w:rPr>
                <w:rFonts w:ascii="宋体" w:hAnsi="宋体" w:eastAsia="宋体" w:cs="宋体"/>
                <w:sz w:val="20"/>
                <w:szCs w:val="20"/>
              </w:rPr>
            </w:pPr>
            <w:r>
              <w:rPr>
                <w:rFonts w:ascii="宋体" w:hAnsi="宋体" w:eastAsia="宋体" w:cs="宋体"/>
                <w:spacing w:val="4"/>
                <w:sz w:val="20"/>
                <w:szCs w:val="20"/>
              </w:rPr>
              <w:t>改扩建</w:t>
            </w:r>
          </w:p>
        </w:tc>
        <w:tc>
          <w:tcPr>
            <w:tcW w:w="963" w:type="dxa"/>
            <w:tcBorders>
              <w:bottom w:val="single" w:color="000000" w:sz="10" w:space="0"/>
            </w:tcBorders>
            <w:vAlign w:val="top"/>
          </w:tcPr>
          <w:p w14:paraId="5451EF6B">
            <w:pPr>
              <w:rPr>
                <w:rFonts w:ascii="Arial"/>
                <w:sz w:val="21"/>
              </w:rPr>
            </w:pPr>
          </w:p>
        </w:tc>
        <w:tc>
          <w:tcPr>
            <w:tcW w:w="1071" w:type="dxa"/>
            <w:tcBorders>
              <w:bottom w:val="single" w:color="000000" w:sz="10" w:space="0"/>
            </w:tcBorders>
            <w:vAlign w:val="top"/>
          </w:tcPr>
          <w:p w14:paraId="29750CAD">
            <w:pPr>
              <w:spacing w:line="337" w:lineRule="auto"/>
              <w:rPr>
                <w:rFonts w:ascii="Arial"/>
                <w:sz w:val="21"/>
              </w:rPr>
            </w:pPr>
          </w:p>
          <w:p w14:paraId="2D675882">
            <w:pPr>
              <w:pStyle w:val="6"/>
              <w:spacing w:before="58" w:line="274" w:lineRule="exact"/>
              <w:ind w:left="458"/>
            </w:pPr>
            <w:r>
              <w:rPr>
                <w:spacing w:val="-8"/>
                <w:position w:val="2"/>
              </w:rPr>
              <w:t>10</w:t>
            </w:r>
          </w:p>
        </w:tc>
        <w:tc>
          <w:tcPr>
            <w:tcW w:w="1113" w:type="dxa"/>
            <w:tcBorders>
              <w:bottom w:val="single" w:color="000000" w:sz="10" w:space="0"/>
            </w:tcBorders>
            <w:vAlign w:val="top"/>
          </w:tcPr>
          <w:p w14:paraId="30BD0C03">
            <w:pPr>
              <w:rPr>
                <w:rFonts w:ascii="Arial"/>
                <w:sz w:val="21"/>
              </w:rPr>
            </w:pPr>
          </w:p>
        </w:tc>
        <w:tc>
          <w:tcPr>
            <w:tcW w:w="1028" w:type="dxa"/>
            <w:tcBorders>
              <w:bottom w:val="single" w:color="000000" w:sz="10" w:space="0"/>
            </w:tcBorders>
            <w:vAlign w:val="top"/>
          </w:tcPr>
          <w:p w14:paraId="5D625B99">
            <w:pPr>
              <w:rPr>
                <w:rFonts w:ascii="Arial"/>
                <w:sz w:val="21"/>
              </w:rPr>
            </w:pPr>
          </w:p>
        </w:tc>
        <w:tc>
          <w:tcPr>
            <w:tcW w:w="3175" w:type="dxa"/>
            <w:tcBorders>
              <w:bottom w:val="single" w:color="000000" w:sz="10" w:space="0"/>
              <w:right w:val="single" w:color="000000" w:sz="10" w:space="0"/>
            </w:tcBorders>
            <w:vAlign w:val="top"/>
          </w:tcPr>
          <w:p w14:paraId="7534D617">
            <w:pPr>
              <w:spacing w:line="358" w:lineRule="auto"/>
              <w:rPr>
                <w:rFonts w:ascii="Arial"/>
                <w:sz w:val="21"/>
              </w:rPr>
            </w:pPr>
          </w:p>
          <w:p w14:paraId="2E1957E1">
            <w:pPr>
              <w:spacing w:before="65" w:line="228" w:lineRule="auto"/>
              <w:ind w:left="1304"/>
              <w:rPr>
                <w:rFonts w:ascii="宋体" w:hAnsi="宋体" w:eastAsia="宋体" w:cs="宋体"/>
                <w:sz w:val="20"/>
                <w:szCs w:val="20"/>
              </w:rPr>
            </w:pPr>
            <w:r>
              <w:rPr>
                <w:rFonts w:ascii="宋体" w:hAnsi="宋体" w:eastAsia="宋体" w:cs="宋体"/>
                <w:spacing w:val="-1"/>
                <w:sz w:val="20"/>
                <w:szCs w:val="20"/>
              </w:rPr>
              <w:t>已完工</w:t>
            </w:r>
          </w:p>
        </w:tc>
      </w:tr>
    </w:tbl>
    <w:p w14:paraId="3C98603A">
      <w:pPr>
        <w:pStyle w:val="2"/>
      </w:pPr>
    </w:p>
    <w:p w14:paraId="702F24C3">
      <w:pPr>
        <w:sectPr>
          <w:headerReference r:id="rId149" w:type="default"/>
          <w:footerReference r:id="rId150" w:type="default"/>
          <w:pgSz w:w="23812" w:h="16839"/>
          <w:pgMar w:top="1222" w:right="1407" w:bottom="1007" w:left="1387" w:header="885" w:footer="771" w:gutter="0"/>
          <w:cols w:space="720" w:num="1"/>
        </w:sectPr>
      </w:pPr>
    </w:p>
    <w:p w14:paraId="0AFCCD6B">
      <w:pPr>
        <w:spacing w:before="122"/>
      </w:pPr>
    </w:p>
    <w:tbl>
      <w:tblPr>
        <w:tblStyle w:val="5"/>
        <w:tblW w:w="209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9"/>
        <w:gridCol w:w="1412"/>
        <w:gridCol w:w="3274"/>
        <w:gridCol w:w="3125"/>
        <w:gridCol w:w="2204"/>
        <w:gridCol w:w="2066"/>
        <w:gridCol w:w="920"/>
        <w:gridCol w:w="963"/>
        <w:gridCol w:w="1071"/>
        <w:gridCol w:w="1113"/>
        <w:gridCol w:w="1028"/>
        <w:gridCol w:w="3175"/>
      </w:tblGrid>
      <w:tr w14:paraId="43994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7" w:hRule="atLeast"/>
        </w:trPr>
        <w:tc>
          <w:tcPr>
            <w:tcW w:w="639" w:type="dxa"/>
            <w:tcBorders>
              <w:top w:val="single" w:color="000000" w:sz="10" w:space="0"/>
              <w:left w:val="single" w:color="000000" w:sz="10" w:space="0"/>
            </w:tcBorders>
            <w:vAlign w:val="top"/>
          </w:tcPr>
          <w:p w14:paraId="5A304FF4">
            <w:pPr>
              <w:spacing w:line="317" w:lineRule="auto"/>
              <w:rPr>
                <w:rFonts w:ascii="Arial"/>
                <w:sz w:val="21"/>
              </w:rPr>
            </w:pPr>
          </w:p>
          <w:p w14:paraId="29EEFAD9">
            <w:pPr>
              <w:pStyle w:val="6"/>
              <w:spacing w:before="58" w:line="274" w:lineRule="exact"/>
              <w:ind w:left="252"/>
            </w:pPr>
            <w:r>
              <w:rPr>
                <w:position w:val="1"/>
              </w:rPr>
              <w:t>2</w:t>
            </w:r>
          </w:p>
        </w:tc>
        <w:tc>
          <w:tcPr>
            <w:tcW w:w="1412" w:type="dxa"/>
            <w:tcBorders>
              <w:top w:val="single" w:color="000000" w:sz="10" w:space="0"/>
            </w:tcBorders>
            <w:vAlign w:val="top"/>
          </w:tcPr>
          <w:p w14:paraId="311A0626">
            <w:pPr>
              <w:spacing w:line="340" w:lineRule="auto"/>
              <w:rPr>
                <w:rFonts w:ascii="Arial"/>
                <w:sz w:val="21"/>
              </w:rPr>
            </w:pPr>
          </w:p>
          <w:p w14:paraId="200E484F">
            <w:pPr>
              <w:spacing w:before="65" w:line="229" w:lineRule="auto"/>
              <w:ind w:left="393"/>
              <w:rPr>
                <w:rFonts w:ascii="宋体" w:hAnsi="宋体" w:eastAsia="宋体" w:cs="宋体"/>
                <w:sz w:val="20"/>
                <w:szCs w:val="20"/>
              </w:rPr>
            </w:pPr>
            <w:r>
              <w:rPr>
                <w:rFonts w:ascii="宋体" w:hAnsi="宋体" w:eastAsia="宋体" w:cs="宋体"/>
                <w:spacing w:val="4"/>
                <w:sz w:val="20"/>
                <w:szCs w:val="20"/>
              </w:rPr>
              <w:t>富源县</w:t>
            </w:r>
          </w:p>
        </w:tc>
        <w:tc>
          <w:tcPr>
            <w:tcW w:w="3274" w:type="dxa"/>
            <w:tcBorders>
              <w:top w:val="single" w:color="000000" w:sz="10" w:space="0"/>
            </w:tcBorders>
            <w:vAlign w:val="top"/>
          </w:tcPr>
          <w:p w14:paraId="4A2D5683">
            <w:pPr>
              <w:spacing w:line="341" w:lineRule="auto"/>
              <w:rPr>
                <w:rFonts w:ascii="Arial"/>
                <w:sz w:val="21"/>
              </w:rPr>
            </w:pPr>
          </w:p>
          <w:p w14:paraId="64093136">
            <w:pPr>
              <w:spacing w:before="65" w:line="228" w:lineRule="auto"/>
              <w:ind w:left="1117"/>
              <w:rPr>
                <w:rFonts w:ascii="宋体" w:hAnsi="宋体" w:eastAsia="宋体" w:cs="宋体"/>
                <w:sz w:val="20"/>
                <w:szCs w:val="20"/>
              </w:rPr>
            </w:pPr>
            <w:r>
              <w:rPr>
                <w:rFonts w:ascii="宋体" w:hAnsi="宋体" w:eastAsia="宋体" w:cs="宋体"/>
                <w:spacing w:val="6"/>
                <w:sz w:val="20"/>
                <w:szCs w:val="20"/>
              </w:rPr>
              <w:t>富中服务区</w:t>
            </w:r>
          </w:p>
        </w:tc>
        <w:tc>
          <w:tcPr>
            <w:tcW w:w="3125" w:type="dxa"/>
            <w:tcBorders>
              <w:top w:val="single" w:color="000000" w:sz="10" w:space="0"/>
            </w:tcBorders>
            <w:vAlign w:val="top"/>
          </w:tcPr>
          <w:p w14:paraId="7016C846">
            <w:pPr>
              <w:spacing w:line="310" w:lineRule="auto"/>
              <w:rPr>
                <w:rFonts w:ascii="Arial"/>
                <w:sz w:val="21"/>
              </w:rPr>
            </w:pPr>
          </w:p>
          <w:p w14:paraId="69C51B69">
            <w:pPr>
              <w:pStyle w:val="6"/>
              <w:spacing w:before="65" w:line="274" w:lineRule="exact"/>
              <w:ind w:left="696"/>
              <w:rPr>
                <w:rFonts w:ascii="宋体" w:hAnsi="宋体" w:eastAsia="宋体" w:cs="宋体"/>
              </w:rPr>
            </w:pPr>
            <w:r>
              <w:rPr>
                <w:spacing w:val="4"/>
                <w:position w:val="1"/>
              </w:rPr>
              <w:t>S204</w:t>
            </w:r>
            <w:r>
              <w:rPr>
                <w:spacing w:val="27"/>
                <w:position w:val="1"/>
              </w:rPr>
              <w:t xml:space="preserve"> </w:t>
            </w:r>
            <w:r>
              <w:rPr>
                <w:rFonts w:ascii="宋体" w:hAnsi="宋体" w:eastAsia="宋体" w:cs="宋体"/>
                <w:spacing w:val="4"/>
                <w:position w:val="1"/>
              </w:rPr>
              <w:t>富江二级公路</w:t>
            </w:r>
          </w:p>
        </w:tc>
        <w:tc>
          <w:tcPr>
            <w:tcW w:w="2204" w:type="dxa"/>
            <w:tcBorders>
              <w:top w:val="single" w:color="000000" w:sz="10" w:space="0"/>
            </w:tcBorders>
            <w:vAlign w:val="top"/>
          </w:tcPr>
          <w:p w14:paraId="5748B38E">
            <w:pPr>
              <w:spacing w:line="340" w:lineRule="auto"/>
              <w:rPr>
                <w:rFonts w:ascii="Arial"/>
                <w:sz w:val="21"/>
              </w:rPr>
            </w:pPr>
          </w:p>
          <w:p w14:paraId="2854DF98">
            <w:pPr>
              <w:spacing w:before="65" w:line="228" w:lineRule="auto"/>
              <w:ind w:left="185"/>
              <w:rPr>
                <w:rFonts w:ascii="宋体" w:hAnsi="宋体" w:eastAsia="宋体" w:cs="宋体"/>
                <w:sz w:val="20"/>
                <w:szCs w:val="20"/>
              </w:rPr>
            </w:pPr>
            <w:r>
              <w:rPr>
                <w:rFonts w:ascii="宋体" w:hAnsi="宋体" w:eastAsia="宋体" w:cs="宋体"/>
                <w:spacing w:val="6"/>
                <w:sz w:val="20"/>
                <w:szCs w:val="20"/>
              </w:rPr>
              <w:t>曲靖市富源县富村镇</w:t>
            </w:r>
          </w:p>
        </w:tc>
        <w:tc>
          <w:tcPr>
            <w:tcW w:w="2066" w:type="dxa"/>
            <w:tcBorders>
              <w:top w:val="single" w:color="000000" w:sz="10" w:space="0"/>
            </w:tcBorders>
            <w:vAlign w:val="top"/>
          </w:tcPr>
          <w:p w14:paraId="79198430">
            <w:pPr>
              <w:spacing w:before="79" w:line="228" w:lineRule="auto"/>
              <w:ind w:left="22"/>
              <w:rPr>
                <w:rFonts w:ascii="宋体" w:hAnsi="宋体" w:eastAsia="宋体" w:cs="宋体"/>
                <w:sz w:val="20"/>
                <w:szCs w:val="20"/>
              </w:rPr>
            </w:pPr>
            <w:r>
              <w:rPr>
                <w:rFonts w:ascii="宋体" w:hAnsi="宋体" w:eastAsia="宋体" w:cs="宋体"/>
                <w:spacing w:val="2"/>
                <w:sz w:val="20"/>
                <w:szCs w:val="20"/>
              </w:rPr>
              <w:t>车辆服务设施、人员服</w:t>
            </w:r>
          </w:p>
          <w:p w14:paraId="436313F9">
            <w:pPr>
              <w:spacing w:before="81" w:line="228" w:lineRule="auto"/>
              <w:ind w:left="22"/>
              <w:rPr>
                <w:rFonts w:ascii="宋体" w:hAnsi="宋体" w:eastAsia="宋体" w:cs="宋体"/>
                <w:sz w:val="20"/>
                <w:szCs w:val="20"/>
              </w:rPr>
            </w:pPr>
            <w:r>
              <w:rPr>
                <w:rFonts w:ascii="宋体" w:hAnsi="宋体" w:eastAsia="宋体" w:cs="宋体"/>
                <w:spacing w:val="2"/>
                <w:sz w:val="20"/>
                <w:szCs w:val="20"/>
              </w:rPr>
              <w:t>务设施、管理及附属设</w:t>
            </w:r>
          </w:p>
          <w:p w14:paraId="602AF801">
            <w:pPr>
              <w:spacing w:before="80" w:line="231" w:lineRule="auto"/>
              <w:ind w:left="934"/>
              <w:rPr>
                <w:rFonts w:ascii="宋体" w:hAnsi="宋体" w:eastAsia="宋体" w:cs="宋体"/>
                <w:sz w:val="20"/>
                <w:szCs w:val="20"/>
              </w:rPr>
            </w:pPr>
            <w:r>
              <w:rPr>
                <w:rFonts w:ascii="宋体" w:hAnsi="宋体" w:eastAsia="宋体" w:cs="宋体"/>
                <w:spacing w:val="1"/>
                <w:sz w:val="20"/>
                <w:szCs w:val="20"/>
              </w:rPr>
              <w:t>施</w:t>
            </w:r>
          </w:p>
        </w:tc>
        <w:tc>
          <w:tcPr>
            <w:tcW w:w="920" w:type="dxa"/>
            <w:tcBorders>
              <w:top w:val="single" w:color="000000" w:sz="10" w:space="0"/>
            </w:tcBorders>
            <w:vAlign w:val="top"/>
          </w:tcPr>
          <w:p w14:paraId="65595450">
            <w:pPr>
              <w:spacing w:line="341" w:lineRule="auto"/>
              <w:rPr>
                <w:rFonts w:ascii="Arial"/>
                <w:sz w:val="21"/>
              </w:rPr>
            </w:pPr>
          </w:p>
          <w:p w14:paraId="5A4380DA">
            <w:pPr>
              <w:spacing w:before="65" w:line="228" w:lineRule="auto"/>
              <w:ind w:left="160"/>
              <w:rPr>
                <w:rFonts w:ascii="宋体" w:hAnsi="宋体" w:eastAsia="宋体" w:cs="宋体"/>
                <w:sz w:val="20"/>
                <w:szCs w:val="20"/>
              </w:rPr>
            </w:pPr>
            <w:r>
              <w:rPr>
                <w:rFonts w:ascii="宋体" w:hAnsi="宋体" w:eastAsia="宋体" w:cs="宋体"/>
                <w:spacing w:val="4"/>
                <w:sz w:val="20"/>
                <w:szCs w:val="20"/>
              </w:rPr>
              <w:t>改扩建</w:t>
            </w:r>
          </w:p>
        </w:tc>
        <w:tc>
          <w:tcPr>
            <w:tcW w:w="963" w:type="dxa"/>
            <w:tcBorders>
              <w:top w:val="single" w:color="000000" w:sz="10" w:space="0"/>
            </w:tcBorders>
            <w:vAlign w:val="top"/>
          </w:tcPr>
          <w:p w14:paraId="3CE791F3">
            <w:pPr>
              <w:rPr>
                <w:rFonts w:ascii="Arial"/>
                <w:sz w:val="21"/>
              </w:rPr>
            </w:pPr>
          </w:p>
        </w:tc>
        <w:tc>
          <w:tcPr>
            <w:tcW w:w="1071" w:type="dxa"/>
            <w:tcBorders>
              <w:top w:val="single" w:color="000000" w:sz="10" w:space="0"/>
            </w:tcBorders>
            <w:vAlign w:val="top"/>
          </w:tcPr>
          <w:p w14:paraId="79D0C7D0">
            <w:pPr>
              <w:spacing w:line="317" w:lineRule="auto"/>
              <w:rPr>
                <w:rFonts w:ascii="Arial"/>
                <w:sz w:val="21"/>
              </w:rPr>
            </w:pPr>
          </w:p>
          <w:p w14:paraId="583E21D8">
            <w:pPr>
              <w:pStyle w:val="6"/>
              <w:spacing w:before="58" w:line="274" w:lineRule="exact"/>
              <w:ind w:left="458"/>
            </w:pPr>
            <w:r>
              <w:rPr>
                <w:spacing w:val="-8"/>
                <w:position w:val="2"/>
              </w:rPr>
              <w:t>10</w:t>
            </w:r>
          </w:p>
        </w:tc>
        <w:tc>
          <w:tcPr>
            <w:tcW w:w="1113" w:type="dxa"/>
            <w:tcBorders>
              <w:top w:val="single" w:color="000000" w:sz="10" w:space="0"/>
            </w:tcBorders>
            <w:vAlign w:val="top"/>
          </w:tcPr>
          <w:p w14:paraId="773BF4C8">
            <w:pPr>
              <w:rPr>
                <w:rFonts w:ascii="Arial"/>
                <w:sz w:val="21"/>
              </w:rPr>
            </w:pPr>
          </w:p>
        </w:tc>
        <w:tc>
          <w:tcPr>
            <w:tcW w:w="1028" w:type="dxa"/>
            <w:tcBorders>
              <w:top w:val="single" w:color="000000" w:sz="10" w:space="0"/>
            </w:tcBorders>
            <w:vAlign w:val="top"/>
          </w:tcPr>
          <w:p w14:paraId="06F4D2F0">
            <w:pPr>
              <w:rPr>
                <w:rFonts w:ascii="Arial"/>
                <w:sz w:val="21"/>
              </w:rPr>
            </w:pPr>
          </w:p>
        </w:tc>
        <w:tc>
          <w:tcPr>
            <w:tcW w:w="3175" w:type="dxa"/>
            <w:tcBorders>
              <w:top w:val="single" w:color="000000" w:sz="10" w:space="0"/>
              <w:right w:val="single" w:color="000000" w:sz="10" w:space="0"/>
            </w:tcBorders>
            <w:vAlign w:val="top"/>
          </w:tcPr>
          <w:p w14:paraId="222A7ED4">
            <w:pPr>
              <w:spacing w:line="341" w:lineRule="auto"/>
              <w:rPr>
                <w:rFonts w:ascii="Arial"/>
                <w:sz w:val="21"/>
              </w:rPr>
            </w:pPr>
          </w:p>
          <w:p w14:paraId="23C23D6C">
            <w:pPr>
              <w:spacing w:before="65" w:line="228" w:lineRule="auto"/>
              <w:ind w:left="1304"/>
              <w:rPr>
                <w:rFonts w:ascii="宋体" w:hAnsi="宋体" w:eastAsia="宋体" w:cs="宋体"/>
                <w:sz w:val="20"/>
                <w:szCs w:val="20"/>
              </w:rPr>
            </w:pPr>
            <w:r>
              <w:rPr>
                <w:rFonts w:ascii="宋体" w:hAnsi="宋体" w:eastAsia="宋体" w:cs="宋体"/>
                <w:spacing w:val="-1"/>
                <w:sz w:val="20"/>
                <w:szCs w:val="20"/>
              </w:rPr>
              <w:t>已完工</w:t>
            </w:r>
          </w:p>
        </w:tc>
      </w:tr>
      <w:tr w14:paraId="27042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6A857B2C">
            <w:pPr>
              <w:pStyle w:val="6"/>
              <w:spacing w:before="209" w:line="275" w:lineRule="exact"/>
              <w:ind w:left="256"/>
            </w:pPr>
            <w:r>
              <w:rPr>
                <w:position w:val="2"/>
              </w:rPr>
              <w:t>3</w:t>
            </w:r>
          </w:p>
        </w:tc>
        <w:tc>
          <w:tcPr>
            <w:tcW w:w="1412" w:type="dxa"/>
            <w:vAlign w:val="top"/>
          </w:tcPr>
          <w:p w14:paraId="220E65F7">
            <w:pPr>
              <w:spacing w:before="240" w:line="228" w:lineRule="auto"/>
              <w:ind w:left="384"/>
              <w:rPr>
                <w:rFonts w:ascii="宋体" w:hAnsi="宋体" w:eastAsia="宋体" w:cs="宋体"/>
                <w:sz w:val="20"/>
                <w:szCs w:val="20"/>
              </w:rPr>
            </w:pPr>
            <w:r>
              <w:rPr>
                <w:rFonts w:ascii="宋体" w:hAnsi="宋体" w:eastAsia="宋体" w:cs="宋体"/>
                <w:spacing w:val="7"/>
                <w:sz w:val="20"/>
                <w:szCs w:val="20"/>
              </w:rPr>
              <w:t>会泽县</w:t>
            </w:r>
          </w:p>
        </w:tc>
        <w:tc>
          <w:tcPr>
            <w:tcW w:w="3274" w:type="dxa"/>
            <w:vAlign w:val="top"/>
          </w:tcPr>
          <w:p w14:paraId="0A885CB3">
            <w:pPr>
              <w:spacing w:before="241" w:line="228" w:lineRule="auto"/>
              <w:ind w:left="1006"/>
              <w:rPr>
                <w:rFonts w:ascii="宋体" w:hAnsi="宋体" w:eastAsia="宋体" w:cs="宋体"/>
                <w:sz w:val="20"/>
                <w:szCs w:val="20"/>
              </w:rPr>
            </w:pPr>
            <w:r>
              <w:rPr>
                <w:rFonts w:ascii="宋体" w:hAnsi="宋体" w:eastAsia="宋体" w:cs="宋体"/>
                <w:spacing w:val="7"/>
                <w:sz w:val="20"/>
                <w:szCs w:val="20"/>
              </w:rPr>
              <w:t>卡子河服务区</w:t>
            </w:r>
          </w:p>
        </w:tc>
        <w:tc>
          <w:tcPr>
            <w:tcW w:w="3125" w:type="dxa"/>
            <w:vAlign w:val="top"/>
          </w:tcPr>
          <w:p w14:paraId="7E2C1862">
            <w:pPr>
              <w:pStyle w:val="6"/>
              <w:spacing w:before="209" w:line="275" w:lineRule="exact"/>
              <w:ind w:left="1094"/>
              <w:rPr>
                <w:rFonts w:ascii="宋体" w:hAnsi="宋体" w:eastAsia="宋体" w:cs="宋体"/>
              </w:rPr>
            </w:pPr>
            <w:r>
              <w:rPr>
                <w:position w:val="1"/>
              </w:rPr>
              <w:t>G213</w:t>
            </w:r>
            <w:r>
              <w:rPr>
                <w:spacing w:val="33"/>
                <w:position w:val="1"/>
              </w:rPr>
              <w:t xml:space="preserve"> </w:t>
            </w:r>
            <w:r>
              <w:rPr>
                <w:rFonts w:ascii="宋体" w:hAnsi="宋体" w:eastAsia="宋体" w:cs="宋体"/>
                <w:position w:val="1"/>
              </w:rPr>
              <w:t>国道</w:t>
            </w:r>
          </w:p>
        </w:tc>
        <w:tc>
          <w:tcPr>
            <w:tcW w:w="2204" w:type="dxa"/>
            <w:vAlign w:val="top"/>
          </w:tcPr>
          <w:p w14:paraId="7D62563E">
            <w:pPr>
              <w:spacing w:before="241" w:line="228" w:lineRule="auto"/>
              <w:ind w:left="474"/>
              <w:rPr>
                <w:rFonts w:ascii="宋体" w:hAnsi="宋体" w:eastAsia="宋体" w:cs="宋体"/>
                <w:sz w:val="20"/>
                <w:szCs w:val="20"/>
              </w:rPr>
            </w:pPr>
            <w:r>
              <w:rPr>
                <w:rFonts w:ascii="宋体" w:hAnsi="宋体" w:eastAsia="宋体" w:cs="宋体"/>
                <w:spacing w:val="8"/>
                <w:sz w:val="20"/>
                <w:szCs w:val="20"/>
              </w:rPr>
              <w:t>迤车镇卡子河</w:t>
            </w:r>
          </w:p>
        </w:tc>
        <w:tc>
          <w:tcPr>
            <w:tcW w:w="2066" w:type="dxa"/>
            <w:vAlign w:val="top"/>
          </w:tcPr>
          <w:p w14:paraId="3C1A0F9C">
            <w:pPr>
              <w:spacing w:before="77" w:line="228" w:lineRule="auto"/>
              <w:jc w:val="right"/>
              <w:rPr>
                <w:rFonts w:ascii="宋体" w:hAnsi="宋体" w:eastAsia="宋体" w:cs="宋体"/>
                <w:sz w:val="20"/>
                <w:szCs w:val="20"/>
              </w:rPr>
            </w:pPr>
            <w:r>
              <w:rPr>
                <w:rFonts w:ascii="宋体" w:hAnsi="宋体" w:eastAsia="宋体" w:cs="宋体"/>
                <w:spacing w:val="-15"/>
                <w:sz w:val="20"/>
                <w:szCs w:val="20"/>
              </w:rPr>
              <w:t>便利店、停车场、加水、</w:t>
            </w:r>
          </w:p>
          <w:p w14:paraId="55797541">
            <w:pPr>
              <w:spacing w:before="79" w:line="231" w:lineRule="auto"/>
              <w:ind w:left="836"/>
              <w:rPr>
                <w:rFonts w:ascii="宋体" w:hAnsi="宋体" w:eastAsia="宋体" w:cs="宋体"/>
                <w:sz w:val="20"/>
                <w:szCs w:val="20"/>
              </w:rPr>
            </w:pPr>
            <w:r>
              <w:rPr>
                <w:rFonts w:ascii="宋体" w:hAnsi="宋体" w:eastAsia="宋体" w:cs="宋体"/>
                <w:spacing w:val="1"/>
                <w:sz w:val="20"/>
                <w:szCs w:val="20"/>
              </w:rPr>
              <w:t>公厕</w:t>
            </w:r>
          </w:p>
        </w:tc>
        <w:tc>
          <w:tcPr>
            <w:tcW w:w="920" w:type="dxa"/>
            <w:vAlign w:val="top"/>
          </w:tcPr>
          <w:p w14:paraId="221AD8A5">
            <w:pPr>
              <w:spacing w:before="241" w:line="228" w:lineRule="auto"/>
              <w:ind w:left="160"/>
              <w:rPr>
                <w:rFonts w:ascii="宋体" w:hAnsi="宋体" w:eastAsia="宋体" w:cs="宋体"/>
                <w:sz w:val="20"/>
                <w:szCs w:val="20"/>
              </w:rPr>
            </w:pPr>
            <w:r>
              <w:rPr>
                <w:rFonts w:ascii="宋体" w:hAnsi="宋体" w:eastAsia="宋体" w:cs="宋体"/>
                <w:spacing w:val="4"/>
                <w:sz w:val="20"/>
                <w:szCs w:val="20"/>
              </w:rPr>
              <w:t>改扩建</w:t>
            </w:r>
          </w:p>
        </w:tc>
        <w:tc>
          <w:tcPr>
            <w:tcW w:w="963" w:type="dxa"/>
            <w:vAlign w:val="top"/>
          </w:tcPr>
          <w:p w14:paraId="7B42B4F1">
            <w:pPr>
              <w:rPr>
                <w:rFonts w:ascii="Arial"/>
                <w:sz w:val="21"/>
              </w:rPr>
            </w:pPr>
          </w:p>
        </w:tc>
        <w:tc>
          <w:tcPr>
            <w:tcW w:w="1071" w:type="dxa"/>
            <w:vAlign w:val="top"/>
          </w:tcPr>
          <w:p w14:paraId="369D284C">
            <w:pPr>
              <w:pStyle w:val="6"/>
              <w:spacing w:before="209" w:line="275" w:lineRule="exact"/>
              <w:ind w:left="458"/>
            </w:pPr>
            <w:r>
              <w:rPr>
                <w:spacing w:val="-8"/>
                <w:position w:val="2"/>
              </w:rPr>
              <w:t>10</w:t>
            </w:r>
          </w:p>
        </w:tc>
        <w:tc>
          <w:tcPr>
            <w:tcW w:w="1113" w:type="dxa"/>
            <w:vAlign w:val="top"/>
          </w:tcPr>
          <w:p w14:paraId="32062263">
            <w:pPr>
              <w:rPr>
                <w:rFonts w:ascii="Arial"/>
                <w:sz w:val="21"/>
              </w:rPr>
            </w:pPr>
          </w:p>
        </w:tc>
        <w:tc>
          <w:tcPr>
            <w:tcW w:w="1028" w:type="dxa"/>
            <w:vAlign w:val="top"/>
          </w:tcPr>
          <w:p w14:paraId="07710F59">
            <w:pPr>
              <w:pStyle w:val="6"/>
              <w:spacing w:before="209" w:line="275" w:lineRule="exact"/>
              <w:ind w:left="290"/>
            </w:pPr>
            <w:r>
              <w:rPr>
                <w:spacing w:val="3"/>
                <w:position w:val="2"/>
              </w:rPr>
              <w:t>0.014</w:t>
            </w:r>
          </w:p>
        </w:tc>
        <w:tc>
          <w:tcPr>
            <w:tcW w:w="3175" w:type="dxa"/>
            <w:tcBorders>
              <w:right w:val="single" w:color="000000" w:sz="10" w:space="0"/>
            </w:tcBorders>
            <w:vAlign w:val="top"/>
          </w:tcPr>
          <w:p w14:paraId="397F106E">
            <w:pPr>
              <w:spacing w:before="241" w:line="228" w:lineRule="auto"/>
              <w:ind w:left="1304"/>
              <w:rPr>
                <w:rFonts w:ascii="宋体" w:hAnsi="宋体" w:eastAsia="宋体" w:cs="宋体"/>
                <w:sz w:val="20"/>
                <w:szCs w:val="20"/>
              </w:rPr>
            </w:pPr>
            <w:r>
              <w:rPr>
                <w:rFonts w:ascii="宋体" w:hAnsi="宋体" w:eastAsia="宋体" w:cs="宋体"/>
                <w:spacing w:val="-1"/>
                <w:sz w:val="20"/>
                <w:szCs w:val="20"/>
              </w:rPr>
              <w:t>已完工</w:t>
            </w:r>
          </w:p>
        </w:tc>
      </w:tr>
      <w:tr w14:paraId="4CD77C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6FB23019">
            <w:pPr>
              <w:pStyle w:val="6"/>
              <w:spacing w:before="211" w:line="274" w:lineRule="exact"/>
              <w:ind w:left="251"/>
            </w:pPr>
            <w:r>
              <w:rPr>
                <w:spacing w:val="1"/>
                <w:position w:val="1"/>
              </w:rPr>
              <w:t>4</w:t>
            </w:r>
          </w:p>
        </w:tc>
        <w:tc>
          <w:tcPr>
            <w:tcW w:w="1412" w:type="dxa"/>
            <w:vAlign w:val="top"/>
          </w:tcPr>
          <w:p w14:paraId="34D29B32">
            <w:pPr>
              <w:spacing w:before="241" w:line="228" w:lineRule="auto"/>
              <w:ind w:left="384"/>
              <w:rPr>
                <w:rFonts w:ascii="宋体" w:hAnsi="宋体" w:eastAsia="宋体" w:cs="宋体"/>
                <w:sz w:val="20"/>
                <w:szCs w:val="20"/>
              </w:rPr>
            </w:pPr>
            <w:r>
              <w:rPr>
                <w:rFonts w:ascii="宋体" w:hAnsi="宋体" w:eastAsia="宋体" w:cs="宋体"/>
                <w:spacing w:val="7"/>
                <w:sz w:val="20"/>
                <w:szCs w:val="20"/>
              </w:rPr>
              <w:t>会泽县</w:t>
            </w:r>
          </w:p>
        </w:tc>
        <w:tc>
          <w:tcPr>
            <w:tcW w:w="3274" w:type="dxa"/>
            <w:vAlign w:val="top"/>
          </w:tcPr>
          <w:p w14:paraId="2C674252">
            <w:pPr>
              <w:spacing w:before="241" w:line="228" w:lineRule="auto"/>
              <w:ind w:left="1010"/>
              <w:rPr>
                <w:rFonts w:ascii="宋体" w:hAnsi="宋体" w:eastAsia="宋体" w:cs="宋体"/>
                <w:sz w:val="20"/>
                <w:szCs w:val="20"/>
              </w:rPr>
            </w:pPr>
            <w:r>
              <w:rPr>
                <w:rFonts w:ascii="宋体" w:hAnsi="宋体" w:eastAsia="宋体" w:cs="宋体"/>
                <w:spacing w:val="7"/>
                <w:sz w:val="20"/>
                <w:szCs w:val="20"/>
              </w:rPr>
              <w:t>胡家村服务区</w:t>
            </w:r>
          </w:p>
        </w:tc>
        <w:tc>
          <w:tcPr>
            <w:tcW w:w="3125" w:type="dxa"/>
            <w:vAlign w:val="top"/>
          </w:tcPr>
          <w:p w14:paraId="39C9E005">
            <w:pPr>
              <w:pStyle w:val="6"/>
              <w:spacing w:before="211" w:line="274" w:lineRule="exact"/>
              <w:ind w:left="1094"/>
              <w:rPr>
                <w:rFonts w:ascii="宋体" w:hAnsi="宋体" w:eastAsia="宋体" w:cs="宋体"/>
              </w:rPr>
            </w:pPr>
            <w:r>
              <w:rPr>
                <w:position w:val="1"/>
              </w:rPr>
              <w:t>G213</w:t>
            </w:r>
            <w:r>
              <w:rPr>
                <w:spacing w:val="33"/>
                <w:position w:val="1"/>
              </w:rPr>
              <w:t xml:space="preserve"> </w:t>
            </w:r>
            <w:r>
              <w:rPr>
                <w:rFonts w:ascii="宋体" w:hAnsi="宋体" w:eastAsia="宋体" w:cs="宋体"/>
                <w:position w:val="1"/>
              </w:rPr>
              <w:t>国道</w:t>
            </w:r>
          </w:p>
        </w:tc>
        <w:tc>
          <w:tcPr>
            <w:tcW w:w="2204" w:type="dxa"/>
            <w:vAlign w:val="top"/>
          </w:tcPr>
          <w:p w14:paraId="7CD6A4DD">
            <w:pPr>
              <w:spacing w:before="75" w:line="272" w:lineRule="auto"/>
              <w:ind w:left="581" w:right="53" w:hanging="518"/>
              <w:rPr>
                <w:rFonts w:ascii="宋体" w:hAnsi="宋体" w:eastAsia="宋体" w:cs="宋体"/>
                <w:sz w:val="20"/>
                <w:szCs w:val="20"/>
              </w:rPr>
            </w:pPr>
            <w:r>
              <w:rPr>
                <w:rFonts w:ascii="宋体" w:hAnsi="宋体" w:eastAsia="宋体" w:cs="宋体"/>
                <w:spacing w:val="8"/>
                <w:sz w:val="20"/>
                <w:szCs w:val="20"/>
              </w:rPr>
              <w:t>雨碌乡小米村委会胡家</w:t>
            </w:r>
            <w:r>
              <w:rPr>
                <w:rFonts w:ascii="宋体" w:hAnsi="宋体" w:eastAsia="宋体" w:cs="宋体"/>
                <w:spacing w:val="7"/>
                <w:sz w:val="20"/>
                <w:szCs w:val="20"/>
              </w:rPr>
              <w:t>村安置点旁</w:t>
            </w:r>
          </w:p>
        </w:tc>
        <w:tc>
          <w:tcPr>
            <w:tcW w:w="2066" w:type="dxa"/>
            <w:vAlign w:val="top"/>
          </w:tcPr>
          <w:p w14:paraId="24806741">
            <w:pPr>
              <w:spacing w:before="77" w:line="228" w:lineRule="auto"/>
              <w:jc w:val="right"/>
              <w:rPr>
                <w:rFonts w:ascii="宋体" w:hAnsi="宋体" w:eastAsia="宋体" w:cs="宋体"/>
                <w:sz w:val="20"/>
                <w:szCs w:val="20"/>
              </w:rPr>
            </w:pPr>
            <w:r>
              <w:rPr>
                <w:rFonts w:ascii="宋体" w:hAnsi="宋体" w:eastAsia="宋体" w:cs="宋体"/>
                <w:spacing w:val="-15"/>
                <w:sz w:val="20"/>
                <w:szCs w:val="20"/>
              </w:rPr>
              <w:t>便利店、停车场、加水、</w:t>
            </w:r>
          </w:p>
          <w:p w14:paraId="4628FC3C">
            <w:pPr>
              <w:spacing w:before="81" w:line="231" w:lineRule="auto"/>
              <w:ind w:left="836"/>
              <w:rPr>
                <w:rFonts w:ascii="宋体" w:hAnsi="宋体" w:eastAsia="宋体" w:cs="宋体"/>
                <w:sz w:val="20"/>
                <w:szCs w:val="20"/>
              </w:rPr>
            </w:pPr>
            <w:r>
              <w:rPr>
                <w:rFonts w:ascii="宋体" w:hAnsi="宋体" w:eastAsia="宋体" w:cs="宋体"/>
                <w:spacing w:val="1"/>
                <w:sz w:val="20"/>
                <w:szCs w:val="20"/>
              </w:rPr>
              <w:t>公厕</w:t>
            </w:r>
          </w:p>
        </w:tc>
        <w:tc>
          <w:tcPr>
            <w:tcW w:w="920" w:type="dxa"/>
            <w:vAlign w:val="top"/>
          </w:tcPr>
          <w:p w14:paraId="7B4B1A63">
            <w:pPr>
              <w:spacing w:before="242"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68E77F70">
            <w:pPr>
              <w:rPr>
                <w:rFonts w:ascii="Arial"/>
                <w:sz w:val="21"/>
              </w:rPr>
            </w:pPr>
          </w:p>
        </w:tc>
        <w:tc>
          <w:tcPr>
            <w:tcW w:w="1071" w:type="dxa"/>
            <w:vAlign w:val="top"/>
          </w:tcPr>
          <w:p w14:paraId="7ECE8231">
            <w:pPr>
              <w:pStyle w:val="6"/>
              <w:spacing w:before="211" w:line="274" w:lineRule="exact"/>
              <w:ind w:left="458"/>
            </w:pPr>
            <w:r>
              <w:rPr>
                <w:spacing w:val="-8"/>
                <w:position w:val="2"/>
              </w:rPr>
              <w:t>10</w:t>
            </w:r>
          </w:p>
        </w:tc>
        <w:tc>
          <w:tcPr>
            <w:tcW w:w="1113" w:type="dxa"/>
            <w:vAlign w:val="top"/>
          </w:tcPr>
          <w:p w14:paraId="68EBCE27">
            <w:pPr>
              <w:rPr>
                <w:rFonts w:ascii="Arial"/>
                <w:sz w:val="21"/>
              </w:rPr>
            </w:pPr>
          </w:p>
        </w:tc>
        <w:tc>
          <w:tcPr>
            <w:tcW w:w="1028" w:type="dxa"/>
            <w:vAlign w:val="top"/>
          </w:tcPr>
          <w:p w14:paraId="4C3FB0E8">
            <w:pPr>
              <w:pStyle w:val="6"/>
              <w:spacing w:before="211" w:line="274" w:lineRule="exact"/>
              <w:ind w:left="290"/>
            </w:pPr>
            <w:r>
              <w:rPr>
                <w:spacing w:val="3"/>
                <w:position w:val="2"/>
              </w:rPr>
              <w:t>0.018</w:t>
            </w:r>
          </w:p>
        </w:tc>
        <w:tc>
          <w:tcPr>
            <w:tcW w:w="3175" w:type="dxa"/>
            <w:tcBorders>
              <w:right w:val="single" w:color="000000" w:sz="10" w:space="0"/>
            </w:tcBorders>
            <w:vAlign w:val="top"/>
          </w:tcPr>
          <w:p w14:paraId="27DE4912">
            <w:pPr>
              <w:spacing w:before="242" w:line="228" w:lineRule="auto"/>
              <w:ind w:left="1304"/>
              <w:rPr>
                <w:rFonts w:ascii="宋体" w:hAnsi="宋体" w:eastAsia="宋体" w:cs="宋体"/>
                <w:sz w:val="20"/>
                <w:szCs w:val="20"/>
              </w:rPr>
            </w:pPr>
            <w:r>
              <w:rPr>
                <w:rFonts w:ascii="宋体" w:hAnsi="宋体" w:eastAsia="宋体" w:cs="宋体"/>
                <w:spacing w:val="-1"/>
                <w:sz w:val="20"/>
                <w:szCs w:val="20"/>
              </w:rPr>
              <w:t>已完工</w:t>
            </w:r>
          </w:p>
        </w:tc>
      </w:tr>
      <w:tr w14:paraId="648BC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39" w:type="dxa"/>
            <w:tcBorders>
              <w:left w:val="single" w:color="000000" w:sz="10" w:space="0"/>
            </w:tcBorders>
            <w:vAlign w:val="top"/>
          </w:tcPr>
          <w:p w14:paraId="34E99634">
            <w:pPr>
              <w:spacing w:line="385" w:lineRule="auto"/>
              <w:rPr>
                <w:rFonts w:ascii="Arial"/>
                <w:sz w:val="21"/>
              </w:rPr>
            </w:pPr>
          </w:p>
          <w:p w14:paraId="0FD1F4C6">
            <w:pPr>
              <w:pStyle w:val="6"/>
              <w:spacing w:before="58" w:line="192" w:lineRule="auto"/>
              <w:ind w:left="258"/>
            </w:pPr>
            <w:r>
              <w:t>5</w:t>
            </w:r>
          </w:p>
        </w:tc>
        <w:tc>
          <w:tcPr>
            <w:tcW w:w="1412" w:type="dxa"/>
            <w:vAlign w:val="top"/>
          </w:tcPr>
          <w:p w14:paraId="1867EFCD">
            <w:pPr>
              <w:spacing w:line="340" w:lineRule="auto"/>
              <w:rPr>
                <w:rFonts w:ascii="Arial"/>
                <w:sz w:val="21"/>
              </w:rPr>
            </w:pPr>
          </w:p>
          <w:p w14:paraId="7AD61027">
            <w:pPr>
              <w:spacing w:before="65" w:line="228" w:lineRule="auto"/>
              <w:ind w:left="389"/>
              <w:rPr>
                <w:rFonts w:ascii="宋体" w:hAnsi="宋体" w:eastAsia="宋体" w:cs="宋体"/>
                <w:sz w:val="20"/>
                <w:szCs w:val="20"/>
              </w:rPr>
            </w:pPr>
            <w:r>
              <w:rPr>
                <w:rFonts w:ascii="宋体" w:hAnsi="宋体" w:eastAsia="宋体" w:cs="宋体"/>
                <w:spacing w:val="5"/>
                <w:sz w:val="20"/>
                <w:szCs w:val="20"/>
              </w:rPr>
              <w:t>宣威市</w:t>
            </w:r>
          </w:p>
        </w:tc>
        <w:tc>
          <w:tcPr>
            <w:tcW w:w="3274" w:type="dxa"/>
            <w:vAlign w:val="top"/>
          </w:tcPr>
          <w:p w14:paraId="301B6CB1">
            <w:pPr>
              <w:spacing w:line="340" w:lineRule="auto"/>
              <w:rPr>
                <w:rFonts w:ascii="Arial"/>
                <w:sz w:val="21"/>
              </w:rPr>
            </w:pPr>
          </w:p>
          <w:p w14:paraId="46E86961">
            <w:pPr>
              <w:spacing w:before="65" w:line="228" w:lineRule="auto"/>
              <w:ind w:left="691"/>
              <w:rPr>
                <w:rFonts w:ascii="宋体" w:hAnsi="宋体" w:eastAsia="宋体" w:cs="宋体"/>
                <w:sz w:val="20"/>
                <w:szCs w:val="20"/>
              </w:rPr>
            </w:pPr>
            <w:r>
              <w:rPr>
                <w:rFonts w:ascii="宋体" w:hAnsi="宋体" w:eastAsia="宋体" w:cs="宋体"/>
                <w:spacing w:val="8"/>
                <w:sz w:val="20"/>
                <w:szCs w:val="20"/>
              </w:rPr>
              <w:t>盛源石化中心服务区</w:t>
            </w:r>
          </w:p>
        </w:tc>
        <w:tc>
          <w:tcPr>
            <w:tcW w:w="3125" w:type="dxa"/>
            <w:vAlign w:val="top"/>
          </w:tcPr>
          <w:p w14:paraId="3A3F1A07">
            <w:pPr>
              <w:spacing w:line="309" w:lineRule="auto"/>
              <w:rPr>
                <w:rFonts w:ascii="Arial"/>
                <w:sz w:val="21"/>
              </w:rPr>
            </w:pPr>
          </w:p>
          <w:p w14:paraId="2B2A6A6E">
            <w:pPr>
              <w:pStyle w:val="6"/>
              <w:spacing w:before="65" w:line="274" w:lineRule="exact"/>
              <w:ind w:left="696"/>
              <w:rPr>
                <w:rFonts w:ascii="宋体" w:hAnsi="宋体" w:eastAsia="宋体" w:cs="宋体"/>
              </w:rPr>
            </w:pPr>
            <w:r>
              <w:rPr>
                <w:spacing w:val="6"/>
                <w:position w:val="1"/>
              </w:rPr>
              <w:t xml:space="preserve">S214 </w:t>
            </w:r>
            <w:r>
              <w:rPr>
                <w:rFonts w:ascii="宋体" w:hAnsi="宋体" w:eastAsia="宋体" w:cs="宋体"/>
                <w:spacing w:val="6"/>
                <w:position w:val="1"/>
              </w:rPr>
              <w:t>鸡田二级公路</w:t>
            </w:r>
          </w:p>
        </w:tc>
        <w:tc>
          <w:tcPr>
            <w:tcW w:w="2204" w:type="dxa"/>
            <w:vAlign w:val="top"/>
          </w:tcPr>
          <w:p w14:paraId="0E6FFABC">
            <w:pPr>
              <w:spacing w:before="242" w:line="304" w:lineRule="auto"/>
              <w:ind w:left="684" w:right="53" w:hanging="626"/>
              <w:rPr>
                <w:rFonts w:ascii="宋体" w:hAnsi="宋体" w:eastAsia="宋体" w:cs="宋体"/>
                <w:sz w:val="20"/>
                <w:szCs w:val="20"/>
              </w:rPr>
            </w:pPr>
            <w:r>
              <w:rPr>
                <w:rFonts w:ascii="宋体" w:hAnsi="宋体" w:eastAsia="宋体" w:cs="宋体"/>
                <w:spacing w:val="8"/>
                <w:sz w:val="20"/>
                <w:szCs w:val="20"/>
              </w:rPr>
              <w:t>宣威市羊场镇鸡场村委</w:t>
            </w:r>
            <w:r>
              <w:rPr>
                <w:rFonts w:ascii="宋体" w:hAnsi="宋体" w:eastAsia="宋体" w:cs="宋体"/>
                <w:spacing w:val="7"/>
                <w:sz w:val="20"/>
                <w:szCs w:val="20"/>
              </w:rPr>
              <w:t>会猫家冲</w:t>
            </w:r>
          </w:p>
        </w:tc>
        <w:tc>
          <w:tcPr>
            <w:tcW w:w="2066" w:type="dxa"/>
            <w:vAlign w:val="top"/>
          </w:tcPr>
          <w:p w14:paraId="6E93268F">
            <w:pPr>
              <w:spacing w:before="78" w:line="228" w:lineRule="auto"/>
              <w:ind w:left="22"/>
              <w:rPr>
                <w:rFonts w:ascii="宋体" w:hAnsi="宋体" w:eastAsia="宋体" w:cs="宋体"/>
                <w:sz w:val="20"/>
                <w:szCs w:val="20"/>
              </w:rPr>
            </w:pPr>
            <w:r>
              <w:rPr>
                <w:rFonts w:ascii="宋体" w:hAnsi="宋体" w:eastAsia="宋体" w:cs="宋体"/>
                <w:spacing w:val="2"/>
                <w:sz w:val="20"/>
                <w:szCs w:val="20"/>
              </w:rPr>
              <w:t>车辆服务设施、人员服</w:t>
            </w:r>
          </w:p>
          <w:p w14:paraId="4FCCF996">
            <w:pPr>
              <w:spacing w:before="81" w:line="228" w:lineRule="auto"/>
              <w:ind w:left="22"/>
              <w:rPr>
                <w:rFonts w:ascii="宋体" w:hAnsi="宋体" w:eastAsia="宋体" w:cs="宋体"/>
                <w:sz w:val="20"/>
                <w:szCs w:val="20"/>
              </w:rPr>
            </w:pPr>
            <w:r>
              <w:rPr>
                <w:rFonts w:ascii="宋体" w:hAnsi="宋体" w:eastAsia="宋体" w:cs="宋体"/>
                <w:spacing w:val="2"/>
                <w:sz w:val="20"/>
                <w:szCs w:val="20"/>
              </w:rPr>
              <w:t>务设施、管理及附属设</w:t>
            </w:r>
          </w:p>
          <w:p w14:paraId="546CD1F5">
            <w:pPr>
              <w:spacing w:before="80" w:line="231" w:lineRule="auto"/>
              <w:ind w:left="934"/>
              <w:rPr>
                <w:rFonts w:ascii="宋体" w:hAnsi="宋体" w:eastAsia="宋体" w:cs="宋体"/>
                <w:sz w:val="20"/>
                <w:szCs w:val="20"/>
              </w:rPr>
            </w:pPr>
            <w:r>
              <w:rPr>
                <w:rFonts w:ascii="宋体" w:hAnsi="宋体" w:eastAsia="宋体" w:cs="宋体"/>
                <w:spacing w:val="1"/>
                <w:sz w:val="20"/>
                <w:szCs w:val="20"/>
              </w:rPr>
              <w:t>施</w:t>
            </w:r>
          </w:p>
        </w:tc>
        <w:tc>
          <w:tcPr>
            <w:tcW w:w="920" w:type="dxa"/>
            <w:vAlign w:val="top"/>
          </w:tcPr>
          <w:p w14:paraId="1B148D00">
            <w:pPr>
              <w:spacing w:line="340" w:lineRule="auto"/>
              <w:rPr>
                <w:rFonts w:ascii="Arial"/>
                <w:sz w:val="21"/>
              </w:rPr>
            </w:pPr>
          </w:p>
          <w:p w14:paraId="358E033F">
            <w:pPr>
              <w:spacing w:before="65" w:line="228" w:lineRule="auto"/>
              <w:ind w:left="160"/>
              <w:rPr>
                <w:rFonts w:ascii="宋体" w:hAnsi="宋体" w:eastAsia="宋体" w:cs="宋体"/>
                <w:sz w:val="20"/>
                <w:szCs w:val="20"/>
              </w:rPr>
            </w:pPr>
            <w:r>
              <w:rPr>
                <w:rFonts w:ascii="宋体" w:hAnsi="宋体" w:eastAsia="宋体" w:cs="宋体"/>
                <w:spacing w:val="4"/>
                <w:sz w:val="20"/>
                <w:szCs w:val="20"/>
              </w:rPr>
              <w:t>改扩建</w:t>
            </w:r>
          </w:p>
        </w:tc>
        <w:tc>
          <w:tcPr>
            <w:tcW w:w="963" w:type="dxa"/>
            <w:vAlign w:val="top"/>
          </w:tcPr>
          <w:p w14:paraId="32752027">
            <w:pPr>
              <w:rPr>
                <w:rFonts w:ascii="Arial"/>
                <w:sz w:val="21"/>
              </w:rPr>
            </w:pPr>
          </w:p>
        </w:tc>
        <w:tc>
          <w:tcPr>
            <w:tcW w:w="1071" w:type="dxa"/>
            <w:vAlign w:val="top"/>
          </w:tcPr>
          <w:p w14:paraId="4C7C248A">
            <w:pPr>
              <w:spacing w:line="316" w:lineRule="auto"/>
              <w:rPr>
                <w:rFonts w:ascii="Arial"/>
                <w:sz w:val="21"/>
              </w:rPr>
            </w:pPr>
          </w:p>
          <w:p w14:paraId="184C2B6F">
            <w:pPr>
              <w:pStyle w:val="6"/>
              <w:spacing w:before="58" w:line="274" w:lineRule="exact"/>
              <w:ind w:left="458"/>
            </w:pPr>
            <w:r>
              <w:rPr>
                <w:spacing w:val="-8"/>
                <w:position w:val="2"/>
              </w:rPr>
              <w:t>10</w:t>
            </w:r>
          </w:p>
        </w:tc>
        <w:tc>
          <w:tcPr>
            <w:tcW w:w="1113" w:type="dxa"/>
            <w:vAlign w:val="top"/>
          </w:tcPr>
          <w:p w14:paraId="1012626B">
            <w:pPr>
              <w:rPr>
                <w:rFonts w:ascii="Arial"/>
                <w:sz w:val="21"/>
              </w:rPr>
            </w:pPr>
          </w:p>
        </w:tc>
        <w:tc>
          <w:tcPr>
            <w:tcW w:w="1028" w:type="dxa"/>
            <w:vAlign w:val="top"/>
          </w:tcPr>
          <w:p w14:paraId="5A67B0D6">
            <w:pPr>
              <w:rPr>
                <w:rFonts w:ascii="Arial"/>
                <w:sz w:val="21"/>
              </w:rPr>
            </w:pPr>
          </w:p>
        </w:tc>
        <w:tc>
          <w:tcPr>
            <w:tcW w:w="3175" w:type="dxa"/>
            <w:tcBorders>
              <w:right w:val="single" w:color="000000" w:sz="10" w:space="0"/>
            </w:tcBorders>
            <w:vAlign w:val="top"/>
          </w:tcPr>
          <w:p w14:paraId="33CD8449">
            <w:pPr>
              <w:spacing w:line="340" w:lineRule="auto"/>
              <w:rPr>
                <w:rFonts w:ascii="Arial"/>
                <w:sz w:val="21"/>
              </w:rPr>
            </w:pPr>
          </w:p>
          <w:p w14:paraId="57E6B1F2">
            <w:pPr>
              <w:spacing w:before="65" w:line="228" w:lineRule="auto"/>
              <w:ind w:left="1304"/>
              <w:rPr>
                <w:rFonts w:ascii="宋体" w:hAnsi="宋体" w:eastAsia="宋体" w:cs="宋体"/>
                <w:sz w:val="20"/>
                <w:szCs w:val="20"/>
              </w:rPr>
            </w:pPr>
            <w:r>
              <w:rPr>
                <w:rFonts w:ascii="宋体" w:hAnsi="宋体" w:eastAsia="宋体" w:cs="宋体"/>
                <w:spacing w:val="-1"/>
                <w:sz w:val="20"/>
                <w:szCs w:val="20"/>
              </w:rPr>
              <w:t>已完工</w:t>
            </w:r>
          </w:p>
        </w:tc>
      </w:tr>
      <w:tr w14:paraId="70017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61225BB7">
            <w:pPr>
              <w:pStyle w:val="6"/>
              <w:spacing w:before="214" w:line="274" w:lineRule="exact"/>
              <w:ind w:left="257"/>
            </w:pPr>
            <w:r>
              <w:rPr>
                <w:position w:val="2"/>
              </w:rPr>
              <w:t>6</w:t>
            </w:r>
          </w:p>
        </w:tc>
        <w:tc>
          <w:tcPr>
            <w:tcW w:w="1412" w:type="dxa"/>
            <w:vAlign w:val="top"/>
          </w:tcPr>
          <w:p w14:paraId="11F72B52">
            <w:pPr>
              <w:spacing w:before="245" w:line="228" w:lineRule="auto"/>
              <w:ind w:left="389"/>
              <w:rPr>
                <w:rFonts w:ascii="宋体" w:hAnsi="宋体" w:eastAsia="宋体" w:cs="宋体"/>
                <w:sz w:val="20"/>
                <w:szCs w:val="20"/>
              </w:rPr>
            </w:pPr>
            <w:r>
              <w:rPr>
                <w:rFonts w:ascii="宋体" w:hAnsi="宋体" w:eastAsia="宋体" w:cs="宋体"/>
                <w:spacing w:val="5"/>
                <w:sz w:val="20"/>
                <w:szCs w:val="20"/>
              </w:rPr>
              <w:t>师宗县</w:t>
            </w:r>
          </w:p>
        </w:tc>
        <w:tc>
          <w:tcPr>
            <w:tcW w:w="3274" w:type="dxa"/>
            <w:vAlign w:val="top"/>
          </w:tcPr>
          <w:p w14:paraId="38E2BEF4">
            <w:pPr>
              <w:spacing w:before="245" w:line="228" w:lineRule="auto"/>
              <w:ind w:left="587"/>
              <w:rPr>
                <w:rFonts w:ascii="宋体" w:hAnsi="宋体" w:eastAsia="宋体" w:cs="宋体"/>
                <w:sz w:val="20"/>
                <w:szCs w:val="20"/>
              </w:rPr>
            </w:pPr>
            <w:r>
              <w:rPr>
                <w:rFonts w:ascii="宋体" w:hAnsi="宋体" w:eastAsia="宋体" w:cs="宋体"/>
                <w:spacing w:val="8"/>
                <w:sz w:val="20"/>
                <w:szCs w:val="20"/>
              </w:rPr>
              <w:t>五龙水生态小镇服务区</w:t>
            </w:r>
          </w:p>
        </w:tc>
        <w:tc>
          <w:tcPr>
            <w:tcW w:w="3125" w:type="dxa"/>
            <w:vAlign w:val="top"/>
          </w:tcPr>
          <w:p w14:paraId="293F4ACE">
            <w:pPr>
              <w:pStyle w:val="6"/>
              <w:spacing w:before="214" w:line="274" w:lineRule="exact"/>
              <w:ind w:left="603"/>
              <w:rPr>
                <w:rFonts w:ascii="宋体" w:hAnsi="宋体" w:eastAsia="宋体" w:cs="宋体"/>
              </w:rPr>
            </w:pPr>
            <w:r>
              <w:rPr>
                <w:rFonts w:ascii="宋体" w:hAnsi="宋体" w:eastAsia="宋体" w:cs="宋体"/>
                <w:spacing w:val="6"/>
                <w:position w:val="1"/>
              </w:rPr>
              <w:t>东山至泸水（</w:t>
            </w:r>
            <w:r>
              <w:rPr>
                <w:spacing w:val="6"/>
                <w:position w:val="1"/>
              </w:rPr>
              <w:t>G357</w:t>
            </w:r>
            <w:r>
              <w:rPr>
                <w:rFonts w:ascii="宋体" w:hAnsi="宋体" w:eastAsia="宋体" w:cs="宋体"/>
                <w:spacing w:val="6"/>
                <w:position w:val="1"/>
              </w:rPr>
              <w:t>）</w:t>
            </w:r>
          </w:p>
        </w:tc>
        <w:tc>
          <w:tcPr>
            <w:tcW w:w="2204" w:type="dxa"/>
            <w:vAlign w:val="top"/>
          </w:tcPr>
          <w:p w14:paraId="45CCBFCD">
            <w:pPr>
              <w:spacing w:before="245" w:line="228" w:lineRule="auto"/>
              <w:ind w:left="478"/>
              <w:rPr>
                <w:rFonts w:ascii="宋体" w:hAnsi="宋体" w:eastAsia="宋体" w:cs="宋体"/>
                <w:sz w:val="20"/>
                <w:szCs w:val="20"/>
              </w:rPr>
            </w:pPr>
            <w:r>
              <w:rPr>
                <w:rFonts w:ascii="宋体" w:hAnsi="宋体" w:eastAsia="宋体" w:cs="宋体"/>
                <w:spacing w:val="7"/>
                <w:sz w:val="20"/>
                <w:szCs w:val="20"/>
              </w:rPr>
              <w:t>师宗县五龙乡</w:t>
            </w:r>
          </w:p>
        </w:tc>
        <w:tc>
          <w:tcPr>
            <w:tcW w:w="2066" w:type="dxa"/>
            <w:vAlign w:val="top"/>
          </w:tcPr>
          <w:p w14:paraId="249551EB">
            <w:pPr>
              <w:spacing w:before="80" w:line="270" w:lineRule="auto"/>
              <w:ind w:left="303" w:right="10" w:hanging="283"/>
              <w:rPr>
                <w:rFonts w:ascii="宋体" w:hAnsi="宋体" w:eastAsia="宋体" w:cs="宋体"/>
                <w:sz w:val="20"/>
                <w:szCs w:val="20"/>
              </w:rPr>
            </w:pPr>
            <w:r>
              <w:rPr>
                <w:rFonts w:ascii="宋体" w:hAnsi="宋体" w:eastAsia="宋体" w:cs="宋体"/>
                <w:spacing w:val="3"/>
                <w:sz w:val="20"/>
                <w:szCs w:val="20"/>
              </w:rPr>
              <w:t>旅游厕所、超市、停车</w:t>
            </w:r>
            <w:r>
              <w:rPr>
                <w:rFonts w:ascii="宋体" w:hAnsi="宋体" w:eastAsia="宋体" w:cs="宋体"/>
                <w:spacing w:val="8"/>
                <w:sz w:val="20"/>
                <w:szCs w:val="20"/>
              </w:rPr>
              <w:t>场、旅客休息区</w:t>
            </w:r>
          </w:p>
        </w:tc>
        <w:tc>
          <w:tcPr>
            <w:tcW w:w="920" w:type="dxa"/>
            <w:vAlign w:val="top"/>
          </w:tcPr>
          <w:p w14:paraId="1FD29454">
            <w:pPr>
              <w:spacing w:before="24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282C067">
            <w:pPr>
              <w:rPr>
                <w:rFonts w:ascii="Arial"/>
                <w:sz w:val="21"/>
              </w:rPr>
            </w:pPr>
          </w:p>
        </w:tc>
        <w:tc>
          <w:tcPr>
            <w:tcW w:w="1071" w:type="dxa"/>
            <w:vAlign w:val="top"/>
          </w:tcPr>
          <w:p w14:paraId="392BB39F">
            <w:pPr>
              <w:pStyle w:val="6"/>
              <w:spacing w:before="214" w:line="274" w:lineRule="exact"/>
              <w:ind w:left="326"/>
            </w:pPr>
            <w:r>
              <w:rPr>
                <w:spacing w:val="-1"/>
                <w:position w:val="2"/>
              </w:rPr>
              <w:t>12.25</w:t>
            </w:r>
          </w:p>
        </w:tc>
        <w:tc>
          <w:tcPr>
            <w:tcW w:w="1113" w:type="dxa"/>
            <w:vAlign w:val="top"/>
          </w:tcPr>
          <w:p w14:paraId="0755ABED">
            <w:pPr>
              <w:rPr>
                <w:rFonts w:ascii="Arial"/>
                <w:sz w:val="21"/>
              </w:rPr>
            </w:pPr>
          </w:p>
        </w:tc>
        <w:tc>
          <w:tcPr>
            <w:tcW w:w="1028" w:type="dxa"/>
            <w:vAlign w:val="top"/>
          </w:tcPr>
          <w:p w14:paraId="1B68F9EB">
            <w:pPr>
              <w:pStyle w:val="6"/>
              <w:spacing w:before="214" w:line="274" w:lineRule="exact"/>
              <w:ind w:left="290"/>
            </w:pPr>
            <w:r>
              <w:rPr>
                <w:spacing w:val="3"/>
                <w:position w:val="2"/>
              </w:rPr>
              <w:t>0.069</w:t>
            </w:r>
          </w:p>
        </w:tc>
        <w:tc>
          <w:tcPr>
            <w:tcW w:w="3175" w:type="dxa"/>
            <w:tcBorders>
              <w:right w:val="single" w:color="000000" w:sz="10" w:space="0"/>
            </w:tcBorders>
            <w:vAlign w:val="top"/>
          </w:tcPr>
          <w:p w14:paraId="28DCA171">
            <w:pPr>
              <w:spacing w:before="245" w:line="228" w:lineRule="auto"/>
              <w:ind w:left="1304"/>
              <w:rPr>
                <w:rFonts w:ascii="宋体" w:hAnsi="宋体" w:eastAsia="宋体" w:cs="宋体"/>
                <w:sz w:val="20"/>
                <w:szCs w:val="20"/>
              </w:rPr>
            </w:pPr>
            <w:r>
              <w:rPr>
                <w:rFonts w:ascii="宋体" w:hAnsi="宋体" w:eastAsia="宋体" w:cs="宋体"/>
                <w:spacing w:val="-1"/>
                <w:sz w:val="20"/>
                <w:szCs w:val="20"/>
              </w:rPr>
              <w:t>已完成</w:t>
            </w:r>
          </w:p>
        </w:tc>
      </w:tr>
      <w:tr w14:paraId="5FD55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58F6DE1F">
            <w:pPr>
              <w:pStyle w:val="6"/>
              <w:spacing w:before="285" w:line="192" w:lineRule="auto"/>
              <w:ind w:left="255"/>
            </w:pPr>
            <w:r>
              <w:t>7</w:t>
            </w:r>
          </w:p>
        </w:tc>
        <w:tc>
          <w:tcPr>
            <w:tcW w:w="1412" w:type="dxa"/>
            <w:vAlign w:val="top"/>
          </w:tcPr>
          <w:p w14:paraId="02D41E16">
            <w:pPr>
              <w:spacing w:before="246" w:line="229" w:lineRule="auto"/>
              <w:ind w:left="384"/>
              <w:rPr>
                <w:rFonts w:ascii="宋体" w:hAnsi="宋体" w:eastAsia="宋体" w:cs="宋体"/>
                <w:sz w:val="20"/>
                <w:szCs w:val="20"/>
              </w:rPr>
            </w:pPr>
            <w:r>
              <w:rPr>
                <w:rFonts w:ascii="宋体" w:hAnsi="宋体" w:eastAsia="宋体" w:cs="宋体"/>
                <w:spacing w:val="7"/>
                <w:sz w:val="20"/>
                <w:szCs w:val="20"/>
              </w:rPr>
              <w:t>麒麟区</w:t>
            </w:r>
          </w:p>
        </w:tc>
        <w:tc>
          <w:tcPr>
            <w:tcW w:w="3274" w:type="dxa"/>
            <w:vAlign w:val="top"/>
          </w:tcPr>
          <w:p w14:paraId="5A3251FD">
            <w:pPr>
              <w:spacing w:before="246" w:line="228" w:lineRule="auto"/>
              <w:ind w:left="1009"/>
              <w:rPr>
                <w:rFonts w:ascii="宋体" w:hAnsi="宋体" w:eastAsia="宋体" w:cs="宋体"/>
                <w:sz w:val="20"/>
                <w:szCs w:val="20"/>
              </w:rPr>
            </w:pPr>
            <w:r>
              <w:rPr>
                <w:rFonts w:ascii="宋体" w:hAnsi="宋体" w:eastAsia="宋体" w:cs="宋体"/>
                <w:spacing w:val="7"/>
                <w:sz w:val="20"/>
                <w:szCs w:val="20"/>
              </w:rPr>
              <w:t>高原红服务区</w:t>
            </w:r>
          </w:p>
        </w:tc>
        <w:tc>
          <w:tcPr>
            <w:tcW w:w="3125" w:type="dxa"/>
            <w:vAlign w:val="top"/>
          </w:tcPr>
          <w:p w14:paraId="71B73F91">
            <w:pPr>
              <w:pStyle w:val="6"/>
              <w:spacing w:before="215" w:line="274" w:lineRule="exact"/>
              <w:ind w:left="696"/>
              <w:rPr>
                <w:rFonts w:ascii="宋体" w:hAnsi="宋体" w:eastAsia="宋体" w:cs="宋体"/>
              </w:rPr>
            </w:pPr>
            <w:r>
              <w:rPr>
                <w:spacing w:val="6"/>
                <w:position w:val="1"/>
              </w:rPr>
              <w:t xml:space="preserve">S307 </w:t>
            </w:r>
            <w:r>
              <w:rPr>
                <w:rFonts w:ascii="宋体" w:hAnsi="宋体" w:eastAsia="宋体" w:cs="宋体"/>
                <w:spacing w:val="6"/>
                <w:position w:val="1"/>
              </w:rPr>
              <w:t>石恩二级公路</w:t>
            </w:r>
          </w:p>
        </w:tc>
        <w:tc>
          <w:tcPr>
            <w:tcW w:w="2204" w:type="dxa"/>
            <w:vAlign w:val="top"/>
          </w:tcPr>
          <w:p w14:paraId="1EA5A644">
            <w:pPr>
              <w:spacing w:before="246" w:line="228" w:lineRule="auto"/>
              <w:ind w:left="371"/>
              <w:rPr>
                <w:rFonts w:ascii="宋体" w:hAnsi="宋体" w:eastAsia="宋体" w:cs="宋体"/>
                <w:sz w:val="20"/>
                <w:szCs w:val="20"/>
              </w:rPr>
            </w:pPr>
            <w:r>
              <w:rPr>
                <w:rFonts w:ascii="宋体" w:hAnsi="宋体" w:eastAsia="宋体" w:cs="宋体"/>
                <w:spacing w:val="8"/>
                <w:sz w:val="20"/>
                <w:szCs w:val="20"/>
              </w:rPr>
              <w:t>越州镇桂花树村</w:t>
            </w:r>
          </w:p>
        </w:tc>
        <w:tc>
          <w:tcPr>
            <w:tcW w:w="2066" w:type="dxa"/>
            <w:vAlign w:val="top"/>
          </w:tcPr>
          <w:p w14:paraId="4B3AFA49">
            <w:pPr>
              <w:spacing w:before="81" w:line="228" w:lineRule="auto"/>
              <w:jc w:val="right"/>
              <w:rPr>
                <w:rFonts w:ascii="宋体" w:hAnsi="宋体" w:eastAsia="宋体" w:cs="宋体"/>
                <w:sz w:val="20"/>
                <w:szCs w:val="20"/>
              </w:rPr>
            </w:pPr>
            <w:r>
              <w:rPr>
                <w:rFonts w:ascii="宋体" w:hAnsi="宋体" w:eastAsia="宋体" w:cs="宋体"/>
                <w:spacing w:val="3"/>
                <w:sz w:val="20"/>
                <w:szCs w:val="20"/>
              </w:rPr>
              <w:t>加油，停车，卫生间，</w:t>
            </w:r>
          </w:p>
          <w:p w14:paraId="480059F6">
            <w:pPr>
              <w:spacing w:before="81" w:line="228" w:lineRule="auto"/>
              <w:ind w:left="723"/>
              <w:rPr>
                <w:rFonts w:ascii="宋体" w:hAnsi="宋体" w:eastAsia="宋体" w:cs="宋体"/>
                <w:sz w:val="20"/>
                <w:szCs w:val="20"/>
              </w:rPr>
            </w:pPr>
            <w:r>
              <w:rPr>
                <w:rFonts w:ascii="宋体" w:hAnsi="宋体" w:eastAsia="宋体" w:cs="宋体"/>
                <w:spacing w:val="3"/>
                <w:sz w:val="20"/>
                <w:szCs w:val="20"/>
              </w:rPr>
              <w:t>超市。</w:t>
            </w:r>
          </w:p>
        </w:tc>
        <w:tc>
          <w:tcPr>
            <w:tcW w:w="920" w:type="dxa"/>
            <w:vAlign w:val="top"/>
          </w:tcPr>
          <w:p w14:paraId="3C89527E">
            <w:pPr>
              <w:spacing w:before="246" w:line="228" w:lineRule="auto"/>
              <w:ind w:left="160"/>
              <w:rPr>
                <w:rFonts w:ascii="宋体" w:hAnsi="宋体" w:eastAsia="宋体" w:cs="宋体"/>
                <w:sz w:val="20"/>
                <w:szCs w:val="20"/>
              </w:rPr>
            </w:pPr>
            <w:r>
              <w:rPr>
                <w:rFonts w:ascii="宋体" w:hAnsi="宋体" w:eastAsia="宋体" w:cs="宋体"/>
                <w:spacing w:val="4"/>
                <w:sz w:val="20"/>
                <w:szCs w:val="20"/>
              </w:rPr>
              <w:t>改扩建</w:t>
            </w:r>
          </w:p>
        </w:tc>
        <w:tc>
          <w:tcPr>
            <w:tcW w:w="963" w:type="dxa"/>
            <w:vAlign w:val="top"/>
          </w:tcPr>
          <w:p w14:paraId="1899785C">
            <w:pPr>
              <w:rPr>
                <w:rFonts w:ascii="Arial"/>
                <w:sz w:val="21"/>
              </w:rPr>
            </w:pPr>
          </w:p>
        </w:tc>
        <w:tc>
          <w:tcPr>
            <w:tcW w:w="1071" w:type="dxa"/>
            <w:vAlign w:val="top"/>
          </w:tcPr>
          <w:p w14:paraId="5E72CA1D">
            <w:pPr>
              <w:pStyle w:val="6"/>
              <w:spacing w:before="215" w:line="274" w:lineRule="exact"/>
              <w:ind w:left="458"/>
            </w:pPr>
            <w:r>
              <w:rPr>
                <w:spacing w:val="-8"/>
                <w:position w:val="2"/>
              </w:rPr>
              <w:t>10</w:t>
            </w:r>
          </w:p>
        </w:tc>
        <w:tc>
          <w:tcPr>
            <w:tcW w:w="1113" w:type="dxa"/>
            <w:vAlign w:val="top"/>
          </w:tcPr>
          <w:p w14:paraId="4FF961CB">
            <w:pPr>
              <w:rPr>
                <w:rFonts w:ascii="Arial"/>
                <w:sz w:val="21"/>
              </w:rPr>
            </w:pPr>
          </w:p>
        </w:tc>
        <w:tc>
          <w:tcPr>
            <w:tcW w:w="1028" w:type="dxa"/>
            <w:vAlign w:val="top"/>
          </w:tcPr>
          <w:p w14:paraId="37A9165D">
            <w:pPr>
              <w:pStyle w:val="6"/>
              <w:spacing w:before="215" w:line="274" w:lineRule="exact"/>
              <w:ind w:left="290"/>
            </w:pPr>
            <w:r>
              <w:rPr>
                <w:spacing w:val="3"/>
                <w:position w:val="2"/>
              </w:rPr>
              <w:t>0.026</w:t>
            </w:r>
          </w:p>
        </w:tc>
        <w:tc>
          <w:tcPr>
            <w:tcW w:w="3175" w:type="dxa"/>
            <w:tcBorders>
              <w:right w:val="single" w:color="000000" w:sz="10" w:space="0"/>
            </w:tcBorders>
            <w:vAlign w:val="top"/>
          </w:tcPr>
          <w:p w14:paraId="6EFA8F5A">
            <w:pPr>
              <w:spacing w:before="246" w:line="228" w:lineRule="auto"/>
              <w:ind w:left="1304"/>
              <w:rPr>
                <w:rFonts w:ascii="宋体" w:hAnsi="宋体" w:eastAsia="宋体" w:cs="宋体"/>
                <w:sz w:val="20"/>
                <w:szCs w:val="20"/>
              </w:rPr>
            </w:pPr>
            <w:r>
              <w:rPr>
                <w:rFonts w:ascii="宋体" w:hAnsi="宋体" w:eastAsia="宋体" w:cs="宋体"/>
                <w:spacing w:val="-1"/>
                <w:sz w:val="20"/>
                <w:szCs w:val="20"/>
              </w:rPr>
              <w:t>已完工</w:t>
            </w:r>
          </w:p>
        </w:tc>
      </w:tr>
      <w:tr w14:paraId="79485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39" w:type="dxa"/>
            <w:tcBorders>
              <w:left w:val="single" w:color="000000" w:sz="10" w:space="0"/>
            </w:tcBorders>
            <w:vAlign w:val="top"/>
          </w:tcPr>
          <w:p w14:paraId="6742DABD">
            <w:pPr>
              <w:spacing w:line="321" w:lineRule="auto"/>
              <w:rPr>
                <w:rFonts w:ascii="Arial"/>
                <w:sz w:val="21"/>
              </w:rPr>
            </w:pPr>
          </w:p>
          <w:p w14:paraId="7F23BFED">
            <w:pPr>
              <w:pStyle w:val="6"/>
              <w:spacing w:before="57" w:line="274" w:lineRule="exact"/>
              <w:ind w:left="260"/>
            </w:pPr>
            <w:r>
              <w:rPr>
                <w:position w:val="2"/>
              </w:rPr>
              <w:t>8</w:t>
            </w:r>
          </w:p>
        </w:tc>
        <w:tc>
          <w:tcPr>
            <w:tcW w:w="1412" w:type="dxa"/>
            <w:vAlign w:val="top"/>
          </w:tcPr>
          <w:p w14:paraId="2FE7DCB6">
            <w:pPr>
              <w:spacing w:line="344" w:lineRule="auto"/>
              <w:rPr>
                <w:rFonts w:ascii="Arial"/>
                <w:sz w:val="21"/>
              </w:rPr>
            </w:pPr>
          </w:p>
          <w:p w14:paraId="29A8B72A">
            <w:pPr>
              <w:spacing w:before="65" w:line="232" w:lineRule="auto"/>
              <w:ind w:left="387"/>
              <w:rPr>
                <w:rFonts w:ascii="宋体" w:hAnsi="宋体" w:eastAsia="宋体" w:cs="宋体"/>
                <w:sz w:val="20"/>
                <w:szCs w:val="20"/>
              </w:rPr>
            </w:pPr>
            <w:r>
              <w:rPr>
                <w:rFonts w:ascii="宋体" w:hAnsi="宋体" w:eastAsia="宋体" w:cs="宋体"/>
                <w:spacing w:val="6"/>
                <w:sz w:val="20"/>
                <w:szCs w:val="20"/>
              </w:rPr>
              <w:t>罗平县</w:t>
            </w:r>
          </w:p>
        </w:tc>
        <w:tc>
          <w:tcPr>
            <w:tcW w:w="3274" w:type="dxa"/>
            <w:vAlign w:val="top"/>
          </w:tcPr>
          <w:p w14:paraId="106CF064">
            <w:pPr>
              <w:spacing w:line="343" w:lineRule="auto"/>
              <w:rPr>
                <w:rFonts w:ascii="Arial"/>
                <w:sz w:val="21"/>
              </w:rPr>
            </w:pPr>
          </w:p>
          <w:p w14:paraId="6066309E">
            <w:pPr>
              <w:spacing w:before="65" w:line="228" w:lineRule="auto"/>
              <w:ind w:left="797"/>
              <w:rPr>
                <w:rFonts w:ascii="宋体" w:hAnsi="宋体" w:eastAsia="宋体" w:cs="宋体"/>
                <w:sz w:val="20"/>
                <w:szCs w:val="20"/>
              </w:rPr>
            </w:pPr>
            <w:r>
              <w:rPr>
                <w:rFonts w:ascii="宋体" w:hAnsi="宋体" w:eastAsia="宋体" w:cs="宋体"/>
                <w:spacing w:val="8"/>
                <w:sz w:val="20"/>
                <w:szCs w:val="20"/>
              </w:rPr>
              <w:t>罗平县芦沟服务区</w:t>
            </w:r>
          </w:p>
        </w:tc>
        <w:tc>
          <w:tcPr>
            <w:tcW w:w="3125" w:type="dxa"/>
            <w:vAlign w:val="top"/>
          </w:tcPr>
          <w:p w14:paraId="05FF3D4D">
            <w:pPr>
              <w:spacing w:line="313" w:lineRule="auto"/>
              <w:rPr>
                <w:rFonts w:ascii="Arial"/>
                <w:sz w:val="21"/>
              </w:rPr>
            </w:pPr>
          </w:p>
          <w:p w14:paraId="6EDA3984">
            <w:pPr>
              <w:pStyle w:val="6"/>
              <w:spacing w:before="65" w:line="274" w:lineRule="exact"/>
              <w:ind w:left="1094"/>
              <w:rPr>
                <w:rFonts w:ascii="宋体" w:hAnsi="宋体" w:eastAsia="宋体" w:cs="宋体"/>
              </w:rPr>
            </w:pPr>
            <w:r>
              <w:rPr>
                <w:position w:val="1"/>
              </w:rPr>
              <w:t>G324</w:t>
            </w:r>
            <w:r>
              <w:rPr>
                <w:spacing w:val="33"/>
                <w:position w:val="1"/>
              </w:rPr>
              <w:t xml:space="preserve"> </w:t>
            </w:r>
            <w:r>
              <w:rPr>
                <w:rFonts w:ascii="宋体" w:hAnsi="宋体" w:eastAsia="宋体" w:cs="宋体"/>
                <w:position w:val="1"/>
              </w:rPr>
              <w:t>国道</w:t>
            </w:r>
          </w:p>
        </w:tc>
        <w:tc>
          <w:tcPr>
            <w:tcW w:w="2204" w:type="dxa"/>
            <w:vAlign w:val="top"/>
          </w:tcPr>
          <w:p w14:paraId="3169CE6F">
            <w:pPr>
              <w:spacing w:line="343" w:lineRule="auto"/>
              <w:rPr>
                <w:rFonts w:ascii="Arial"/>
                <w:sz w:val="21"/>
              </w:rPr>
            </w:pPr>
          </w:p>
          <w:p w14:paraId="32B65244">
            <w:pPr>
              <w:spacing w:before="65" w:line="228" w:lineRule="auto"/>
              <w:ind w:left="477"/>
              <w:rPr>
                <w:rFonts w:ascii="宋体" w:hAnsi="宋体" w:eastAsia="宋体" w:cs="宋体"/>
                <w:sz w:val="20"/>
                <w:szCs w:val="20"/>
              </w:rPr>
            </w:pPr>
            <w:r>
              <w:rPr>
                <w:rFonts w:ascii="宋体" w:hAnsi="宋体" w:eastAsia="宋体" w:cs="宋体"/>
                <w:spacing w:val="7"/>
                <w:sz w:val="20"/>
                <w:szCs w:val="20"/>
              </w:rPr>
              <w:t>罗平县芦沟村</w:t>
            </w:r>
          </w:p>
        </w:tc>
        <w:tc>
          <w:tcPr>
            <w:tcW w:w="2066" w:type="dxa"/>
            <w:vAlign w:val="top"/>
          </w:tcPr>
          <w:p w14:paraId="69C37BEE">
            <w:pPr>
              <w:spacing w:before="82" w:line="228" w:lineRule="auto"/>
              <w:ind w:left="22"/>
              <w:rPr>
                <w:rFonts w:ascii="宋体" w:hAnsi="宋体" w:eastAsia="宋体" w:cs="宋体"/>
                <w:sz w:val="20"/>
                <w:szCs w:val="20"/>
              </w:rPr>
            </w:pPr>
            <w:r>
              <w:rPr>
                <w:rFonts w:ascii="宋体" w:hAnsi="宋体" w:eastAsia="宋体" w:cs="宋体"/>
                <w:spacing w:val="2"/>
                <w:sz w:val="20"/>
                <w:szCs w:val="20"/>
              </w:rPr>
              <w:t>车辆服务设施、人员服</w:t>
            </w:r>
          </w:p>
          <w:p w14:paraId="4C26DCF8">
            <w:pPr>
              <w:spacing w:before="81" w:line="228" w:lineRule="auto"/>
              <w:ind w:left="22"/>
              <w:rPr>
                <w:rFonts w:ascii="宋体" w:hAnsi="宋体" w:eastAsia="宋体" w:cs="宋体"/>
                <w:sz w:val="20"/>
                <w:szCs w:val="20"/>
              </w:rPr>
            </w:pPr>
            <w:r>
              <w:rPr>
                <w:rFonts w:ascii="宋体" w:hAnsi="宋体" w:eastAsia="宋体" w:cs="宋体"/>
                <w:spacing w:val="2"/>
                <w:sz w:val="20"/>
                <w:szCs w:val="20"/>
              </w:rPr>
              <w:t>务设施、管理及附属设</w:t>
            </w:r>
          </w:p>
          <w:p w14:paraId="0DCA1F6B">
            <w:pPr>
              <w:spacing w:before="80" w:line="231" w:lineRule="auto"/>
              <w:ind w:left="934"/>
              <w:rPr>
                <w:rFonts w:ascii="宋体" w:hAnsi="宋体" w:eastAsia="宋体" w:cs="宋体"/>
                <w:sz w:val="20"/>
                <w:szCs w:val="20"/>
              </w:rPr>
            </w:pPr>
            <w:r>
              <w:rPr>
                <w:rFonts w:ascii="宋体" w:hAnsi="宋体" w:eastAsia="宋体" w:cs="宋体"/>
                <w:spacing w:val="1"/>
                <w:sz w:val="20"/>
                <w:szCs w:val="20"/>
              </w:rPr>
              <w:t>施</w:t>
            </w:r>
          </w:p>
        </w:tc>
        <w:tc>
          <w:tcPr>
            <w:tcW w:w="920" w:type="dxa"/>
            <w:vAlign w:val="top"/>
          </w:tcPr>
          <w:p w14:paraId="39CA150C">
            <w:pPr>
              <w:spacing w:line="344" w:lineRule="auto"/>
              <w:rPr>
                <w:rFonts w:ascii="Arial"/>
                <w:sz w:val="21"/>
              </w:rPr>
            </w:pPr>
          </w:p>
          <w:p w14:paraId="698174BE">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9DEB36E">
            <w:pPr>
              <w:rPr>
                <w:rFonts w:ascii="Arial"/>
                <w:sz w:val="21"/>
              </w:rPr>
            </w:pPr>
          </w:p>
        </w:tc>
        <w:tc>
          <w:tcPr>
            <w:tcW w:w="1071" w:type="dxa"/>
            <w:vAlign w:val="top"/>
          </w:tcPr>
          <w:p w14:paraId="3BD1FEF7">
            <w:pPr>
              <w:spacing w:line="321" w:lineRule="auto"/>
              <w:rPr>
                <w:rFonts w:ascii="Arial"/>
                <w:sz w:val="21"/>
              </w:rPr>
            </w:pPr>
          </w:p>
          <w:p w14:paraId="798A9393">
            <w:pPr>
              <w:pStyle w:val="6"/>
              <w:spacing w:before="57" w:line="274" w:lineRule="exact"/>
              <w:ind w:left="437"/>
            </w:pPr>
            <w:r>
              <w:rPr>
                <w:spacing w:val="3"/>
                <w:position w:val="2"/>
              </w:rPr>
              <w:t>40</w:t>
            </w:r>
          </w:p>
        </w:tc>
        <w:tc>
          <w:tcPr>
            <w:tcW w:w="1113" w:type="dxa"/>
            <w:vAlign w:val="top"/>
          </w:tcPr>
          <w:p w14:paraId="6EA51715">
            <w:pPr>
              <w:rPr>
                <w:rFonts w:ascii="Arial"/>
                <w:sz w:val="21"/>
              </w:rPr>
            </w:pPr>
          </w:p>
        </w:tc>
        <w:tc>
          <w:tcPr>
            <w:tcW w:w="1028" w:type="dxa"/>
            <w:vAlign w:val="top"/>
          </w:tcPr>
          <w:p w14:paraId="175EC528">
            <w:pPr>
              <w:spacing w:line="321" w:lineRule="auto"/>
              <w:rPr>
                <w:rFonts w:ascii="Arial"/>
                <w:sz w:val="21"/>
              </w:rPr>
            </w:pPr>
          </w:p>
          <w:p w14:paraId="6AD46D0C">
            <w:pPr>
              <w:pStyle w:val="6"/>
              <w:spacing w:before="57" w:line="274" w:lineRule="exact"/>
              <w:ind w:left="396"/>
            </w:pPr>
            <w:r>
              <w:rPr>
                <w:spacing w:val="1"/>
                <w:position w:val="2"/>
              </w:rPr>
              <w:t>0.6</w:t>
            </w:r>
          </w:p>
        </w:tc>
        <w:tc>
          <w:tcPr>
            <w:tcW w:w="3175" w:type="dxa"/>
            <w:tcBorders>
              <w:right w:val="single" w:color="000000" w:sz="10" w:space="0"/>
            </w:tcBorders>
            <w:vAlign w:val="top"/>
          </w:tcPr>
          <w:p w14:paraId="6A620B5C">
            <w:pPr>
              <w:spacing w:line="344" w:lineRule="auto"/>
              <w:rPr>
                <w:rFonts w:ascii="Arial"/>
                <w:sz w:val="21"/>
              </w:rPr>
            </w:pPr>
          </w:p>
          <w:p w14:paraId="5FED1C34">
            <w:pPr>
              <w:spacing w:before="65" w:line="228" w:lineRule="auto"/>
              <w:ind w:left="1304"/>
              <w:rPr>
                <w:rFonts w:ascii="宋体" w:hAnsi="宋体" w:eastAsia="宋体" w:cs="宋体"/>
                <w:sz w:val="20"/>
                <w:szCs w:val="20"/>
              </w:rPr>
            </w:pPr>
            <w:r>
              <w:rPr>
                <w:rFonts w:ascii="宋体" w:hAnsi="宋体" w:eastAsia="宋体" w:cs="宋体"/>
                <w:spacing w:val="-1"/>
                <w:sz w:val="20"/>
                <w:szCs w:val="20"/>
              </w:rPr>
              <w:t>已完工</w:t>
            </w:r>
          </w:p>
        </w:tc>
      </w:tr>
      <w:tr w14:paraId="1582E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39" w:type="dxa"/>
            <w:tcBorders>
              <w:left w:val="single" w:color="000000" w:sz="10" w:space="0"/>
            </w:tcBorders>
            <w:vAlign w:val="top"/>
          </w:tcPr>
          <w:p w14:paraId="0A3FDD12">
            <w:pPr>
              <w:spacing w:line="322" w:lineRule="auto"/>
              <w:rPr>
                <w:rFonts w:ascii="Arial"/>
                <w:sz w:val="21"/>
              </w:rPr>
            </w:pPr>
          </w:p>
          <w:p w14:paraId="0CA4864F">
            <w:pPr>
              <w:pStyle w:val="6"/>
              <w:spacing w:before="57" w:line="274" w:lineRule="exact"/>
              <w:ind w:left="256"/>
            </w:pPr>
            <w:r>
              <w:rPr>
                <w:position w:val="2"/>
              </w:rPr>
              <w:t>9</w:t>
            </w:r>
          </w:p>
        </w:tc>
        <w:tc>
          <w:tcPr>
            <w:tcW w:w="1412" w:type="dxa"/>
            <w:vAlign w:val="top"/>
          </w:tcPr>
          <w:p w14:paraId="4496CD2A">
            <w:pPr>
              <w:spacing w:line="345" w:lineRule="auto"/>
              <w:rPr>
                <w:rFonts w:ascii="Arial"/>
                <w:sz w:val="21"/>
              </w:rPr>
            </w:pPr>
          </w:p>
          <w:p w14:paraId="5087CEA5">
            <w:pPr>
              <w:spacing w:before="65" w:line="232" w:lineRule="auto"/>
              <w:ind w:left="387"/>
              <w:rPr>
                <w:rFonts w:ascii="宋体" w:hAnsi="宋体" w:eastAsia="宋体" w:cs="宋体"/>
                <w:sz w:val="20"/>
                <w:szCs w:val="20"/>
              </w:rPr>
            </w:pPr>
            <w:r>
              <w:rPr>
                <w:rFonts w:ascii="宋体" w:hAnsi="宋体" w:eastAsia="宋体" w:cs="宋体"/>
                <w:spacing w:val="6"/>
                <w:sz w:val="20"/>
                <w:szCs w:val="20"/>
              </w:rPr>
              <w:t>罗平县</w:t>
            </w:r>
          </w:p>
        </w:tc>
        <w:tc>
          <w:tcPr>
            <w:tcW w:w="3274" w:type="dxa"/>
            <w:vAlign w:val="top"/>
          </w:tcPr>
          <w:p w14:paraId="34B911BA">
            <w:pPr>
              <w:spacing w:line="345" w:lineRule="auto"/>
              <w:rPr>
                <w:rFonts w:ascii="Arial"/>
                <w:sz w:val="21"/>
              </w:rPr>
            </w:pPr>
          </w:p>
          <w:p w14:paraId="0E170056">
            <w:pPr>
              <w:spacing w:before="65" w:line="228" w:lineRule="auto"/>
              <w:ind w:left="480"/>
              <w:rPr>
                <w:rFonts w:ascii="宋体" w:hAnsi="宋体" w:eastAsia="宋体" w:cs="宋体"/>
                <w:sz w:val="20"/>
                <w:szCs w:val="20"/>
              </w:rPr>
            </w:pPr>
            <w:r>
              <w:rPr>
                <w:rFonts w:ascii="宋体" w:hAnsi="宋体" w:eastAsia="宋体" w:cs="宋体"/>
                <w:spacing w:val="9"/>
                <w:sz w:val="20"/>
                <w:szCs w:val="20"/>
              </w:rPr>
              <w:t>罗平九龙街道阿鲁服务区</w:t>
            </w:r>
          </w:p>
        </w:tc>
        <w:tc>
          <w:tcPr>
            <w:tcW w:w="3125" w:type="dxa"/>
            <w:vAlign w:val="top"/>
          </w:tcPr>
          <w:p w14:paraId="58E15BCB">
            <w:pPr>
              <w:spacing w:line="314" w:lineRule="auto"/>
              <w:rPr>
                <w:rFonts w:ascii="Arial"/>
                <w:sz w:val="21"/>
              </w:rPr>
            </w:pPr>
          </w:p>
          <w:p w14:paraId="06694876">
            <w:pPr>
              <w:pStyle w:val="6"/>
              <w:spacing w:before="65" w:line="274" w:lineRule="exact"/>
              <w:ind w:left="1116"/>
              <w:rPr>
                <w:rFonts w:ascii="宋体" w:hAnsi="宋体" w:eastAsia="宋体" w:cs="宋体"/>
              </w:rPr>
            </w:pPr>
            <w:r>
              <w:rPr>
                <w:spacing w:val="2"/>
                <w:position w:val="1"/>
              </w:rPr>
              <w:t>S205</w:t>
            </w:r>
            <w:r>
              <w:rPr>
                <w:spacing w:val="15"/>
                <w:position w:val="1"/>
              </w:rPr>
              <w:t xml:space="preserve"> </w:t>
            </w:r>
            <w:r>
              <w:rPr>
                <w:rFonts w:ascii="宋体" w:hAnsi="宋体" w:eastAsia="宋体" w:cs="宋体"/>
                <w:spacing w:val="2"/>
                <w:position w:val="1"/>
              </w:rPr>
              <w:t>省道</w:t>
            </w:r>
          </w:p>
        </w:tc>
        <w:tc>
          <w:tcPr>
            <w:tcW w:w="2204" w:type="dxa"/>
            <w:vAlign w:val="top"/>
          </w:tcPr>
          <w:p w14:paraId="013A1F3F">
            <w:pPr>
              <w:spacing w:line="344" w:lineRule="auto"/>
              <w:rPr>
                <w:rFonts w:ascii="Arial"/>
                <w:sz w:val="21"/>
              </w:rPr>
            </w:pPr>
          </w:p>
          <w:p w14:paraId="234BF2D9">
            <w:pPr>
              <w:spacing w:before="65" w:line="228" w:lineRule="auto"/>
              <w:ind w:left="590"/>
              <w:rPr>
                <w:rFonts w:ascii="宋体" w:hAnsi="宋体" w:eastAsia="宋体" w:cs="宋体"/>
                <w:sz w:val="20"/>
                <w:szCs w:val="20"/>
              </w:rPr>
            </w:pPr>
            <w:r>
              <w:rPr>
                <w:rFonts w:ascii="宋体" w:hAnsi="宋体" w:eastAsia="宋体" w:cs="宋体"/>
                <w:spacing w:val="6"/>
                <w:sz w:val="20"/>
                <w:szCs w:val="20"/>
              </w:rPr>
              <w:t>阿鲁居委会</w:t>
            </w:r>
          </w:p>
        </w:tc>
        <w:tc>
          <w:tcPr>
            <w:tcW w:w="2066" w:type="dxa"/>
            <w:vAlign w:val="top"/>
          </w:tcPr>
          <w:p w14:paraId="41C14046">
            <w:pPr>
              <w:spacing w:before="83" w:line="228" w:lineRule="auto"/>
              <w:ind w:left="22"/>
              <w:rPr>
                <w:rFonts w:ascii="宋体" w:hAnsi="宋体" w:eastAsia="宋体" w:cs="宋体"/>
                <w:sz w:val="20"/>
                <w:szCs w:val="20"/>
              </w:rPr>
            </w:pPr>
            <w:r>
              <w:rPr>
                <w:rFonts w:ascii="宋体" w:hAnsi="宋体" w:eastAsia="宋体" w:cs="宋体"/>
                <w:spacing w:val="2"/>
                <w:sz w:val="20"/>
                <w:szCs w:val="20"/>
              </w:rPr>
              <w:t>车辆服务设施、人员服</w:t>
            </w:r>
          </w:p>
          <w:p w14:paraId="6C4D81B4">
            <w:pPr>
              <w:spacing w:before="81" w:line="228" w:lineRule="auto"/>
              <w:ind w:left="22"/>
              <w:rPr>
                <w:rFonts w:ascii="宋体" w:hAnsi="宋体" w:eastAsia="宋体" w:cs="宋体"/>
                <w:sz w:val="20"/>
                <w:szCs w:val="20"/>
              </w:rPr>
            </w:pPr>
            <w:r>
              <w:rPr>
                <w:rFonts w:ascii="宋体" w:hAnsi="宋体" w:eastAsia="宋体" w:cs="宋体"/>
                <w:spacing w:val="2"/>
                <w:sz w:val="20"/>
                <w:szCs w:val="20"/>
              </w:rPr>
              <w:t>务设施、管理及附属设</w:t>
            </w:r>
          </w:p>
          <w:p w14:paraId="6DE27FFE">
            <w:pPr>
              <w:spacing w:before="82" w:line="231" w:lineRule="auto"/>
              <w:ind w:left="934"/>
              <w:rPr>
                <w:rFonts w:ascii="宋体" w:hAnsi="宋体" w:eastAsia="宋体" w:cs="宋体"/>
                <w:sz w:val="20"/>
                <w:szCs w:val="20"/>
              </w:rPr>
            </w:pPr>
            <w:r>
              <w:rPr>
                <w:rFonts w:ascii="宋体" w:hAnsi="宋体" w:eastAsia="宋体" w:cs="宋体"/>
                <w:spacing w:val="1"/>
                <w:sz w:val="20"/>
                <w:szCs w:val="20"/>
              </w:rPr>
              <w:t>施</w:t>
            </w:r>
          </w:p>
        </w:tc>
        <w:tc>
          <w:tcPr>
            <w:tcW w:w="920" w:type="dxa"/>
            <w:vAlign w:val="top"/>
          </w:tcPr>
          <w:p w14:paraId="3D637D5D">
            <w:pPr>
              <w:spacing w:line="345" w:lineRule="auto"/>
              <w:rPr>
                <w:rFonts w:ascii="Arial"/>
                <w:sz w:val="21"/>
              </w:rPr>
            </w:pPr>
          </w:p>
          <w:p w14:paraId="222F900F">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6C1D984B">
            <w:pPr>
              <w:rPr>
                <w:rFonts w:ascii="Arial"/>
                <w:sz w:val="21"/>
              </w:rPr>
            </w:pPr>
          </w:p>
        </w:tc>
        <w:tc>
          <w:tcPr>
            <w:tcW w:w="1071" w:type="dxa"/>
            <w:vAlign w:val="top"/>
          </w:tcPr>
          <w:p w14:paraId="6B3A341F">
            <w:pPr>
              <w:spacing w:line="322" w:lineRule="auto"/>
              <w:rPr>
                <w:rFonts w:ascii="Arial"/>
                <w:sz w:val="21"/>
              </w:rPr>
            </w:pPr>
          </w:p>
          <w:p w14:paraId="43092B24">
            <w:pPr>
              <w:pStyle w:val="6"/>
              <w:spacing w:before="57" w:line="274" w:lineRule="exact"/>
              <w:ind w:left="458"/>
            </w:pPr>
            <w:r>
              <w:rPr>
                <w:spacing w:val="-8"/>
                <w:position w:val="2"/>
              </w:rPr>
              <w:t>10</w:t>
            </w:r>
          </w:p>
        </w:tc>
        <w:tc>
          <w:tcPr>
            <w:tcW w:w="1113" w:type="dxa"/>
            <w:vAlign w:val="top"/>
          </w:tcPr>
          <w:p w14:paraId="33B7077A">
            <w:pPr>
              <w:spacing w:line="322" w:lineRule="auto"/>
              <w:rPr>
                <w:rFonts w:ascii="Arial"/>
                <w:sz w:val="21"/>
              </w:rPr>
            </w:pPr>
          </w:p>
          <w:p w14:paraId="0413380E">
            <w:pPr>
              <w:pStyle w:val="6"/>
              <w:spacing w:before="57" w:line="274" w:lineRule="exact"/>
              <w:ind w:left="277"/>
            </w:pPr>
            <w:r>
              <w:rPr>
                <w:spacing w:val="3"/>
                <w:position w:val="2"/>
              </w:rPr>
              <w:t>2021.8</w:t>
            </w:r>
          </w:p>
        </w:tc>
        <w:tc>
          <w:tcPr>
            <w:tcW w:w="1028" w:type="dxa"/>
            <w:vAlign w:val="top"/>
          </w:tcPr>
          <w:p w14:paraId="7AF4D5E6">
            <w:pPr>
              <w:spacing w:line="322" w:lineRule="auto"/>
              <w:rPr>
                <w:rFonts w:ascii="Arial"/>
                <w:sz w:val="21"/>
              </w:rPr>
            </w:pPr>
          </w:p>
          <w:p w14:paraId="35B11FDA">
            <w:pPr>
              <w:pStyle w:val="6"/>
              <w:spacing w:before="57" w:line="274" w:lineRule="exact"/>
              <w:ind w:left="290"/>
            </w:pPr>
            <w:r>
              <w:rPr>
                <w:spacing w:val="3"/>
                <w:position w:val="2"/>
              </w:rPr>
              <w:t>0.118</w:t>
            </w:r>
          </w:p>
        </w:tc>
        <w:tc>
          <w:tcPr>
            <w:tcW w:w="3175" w:type="dxa"/>
            <w:tcBorders>
              <w:right w:val="single" w:color="000000" w:sz="10" w:space="0"/>
            </w:tcBorders>
            <w:vAlign w:val="top"/>
          </w:tcPr>
          <w:p w14:paraId="0F8F84C9">
            <w:pPr>
              <w:spacing w:line="345" w:lineRule="auto"/>
              <w:rPr>
                <w:rFonts w:ascii="Arial"/>
                <w:sz w:val="21"/>
              </w:rPr>
            </w:pPr>
          </w:p>
          <w:p w14:paraId="189B97D9">
            <w:pPr>
              <w:spacing w:before="65" w:line="228" w:lineRule="auto"/>
              <w:ind w:left="231"/>
              <w:rPr>
                <w:rFonts w:ascii="宋体" w:hAnsi="宋体" w:eastAsia="宋体" w:cs="宋体"/>
                <w:sz w:val="20"/>
                <w:szCs w:val="20"/>
              </w:rPr>
            </w:pPr>
            <w:r>
              <w:rPr>
                <w:rFonts w:ascii="宋体" w:hAnsi="宋体" w:eastAsia="宋体" w:cs="宋体"/>
                <w:spacing w:val="9"/>
                <w:sz w:val="20"/>
                <w:szCs w:val="20"/>
              </w:rPr>
              <w:t>房屋主体巳完工，正在装修中</w:t>
            </w:r>
          </w:p>
        </w:tc>
      </w:tr>
      <w:tr w14:paraId="13FA7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39" w:type="dxa"/>
            <w:tcBorders>
              <w:left w:val="single" w:color="000000" w:sz="10" w:space="0"/>
            </w:tcBorders>
            <w:vAlign w:val="top"/>
          </w:tcPr>
          <w:p w14:paraId="58707EF2">
            <w:pPr>
              <w:spacing w:line="325" w:lineRule="auto"/>
              <w:rPr>
                <w:rFonts w:ascii="Arial"/>
                <w:sz w:val="21"/>
              </w:rPr>
            </w:pPr>
          </w:p>
          <w:p w14:paraId="4DD6194B">
            <w:pPr>
              <w:pStyle w:val="6"/>
              <w:spacing w:before="57" w:line="275" w:lineRule="exact"/>
              <w:ind w:left="219"/>
            </w:pPr>
            <w:r>
              <w:rPr>
                <w:spacing w:val="-8"/>
                <w:position w:val="2"/>
              </w:rPr>
              <w:t>10</w:t>
            </w:r>
          </w:p>
        </w:tc>
        <w:tc>
          <w:tcPr>
            <w:tcW w:w="1412" w:type="dxa"/>
            <w:vAlign w:val="top"/>
          </w:tcPr>
          <w:p w14:paraId="258A0FDC">
            <w:pPr>
              <w:spacing w:line="346" w:lineRule="auto"/>
              <w:rPr>
                <w:rFonts w:ascii="Arial"/>
                <w:sz w:val="21"/>
              </w:rPr>
            </w:pPr>
          </w:p>
          <w:p w14:paraId="6292326B">
            <w:pPr>
              <w:spacing w:before="65" w:line="228" w:lineRule="auto"/>
              <w:ind w:left="389"/>
              <w:rPr>
                <w:rFonts w:ascii="宋体" w:hAnsi="宋体" w:eastAsia="宋体" w:cs="宋体"/>
                <w:sz w:val="20"/>
                <w:szCs w:val="20"/>
              </w:rPr>
            </w:pPr>
            <w:r>
              <w:rPr>
                <w:rFonts w:ascii="宋体" w:hAnsi="宋体" w:eastAsia="宋体" w:cs="宋体"/>
                <w:spacing w:val="5"/>
                <w:sz w:val="20"/>
                <w:szCs w:val="20"/>
              </w:rPr>
              <w:t>宣威市</w:t>
            </w:r>
          </w:p>
        </w:tc>
        <w:tc>
          <w:tcPr>
            <w:tcW w:w="3274" w:type="dxa"/>
            <w:vAlign w:val="top"/>
          </w:tcPr>
          <w:p w14:paraId="76DF3C34">
            <w:pPr>
              <w:spacing w:line="346" w:lineRule="auto"/>
              <w:rPr>
                <w:rFonts w:ascii="Arial"/>
                <w:sz w:val="21"/>
              </w:rPr>
            </w:pPr>
          </w:p>
          <w:p w14:paraId="7934B120">
            <w:pPr>
              <w:spacing w:before="65" w:line="228" w:lineRule="auto"/>
              <w:ind w:left="378"/>
              <w:rPr>
                <w:rFonts w:ascii="宋体" w:hAnsi="宋体" w:eastAsia="宋体" w:cs="宋体"/>
                <w:sz w:val="20"/>
                <w:szCs w:val="20"/>
              </w:rPr>
            </w:pPr>
            <w:r>
              <w:rPr>
                <w:rFonts w:ascii="宋体" w:hAnsi="宋体" w:eastAsia="宋体" w:cs="宋体"/>
                <w:spacing w:val="8"/>
                <w:sz w:val="20"/>
                <w:szCs w:val="20"/>
              </w:rPr>
              <w:t>宣威市丰华街道电厂服务区</w:t>
            </w:r>
          </w:p>
        </w:tc>
        <w:tc>
          <w:tcPr>
            <w:tcW w:w="3125" w:type="dxa"/>
            <w:vAlign w:val="top"/>
          </w:tcPr>
          <w:p w14:paraId="76774A22">
            <w:pPr>
              <w:spacing w:line="317" w:lineRule="auto"/>
              <w:rPr>
                <w:rFonts w:ascii="Arial"/>
                <w:sz w:val="21"/>
              </w:rPr>
            </w:pPr>
          </w:p>
          <w:p w14:paraId="26D0E372">
            <w:pPr>
              <w:pStyle w:val="6"/>
              <w:spacing w:before="65" w:line="275" w:lineRule="exact"/>
              <w:ind w:left="1094"/>
              <w:rPr>
                <w:rFonts w:ascii="宋体" w:hAnsi="宋体" w:eastAsia="宋体" w:cs="宋体"/>
              </w:rPr>
            </w:pPr>
            <w:r>
              <w:rPr>
                <w:position w:val="1"/>
              </w:rPr>
              <w:t>G326</w:t>
            </w:r>
            <w:r>
              <w:rPr>
                <w:spacing w:val="33"/>
                <w:position w:val="1"/>
              </w:rPr>
              <w:t xml:space="preserve"> </w:t>
            </w:r>
            <w:r>
              <w:rPr>
                <w:rFonts w:ascii="宋体" w:hAnsi="宋体" w:eastAsia="宋体" w:cs="宋体"/>
                <w:position w:val="1"/>
              </w:rPr>
              <w:t>国道</w:t>
            </w:r>
          </w:p>
        </w:tc>
        <w:tc>
          <w:tcPr>
            <w:tcW w:w="2204" w:type="dxa"/>
            <w:vAlign w:val="top"/>
          </w:tcPr>
          <w:p w14:paraId="73FED13E">
            <w:pPr>
              <w:spacing w:line="346" w:lineRule="auto"/>
              <w:rPr>
                <w:rFonts w:ascii="Arial"/>
                <w:sz w:val="21"/>
              </w:rPr>
            </w:pPr>
          </w:p>
          <w:p w14:paraId="415D855F">
            <w:pPr>
              <w:spacing w:before="65" w:line="228" w:lineRule="auto"/>
              <w:ind w:left="161"/>
              <w:rPr>
                <w:rFonts w:ascii="宋体" w:hAnsi="宋体" w:eastAsia="宋体" w:cs="宋体"/>
                <w:sz w:val="20"/>
                <w:szCs w:val="20"/>
              </w:rPr>
            </w:pPr>
            <w:r>
              <w:rPr>
                <w:rFonts w:ascii="宋体" w:hAnsi="宋体" w:eastAsia="宋体" w:cs="宋体"/>
                <w:spacing w:val="8"/>
                <w:sz w:val="20"/>
                <w:szCs w:val="20"/>
              </w:rPr>
              <w:t>丰华街道电厂公路旁</w:t>
            </w:r>
          </w:p>
        </w:tc>
        <w:tc>
          <w:tcPr>
            <w:tcW w:w="2066" w:type="dxa"/>
            <w:vAlign w:val="top"/>
          </w:tcPr>
          <w:p w14:paraId="46109384">
            <w:pPr>
              <w:spacing w:before="87" w:line="228" w:lineRule="auto"/>
              <w:ind w:left="22"/>
              <w:rPr>
                <w:rFonts w:ascii="宋体" w:hAnsi="宋体" w:eastAsia="宋体" w:cs="宋体"/>
                <w:sz w:val="20"/>
                <w:szCs w:val="20"/>
              </w:rPr>
            </w:pPr>
            <w:r>
              <w:rPr>
                <w:rFonts w:ascii="宋体" w:hAnsi="宋体" w:eastAsia="宋体" w:cs="宋体"/>
                <w:spacing w:val="2"/>
                <w:sz w:val="20"/>
                <w:szCs w:val="20"/>
              </w:rPr>
              <w:t>车辆服务设施、人员服</w:t>
            </w:r>
          </w:p>
          <w:p w14:paraId="26FC3295">
            <w:pPr>
              <w:spacing w:before="78" w:line="228" w:lineRule="auto"/>
              <w:ind w:left="22"/>
              <w:rPr>
                <w:rFonts w:ascii="宋体" w:hAnsi="宋体" w:eastAsia="宋体" w:cs="宋体"/>
                <w:sz w:val="20"/>
                <w:szCs w:val="20"/>
              </w:rPr>
            </w:pPr>
            <w:r>
              <w:rPr>
                <w:rFonts w:ascii="宋体" w:hAnsi="宋体" w:eastAsia="宋体" w:cs="宋体"/>
                <w:spacing w:val="2"/>
                <w:sz w:val="20"/>
                <w:szCs w:val="20"/>
              </w:rPr>
              <w:t>务设施、管理及附属设</w:t>
            </w:r>
          </w:p>
          <w:p w14:paraId="407159E6">
            <w:pPr>
              <w:spacing w:before="81" w:line="231" w:lineRule="auto"/>
              <w:ind w:left="934"/>
              <w:rPr>
                <w:rFonts w:ascii="宋体" w:hAnsi="宋体" w:eastAsia="宋体" w:cs="宋体"/>
                <w:sz w:val="20"/>
                <w:szCs w:val="20"/>
              </w:rPr>
            </w:pPr>
            <w:r>
              <w:rPr>
                <w:rFonts w:ascii="宋体" w:hAnsi="宋体" w:eastAsia="宋体" w:cs="宋体"/>
                <w:spacing w:val="1"/>
                <w:sz w:val="20"/>
                <w:szCs w:val="20"/>
              </w:rPr>
              <w:t>施</w:t>
            </w:r>
          </w:p>
        </w:tc>
        <w:tc>
          <w:tcPr>
            <w:tcW w:w="920" w:type="dxa"/>
            <w:vAlign w:val="top"/>
          </w:tcPr>
          <w:p w14:paraId="38C98B0B">
            <w:pPr>
              <w:spacing w:line="346" w:lineRule="auto"/>
              <w:rPr>
                <w:rFonts w:ascii="Arial"/>
                <w:sz w:val="21"/>
              </w:rPr>
            </w:pPr>
          </w:p>
          <w:p w14:paraId="4A96E3DF">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38FFBFC0">
            <w:pPr>
              <w:rPr>
                <w:rFonts w:ascii="Arial"/>
                <w:sz w:val="21"/>
              </w:rPr>
            </w:pPr>
          </w:p>
        </w:tc>
        <w:tc>
          <w:tcPr>
            <w:tcW w:w="1071" w:type="dxa"/>
            <w:vAlign w:val="top"/>
          </w:tcPr>
          <w:p w14:paraId="6F1D4D35">
            <w:pPr>
              <w:spacing w:line="325" w:lineRule="auto"/>
              <w:rPr>
                <w:rFonts w:ascii="Arial"/>
                <w:sz w:val="21"/>
              </w:rPr>
            </w:pPr>
          </w:p>
          <w:p w14:paraId="6C964808">
            <w:pPr>
              <w:pStyle w:val="6"/>
              <w:spacing w:before="57" w:line="275" w:lineRule="exact"/>
              <w:ind w:left="458"/>
            </w:pPr>
            <w:r>
              <w:rPr>
                <w:spacing w:val="-8"/>
                <w:position w:val="1"/>
              </w:rPr>
              <w:t>11</w:t>
            </w:r>
          </w:p>
        </w:tc>
        <w:tc>
          <w:tcPr>
            <w:tcW w:w="1113" w:type="dxa"/>
            <w:vAlign w:val="top"/>
          </w:tcPr>
          <w:p w14:paraId="4ADFB504">
            <w:pPr>
              <w:spacing w:line="325" w:lineRule="auto"/>
              <w:rPr>
                <w:rFonts w:ascii="Arial"/>
                <w:sz w:val="21"/>
              </w:rPr>
            </w:pPr>
          </w:p>
          <w:p w14:paraId="21F20CD9">
            <w:pPr>
              <w:pStyle w:val="6"/>
              <w:spacing w:before="57" w:line="275" w:lineRule="exact"/>
              <w:ind w:left="224"/>
            </w:pPr>
            <w:r>
              <w:rPr>
                <w:spacing w:val="4"/>
                <w:position w:val="2"/>
              </w:rPr>
              <w:t>2024.12</w:t>
            </w:r>
          </w:p>
        </w:tc>
        <w:tc>
          <w:tcPr>
            <w:tcW w:w="1028" w:type="dxa"/>
            <w:vAlign w:val="top"/>
          </w:tcPr>
          <w:p w14:paraId="4E0BAD97">
            <w:pPr>
              <w:spacing w:line="325" w:lineRule="auto"/>
              <w:rPr>
                <w:rFonts w:ascii="Arial"/>
                <w:sz w:val="21"/>
              </w:rPr>
            </w:pPr>
          </w:p>
          <w:p w14:paraId="10991552">
            <w:pPr>
              <w:pStyle w:val="6"/>
              <w:spacing w:before="57" w:line="275" w:lineRule="exact"/>
              <w:ind w:left="343"/>
            </w:pPr>
            <w:r>
              <w:rPr>
                <w:spacing w:val="2"/>
                <w:position w:val="2"/>
              </w:rPr>
              <w:t>0.08</w:t>
            </w:r>
          </w:p>
        </w:tc>
        <w:tc>
          <w:tcPr>
            <w:tcW w:w="3175" w:type="dxa"/>
            <w:tcBorders>
              <w:right w:val="single" w:color="000000" w:sz="10" w:space="0"/>
            </w:tcBorders>
            <w:vAlign w:val="top"/>
          </w:tcPr>
          <w:p w14:paraId="0F82C579">
            <w:pPr>
              <w:spacing w:line="346" w:lineRule="auto"/>
              <w:rPr>
                <w:rFonts w:ascii="Arial"/>
                <w:sz w:val="21"/>
              </w:rPr>
            </w:pPr>
          </w:p>
          <w:p w14:paraId="64C3ADDA">
            <w:pPr>
              <w:spacing w:before="65" w:line="229" w:lineRule="auto"/>
              <w:ind w:left="1176"/>
              <w:rPr>
                <w:rFonts w:ascii="宋体" w:hAnsi="宋体" w:eastAsia="宋体" w:cs="宋体"/>
                <w:sz w:val="20"/>
                <w:szCs w:val="20"/>
              </w:rPr>
            </w:pPr>
            <w:r>
              <w:rPr>
                <w:rFonts w:ascii="宋体" w:hAnsi="宋体" w:eastAsia="宋体" w:cs="宋体"/>
                <w:spacing w:val="7"/>
                <w:sz w:val="20"/>
                <w:szCs w:val="20"/>
              </w:rPr>
              <w:t>规划新增</w:t>
            </w:r>
          </w:p>
        </w:tc>
      </w:tr>
      <w:tr w14:paraId="434E6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7B1B1CFD">
            <w:pPr>
              <w:rPr>
                <w:rFonts w:ascii="Arial"/>
                <w:sz w:val="21"/>
              </w:rPr>
            </w:pPr>
          </w:p>
        </w:tc>
        <w:tc>
          <w:tcPr>
            <w:tcW w:w="7811" w:type="dxa"/>
            <w:gridSpan w:val="3"/>
            <w:vAlign w:val="top"/>
          </w:tcPr>
          <w:p w14:paraId="179EBA24">
            <w:pPr>
              <w:pStyle w:val="6"/>
              <w:spacing w:before="109" w:line="228" w:lineRule="auto"/>
              <w:ind w:left="4"/>
              <w:rPr>
                <w:rFonts w:ascii="宋体" w:hAnsi="宋体" w:eastAsia="宋体" w:cs="宋体"/>
              </w:rPr>
            </w:pPr>
            <w:r>
              <w:rPr>
                <w:b/>
                <w:bCs/>
                <w:spacing w:val="3"/>
              </w:rPr>
              <w:t>3</w:t>
            </w:r>
            <w:r>
              <w:rPr>
                <w:b/>
                <w:bCs/>
                <w:spacing w:val="-26"/>
              </w:rPr>
              <w:t xml:space="preserve"> </w:t>
            </w:r>
            <w:r>
              <w:rPr>
                <w:rFonts w:ascii="宋体" w:hAnsi="宋体" w:eastAsia="宋体" w:cs="宋体"/>
                <w:b/>
                <w:bCs/>
                <w:spacing w:val="3"/>
              </w:rPr>
              <w:t>、农村公路</w:t>
            </w:r>
          </w:p>
        </w:tc>
        <w:tc>
          <w:tcPr>
            <w:tcW w:w="2204" w:type="dxa"/>
            <w:vAlign w:val="top"/>
          </w:tcPr>
          <w:p w14:paraId="74262237">
            <w:pPr>
              <w:rPr>
                <w:rFonts w:ascii="Arial"/>
                <w:sz w:val="21"/>
              </w:rPr>
            </w:pPr>
          </w:p>
        </w:tc>
        <w:tc>
          <w:tcPr>
            <w:tcW w:w="2066" w:type="dxa"/>
            <w:vAlign w:val="top"/>
          </w:tcPr>
          <w:p w14:paraId="18ED5262">
            <w:pPr>
              <w:rPr>
                <w:rFonts w:ascii="Arial"/>
                <w:sz w:val="21"/>
              </w:rPr>
            </w:pPr>
          </w:p>
        </w:tc>
        <w:tc>
          <w:tcPr>
            <w:tcW w:w="920" w:type="dxa"/>
            <w:vAlign w:val="top"/>
          </w:tcPr>
          <w:p w14:paraId="30F9658A">
            <w:pPr>
              <w:rPr>
                <w:rFonts w:ascii="Arial"/>
                <w:sz w:val="21"/>
              </w:rPr>
            </w:pPr>
          </w:p>
        </w:tc>
        <w:tc>
          <w:tcPr>
            <w:tcW w:w="963" w:type="dxa"/>
            <w:vAlign w:val="top"/>
          </w:tcPr>
          <w:p w14:paraId="46FFEBED">
            <w:pPr>
              <w:rPr>
                <w:rFonts w:ascii="Arial"/>
                <w:sz w:val="21"/>
              </w:rPr>
            </w:pPr>
          </w:p>
        </w:tc>
        <w:tc>
          <w:tcPr>
            <w:tcW w:w="1071" w:type="dxa"/>
            <w:vAlign w:val="top"/>
          </w:tcPr>
          <w:p w14:paraId="101B7833">
            <w:pPr>
              <w:pStyle w:val="6"/>
              <w:spacing w:before="145" w:line="195" w:lineRule="auto"/>
              <w:ind w:left="335"/>
            </w:pPr>
            <w:r>
              <w:rPr>
                <w:b/>
                <w:bCs/>
                <w:spacing w:val="3"/>
              </w:rPr>
              <w:t>9740</w:t>
            </w:r>
          </w:p>
        </w:tc>
        <w:tc>
          <w:tcPr>
            <w:tcW w:w="1113" w:type="dxa"/>
            <w:vAlign w:val="top"/>
          </w:tcPr>
          <w:p w14:paraId="3228DCC0">
            <w:pPr>
              <w:rPr>
                <w:rFonts w:ascii="Arial"/>
                <w:sz w:val="21"/>
              </w:rPr>
            </w:pPr>
          </w:p>
        </w:tc>
        <w:tc>
          <w:tcPr>
            <w:tcW w:w="1028" w:type="dxa"/>
            <w:vAlign w:val="top"/>
          </w:tcPr>
          <w:p w14:paraId="369F3389">
            <w:pPr>
              <w:pStyle w:val="6"/>
              <w:spacing w:before="145" w:line="195" w:lineRule="auto"/>
              <w:ind w:left="289"/>
            </w:pPr>
            <w:r>
              <w:rPr>
                <w:b/>
                <w:bCs/>
                <w:spacing w:val="3"/>
              </w:rPr>
              <w:t>93.45</w:t>
            </w:r>
          </w:p>
        </w:tc>
        <w:tc>
          <w:tcPr>
            <w:tcW w:w="3175" w:type="dxa"/>
            <w:tcBorders>
              <w:right w:val="single" w:color="000000" w:sz="10" w:space="0"/>
            </w:tcBorders>
            <w:vAlign w:val="top"/>
          </w:tcPr>
          <w:p w14:paraId="6AF9CD1E">
            <w:pPr>
              <w:rPr>
                <w:rFonts w:ascii="Arial"/>
                <w:sz w:val="21"/>
              </w:rPr>
            </w:pPr>
          </w:p>
        </w:tc>
      </w:tr>
      <w:tr w14:paraId="06301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4D6C106">
            <w:pPr>
              <w:pStyle w:val="6"/>
              <w:spacing w:before="79" w:line="274" w:lineRule="exact"/>
              <w:ind w:left="272"/>
            </w:pPr>
            <w:r>
              <w:rPr>
                <w:position w:val="1"/>
              </w:rPr>
              <w:t>1</w:t>
            </w:r>
          </w:p>
        </w:tc>
        <w:tc>
          <w:tcPr>
            <w:tcW w:w="1412" w:type="dxa"/>
            <w:vAlign w:val="top"/>
          </w:tcPr>
          <w:p w14:paraId="34475E75">
            <w:pPr>
              <w:rPr>
                <w:rFonts w:ascii="Arial"/>
                <w:sz w:val="21"/>
              </w:rPr>
            </w:pPr>
          </w:p>
        </w:tc>
        <w:tc>
          <w:tcPr>
            <w:tcW w:w="3274" w:type="dxa"/>
            <w:vAlign w:val="top"/>
          </w:tcPr>
          <w:p w14:paraId="2855CF2D">
            <w:pPr>
              <w:spacing w:before="109" w:line="228" w:lineRule="auto"/>
              <w:ind w:left="1215"/>
              <w:rPr>
                <w:rFonts w:ascii="宋体" w:hAnsi="宋体" w:eastAsia="宋体" w:cs="宋体"/>
                <w:sz w:val="20"/>
                <w:szCs w:val="20"/>
              </w:rPr>
            </w:pPr>
            <w:r>
              <w:rPr>
                <w:rFonts w:ascii="宋体" w:hAnsi="宋体" w:eastAsia="宋体" w:cs="宋体"/>
                <w:spacing w:val="7"/>
                <w:sz w:val="20"/>
                <w:szCs w:val="20"/>
              </w:rPr>
              <w:t>农村公路</w:t>
            </w:r>
          </w:p>
        </w:tc>
        <w:tc>
          <w:tcPr>
            <w:tcW w:w="3125" w:type="dxa"/>
            <w:vAlign w:val="top"/>
          </w:tcPr>
          <w:p w14:paraId="67E6C779">
            <w:pPr>
              <w:rPr>
                <w:rFonts w:ascii="Arial"/>
                <w:sz w:val="21"/>
              </w:rPr>
            </w:pPr>
          </w:p>
        </w:tc>
        <w:tc>
          <w:tcPr>
            <w:tcW w:w="2204" w:type="dxa"/>
            <w:vAlign w:val="top"/>
          </w:tcPr>
          <w:p w14:paraId="46E5607B">
            <w:pPr>
              <w:rPr>
                <w:rFonts w:ascii="Arial"/>
                <w:sz w:val="21"/>
              </w:rPr>
            </w:pPr>
          </w:p>
        </w:tc>
        <w:tc>
          <w:tcPr>
            <w:tcW w:w="2066" w:type="dxa"/>
            <w:vAlign w:val="top"/>
          </w:tcPr>
          <w:p w14:paraId="2A84CB8B">
            <w:pPr>
              <w:rPr>
                <w:rFonts w:ascii="Arial"/>
                <w:sz w:val="21"/>
              </w:rPr>
            </w:pPr>
          </w:p>
        </w:tc>
        <w:tc>
          <w:tcPr>
            <w:tcW w:w="920" w:type="dxa"/>
            <w:vAlign w:val="top"/>
          </w:tcPr>
          <w:p w14:paraId="2DECB0E5">
            <w:pPr>
              <w:spacing w:before="110"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70AA32ED">
            <w:pPr>
              <w:rPr>
                <w:rFonts w:ascii="Arial"/>
                <w:sz w:val="21"/>
              </w:rPr>
            </w:pPr>
          </w:p>
        </w:tc>
        <w:tc>
          <w:tcPr>
            <w:tcW w:w="1071" w:type="dxa"/>
            <w:vAlign w:val="top"/>
          </w:tcPr>
          <w:p w14:paraId="5FA14083">
            <w:pPr>
              <w:pStyle w:val="6"/>
              <w:spacing w:before="79" w:line="274" w:lineRule="exact"/>
              <w:ind w:left="337"/>
            </w:pPr>
            <w:r>
              <w:rPr>
                <w:spacing w:val="3"/>
                <w:position w:val="2"/>
              </w:rPr>
              <w:t>9740</w:t>
            </w:r>
          </w:p>
        </w:tc>
        <w:tc>
          <w:tcPr>
            <w:tcW w:w="1113" w:type="dxa"/>
            <w:vAlign w:val="top"/>
          </w:tcPr>
          <w:p w14:paraId="403AA75B">
            <w:pPr>
              <w:pStyle w:val="6"/>
              <w:spacing w:before="79" w:line="274" w:lineRule="exact"/>
              <w:ind w:left="111"/>
            </w:pPr>
            <w:r>
              <w:rPr>
                <w:spacing w:val="4"/>
                <w:position w:val="2"/>
              </w:rPr>
              <w:t>2021-2025</w:t>
            </w:r>
          </w:p>
        </w:tc>
        <w:tc>
          <w:tcPr>
            <w:tcW w:w="1028" w:type="dxa"/>
            <w:vAlign w:val="top"/>
          </w:tcPr>
          <w:p w14:paraId="14695DF3">
            <w:pPr>
              <w:pStyle w:val="6"/>
              <w:spacing w:before="79" w:line="274" w:lineRule="exact"/>
              <w:ind w:left="291"/>
            </w:pPr>
            <w:r>
              <w:rPr>
                <w:spacing w:val="3"/>
                <w:position w:val="2"/>
              </w:rPr>
              <w:t>93.45</w:t>
            </w:r>
          </w:p>
        </w:tc>
        <w:tc>
          <w:tcPr>
            <w:tcW w:w="3175" w:type="dxa"/>
            <w:tcBorders>
              <w:right w:val="single" w:color="000000" w:sz="10" w:space="0"/>
            </w:tcBorders>
            <w:vAlign w:val="top"/>
          </w:tcPr>
          <w:p w14:paraId="1DA6468B">
            <w:pPr>
              <w:rPr>
                <w:rFonts w:ascii="Arial"/>
                <w:sz w:val="21"/>
              </w:rPr>
            </w:pPr>
          </w:p>
        </w:tc>
      </w:tr>
      <w:tr w14:paraId="44CBD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3304F65">
            <w:pPr>
              <w:rPr>
                <w:rFonts w:ascii="Arial"/>
                <w:sz w:val="21"/>
              </w:rPr>
            </w:pPr>
          </w:p>
        </w:tc>
        <w:tc>
          <w:tcPr>
            <w:tcW w:w="7811" w:type="dxa"/>
            <w:gridSpan w:val="3"/>
            <w:vAlign w:val="top"/>
          </w:tcPr>
          <w:p w14:paraId="58C21EBB">
            <w:pPr>
              <w:pStyle w:val="6"/>
              <w:spacing w:before="111" w:line="228" w:lineRule="auto"/>
              <w:ind w:left="6"/>
              <w:rPr>
                <w:rFonts w:ascii="宋体" w:hAnsi="宋体" w:eastAsia="宋体" w:cs="宋体"/>
              </w:rPr>
            </w:pPr>
            <w:r>
              <w:rPr>
                <w:b/>
                <w:bCs/>
                <w:spacing w:val="2"/>
              </w:rPr>
              <w:t>4</w:t>
            </w:r>
            <w:r>
              <w:rPr>
                <w:b/>
                <w:bCs/>
                <w:spacing w:val="-22"/>
              </w:rPr>
              <w:t xml:space="preserve"> </w:t>
            </w:r>
            <w:r>
              <w:rPr>
                <w:rFonts w:ascii="宋体" w:hAnsi="宋体" w:eastAsia="宋体" w:cs="宋体"/>
                <w:b/>
                <w:bCs/>
                <w:spacing w:val="2"/>
              </w:rPr>
              <w:t>、公路养护</w:t>
            </w:r>
          </w:p>
        </w:tc>
        <w:tc>
          <w:tcPr>
            <w:tcW w:w="2204" w:type="dxa"/>
            <w:vAlign w:val="top"/>
          </w:tcPr>
          <w:p w14:paraId="0B331DA8">
            <w:pPr>
              <w:rPr>
                <w:rFonts w:ascii="Arial"/>
                <w:sz w:val="21"/>
              </w:rPr>
            </w:pPr>
          </w:p>
        </w:tc>
        <w:tc>
          <w:tcPr>
            <w:tcW w:w="2066" w:type="dxa"/>
            <w:vAlign w:val="top"/>
          </w:tcPr>
          <w:p w14:paraId="75039858">
            <w:pPr>
              <w:rPr>
                <w:rFonts w:ascii="Arial"/>
                <w:sz w:val="21"/>
              </w:rPr>
            </w:pPr>
          </w:p>
        </w:tc>
        <w:tc>
          <w:tcPr>
            <w:tcW w:w="920" w:type="dxa"/>
            <w:vAlign w:val="top"/>
          </w:tcPr>
          <w:p w14:paraId="42808BE9">
            <w:pPr>
              <w:rPr>
                <w:rFonts w:ascii="Arial"/>
                <w:sz w:val="21"/>
              </w:rPr>
            </w:pPr>
          </w:p>
        </w:tc>
        <w:tc>
          <w:tcPr>
            <w:tcW w:w="963" w:type="dxa"/>
            <w:vAlign w:val="top"/>
          </w:tcPr>
          <w:p w14:paraId="3D976C6A">
            <w:pPr>
              <w:rPr>
                <w:rFonts w:ascii="Arial"/>
                <w:sz w:val="21"/>
              </w:rPr>
            </w:pPr>
          </w:p>
        </w:tc>
        <w:tc>
          <w:tcPr>
            <w:tcW w:w="1071" w:type="dxa"/>
            <w:vAlign w:val="top"/>
          </w:tcPr>
          <w:p w14:paraId="493CE69D">
            <w:pPr>
              <w:rPr>
                <w:rFonts w:ascii="Arial"/>
                <w:sz w:val="21"/>
              </w:rPr>
            </w:pPr>
          </w:p>
        </w:tc>
        <w:tc>
          <w:tcPr>
            <w:tcW w:w="1113" w:type="dxa"/>
            <w:vAlign w:val="top"/>
          </w:tcPr>
          <w:p w14:paraId="572C2D3F">
            <w:pPr>
              <w:rPr>
                <w:rFonts w:ascii="Arial"/>
                <w:sz w:val="21"/>
              </w:rPr>
            </w:pPr>
          </w:p>
        </w:tc>
        <w:tc>
          <w:tcPr>
            <w:tcW w:w="1028" w:type="dxa"/>
            <w:vAlign w:val="top"/>
          </w:tcPr>
          <w:p w14:paraId="3C9ED855">
            <w:pPr>
              <w:pStyle w:val="6"/>
              <w:spacing w:before="146" w:line="195" w:lineRule="auto"/>
              <w:ind w:left="296"/>
            </w:pPr>
            <w:r>
              <w:rPr>
                <w:b/>
                <w:bCs/>
                <w:spacing w:val="2"/>
              </w:rPr>
              <w:t>10.63</w:t>
            </w:r>
          </w:p>
        </w:tc>
        <w:tc>
          <w:tcPr>
            <w:tcW w:w="3175" w:type="dxa"/>
            <w:tcBorders>
              <w:right w:val="single" w:color="000000" w:sz="10" w:space="0"/>
            </w:tcBorders>
            <w:vAlign w:val="top"/>
          </w:tcPr>
          <w:p w14:paraId="4DE26CC4">
            <w:pPr>
              <w:rPr>
                <w:rFonts w:ascii="Arial"/>
                <w:sz w:val="21"/>
              </w:rPr>
            </w:pPr>
          </w:p>
        </w:tc>
      </w:tr>
      <w:tr w14:paraId="7F12B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223A47C7">
            <w:pPr>
              <w:pStyle w:val="6"/>
              <w:spacing w:before="80" w:line="274" w:lineRule="exact"/>
              <w:ind w:left="272"/>
            </w:pPr>
            <w:r>
              <w:rPr>
                <w:position w:val="1"/>
              </w:rPr>
              <w:t>1</w:t>
            </w:r>
          </w:p>
        </w:tc>
        <w:tc>
          <w:tcPr>
            <w:tcW w:w="1412" w:type="dxa"/>
            <w:vAlign w:val="top"/>
          </w:tcPr>
          <w:p w14:paraId="5C7C3381">
            <w:pPr>
              <w:rPr>
                <w:rFonts w:ascii="Arial"/>
                <w:sz w:val="21"/>
              </w:rPr>
            </w:pPr>
          </w:p>
        </w:tc>
        <w:tc>
          <w:tcPr>
            <w:tcW w:w="3274" w:type="dxa"/>
            <w:vAlign w:val="top"/>
          </w:tcPr>
          <w:p w14:paraId="40058A97">
            <w:pPr>
              <w:spacing w:before="111" w:line="228" w:lineRule="auto"/>
              <w:ind w:left="1004"/>
              <w:rPr>
                <w:rFonts w:ascii="宋体" w:hAnsi="宋体" w:eastAsia="宋体" w:cs="宋体"/>
                <w:sz w:val="20"/>
                <w:szCs w:val="20"/>
              </w:rPr>
            </w:pPr>
            <w:r>
              <w:rPr>
                <w:rFonts w:ascii="宋体" w:hAnsi="宋体" w:eastAsia="宋体" w:cs="宋体"/>
                <w:spacing w:val="8"/>
                <w:sz w:val="20"/>
                <w:szCs w:val="20"/>
              </w:rPr>
              <w:t>新建桥梁工程</w:t>
            </w:r>
          </w:p>
        </w:tc>
        <w:tc>
          <w:tcPr>
            <w:tcW w:w="3125" w:type="dxa"/>
            <w:vAlign w:val="top"/>
          </w:tcPr>
          <w:p w14:paraId="2A03F31B">
            <w:pPr>
              <w:rPr>
                <w:rFonts w:ascii="Arial"/>
                <w:sz w:val="21"/>
              </w:rPr>
            </w:pPr>
          </w:p>
        </w:tc>
        <w:tc>
          <w:tcPr>
            <w:tcW w:w="2204" w:type="dxa"/>
            <w:vAlign w:val="top"/>
          </w:tcPr>
          <w:p w14:paraId="426CC9AF">
            <w:pPr>
              <w:rPr>
                <w:rFonts w:ascii="Arial"/>
                <w:sz w:val="21"/>
              </w:rPr>
            </w:pPr>
          </w:p>
        </w:tc>
        <w:tc>
          <w:tcPr>
            <w:tcW w:w="2066" w:type="dxa"/>
            <w:vAlign w:val="top"/>
          </w:tcPr>
          <w:p w14:paraId="18A3829C">
            <w:pPr>
              <w:rPr>
                <w:rFonts w:ascii="Arial"/>
                <w:sz w:val="21"/>
              </w:rPr>
            </w:pPr>
          </w:p>
        </w:tc>
        <w:tc>
          <w:tcPr>
            <w:tcW w:w="920" w:type="dxa"/>
            <w:vAlign w:val="top"/>
          </w:tcPr>
          <w:p w14:paraId="1F032907">
            <w:pPr>
              <w:spacing w:before="111"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076C5A3">
            <w:pPr>
              <w:rPr>
                <w:rFonts w:ascii="Arial"/>
                <w:sz w:val="21"/>
              </w:rPr>
            </w:pPr>
          </w:p>
        </w:tc>
        <w:tc>
          <w:tcPr>
            <w:tcW w:w="1071" w:type="dxa"/>
            <w:vAlign w:val="top"/>
          </w:tcPr>
          <w:p w14:paraId="5B40AECA">
            <w:pPr>
              <w:pStyle w:val="6"/>
              <w:spacing w:before="80" w:line="274" w:lineRule="exact"/>
              <w:ind w:left="253"/>
              <w:rPr>
                <w:rFonts w:ascii="宋体" w:hAnsi="宋体" w:eastAsia="宋体" w:cs="宋体"/>
              </w:rPr>
            </w:pPr>
            <w:r>
              <w:rPr>
                <w:spacing w:val="2"/>
                <w:position w:val="1"/>
              </w:rPr>
              <w:t>276</w:t>
            </w:r>
            <w:r>
              <w:rPr>
                <w:spacing w:val="13"/>
                <w:w w:val="101"/>
                <w:position w:val="1"/>
              </w:rPr>
              <w:t xml:space="preserve"> </w:t>
            </w:r>
            <w:r>
              <w:rPr>
                <w:rFonts w:ascii="宋体" w:hAnsi="宋体" w:eastAsia="宋体" w:cs="宋体"/>
                <w:spacing w:val="2"/>
                <w:position w:val="1"/>
              </w:rPr>
              <w:t>座</w:t>
            </w:r>
          </w:p>
        </w:tc>
        <w:tc>
          <w:tcPr>
            <w:tcW w:w="1113" w:type="dxa"/>
            <w:vAlign w:val="top"/>
          </w:tcPr>
          <w:p w14:paraId="794F6E55">
            <w:pPr>
              <w:pStyle w:val="6"/>
              <w:spacing w:before="80" w:line="274" w:lineRule="exact"/>
              <w:ind w:left="111"/>
            </w:pPr>
            <w:r>
              <w:rPr>
                <w:spacing w:val="4"/>
                <w:position w:val="2"/>
              </w:rPr>
              <w:t>2021-2025</w:t>
            </w:r>
          </w:p>
        </w:tc>
        <w:tc>
          <w:tcPr>
            <w:tcW w:w="1028" w:type="dxa"/>
            <w:vAlign w:val="top"/>
          </w:tcPr>
          <w:p w14:paraId="69B346BB">
            <w:pPr>
              <w:pStyle w:val="6"/>
              <w:spacing w:before="80" w:line="274" w:lineRule="exact"/>
              <w:ind w:left="339"/>
            </w:pPr>
            <w:r>
              <w:rPr>
                <w:spacing w:val="3"/>
                <w:position w:val="2"/>
              </w:rPr>
              <w:t>4.24</w:t>
            </w:r>
          </w:p>
        </w:tc>
        <w:tc>
          <w:tcPr>
            <w:tcW w:w="3175" w:type="dxa"/>
            <w:tcBorders>
              <w:right w:val="single" w:color="000000" w:sz="10" w:space="0"/>
            </w:tcBorders>
            <w:vAlign w:val="top"/>
          </w:tcPr>
          <w:p w14:paraId="1D3A083F">
            <w:pPr>
              <w:rPr>
                <w:rFonts w:ascii="Arial"/>
                <w:sz w:val="21"/>
              </w:rPr>
            </w:pPr>
          </w:p>
        </w:tc>
      </w:tr>
      <w:tr w14:paraId="34AFC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ED8814C">
            <w:pPr>
              <w:pStyle w:val="6"/>
              <w:spacing w:before="83" w:line="274" w:lineRule="exact"/>
              <w:ind w:left="252"/>
            </w:pPr>
            <w:r>
              <w:rPr>
                <w:position w:val="1"/>
              </w:rPr>
              <w:t>2</w:t>
            </w:r>
          </w:p>
        </w:tc>
        <w:tc>
          <w:tcPr>
            <w:tcW w:w="1412" w:type="dxa"/>
            <w:vAlign w:val="top"/>
          </w:tcPr>
          <w:p w14:paraId="1A93EB40">
            <w:pPr>
              <w:rPr>
                <w:rFonts w:ascii="Arial"/>
                <w:sz w:val="21"/>
              </w:rPr>
            </w:pPr>
          </w:p>
        </w:tc>
        <w:tc>
          <w:tcPr>
            <w:tcW w:w="3274" w:type="dxa"/>
            <w:vAlign w:val="top"/>
          </w:tcPr>
          <w:p w14:paraId="5E5AFC91">
            <w:pPr>
              <w:spacing w:before="112" w:line="228" w:lineRule="auto"/>
              <w:ind w:left="1006"/>
              <w:rPr>
                <w:rFonts w:ascii="宋体" w:hAnsi="宋体" w:eastAsia="宋体" w:cs="宋体"/>
                <w:sz w:val="20"/>
                <w:szCs w:val="20"/>
              </w:rPr>
            </w:pPr>
            <w:r>
              <w:rPr>
                <w:rFonts w:ascii="宋体" w:hAnsi="宋体" w:eastAsia="宋体" w:cs="宋体"/>
                <w:spacing w:val="7"/>
                <w:sz w:val="20"/>
                <w:szCs w:val="20"/>
              </w:rPr>
              <w:t>危桥改造工程</w:t>
            </w:r>
          </w:p>
        </w:tc>
        <w:tc>
          <w:tcPr>
            <w:tcW w:w="3125" w:type="dxa"/>
            <w:vAlign w:val="top"/>
          </w:tcPr>
          <w:p w14:paraId="41257ACA">
            <w:pPr>
              <w:rPr>
                <w:rFonts w:ascii="Arial"/>
                <w:sz w:val="21"/>
              </w:rPr>
            </w:pPr>
          </w:p>
        </w:tc>
        <w:tc>
          <w:tcPr>
            <w:tcW w:w="2204" w:type="dxa"/>
            <w:vAlign w:val="top"/>
          </w:tcPr>
          <w:p w14:paraId="7FCF4A63">
            <w:pPr>
              <w:rPr>
                <w:rFonts w:ascii="Arial"/>
                <w:sz w:val="21"/>
              </w:rPr>
            </w:pPr>
          </w:p>
        </w:tc>
        <w:tc>
          <w:tcPr>
            <w:tcW w:w="2066" w:type="dxa"/>
            <w:vAlign w:val="top"/>
          </w:tcPr>
          <w:p w14:paraId="17996F57">
            <w:pPr>
              <w:rPr>
                <w:rFonts w:ascii="Arial"/>
                <w:sz w:val="21"/>
              </w:rPr>
            </w:pPr>
          </w:p>
        </w:tc>
        <w:tc>
          <w:tcPr>
            <w:tcW w:w="920" w:type="dxa"/>
            <w:vAlign w:val="top"/>
          </w:tcPr>
          <w:p w14:paraId="6F25E5E5">
            <w:pPr>
              <w:spacing w:before="112" w:line="228" w:lineRule="auto"/>
              <w:ind w:left="266"/>
              <w:rPr>
                <w:rFonts w:ascii="宋体" w:hAnsi="宋体" w:eastAsia="宋体" w:cs="宋体"/>
                <w:sz w:val="20"/>
                <w:szCs w:val="20"/>
              </w:rPr>
            </w:pPr>
            <w:r>
              <w:rPr>
                <w:rFonts w:ascii="宋体" w:hAnsi="宋体" w:eastAsia="宋体" w:cs="宋体"/>
                <w:spacing w:val="1"/>
                <w:sz w:val="20"/>
                <w:szCs w:val="20"/>
              </w:rPr>
              <w:t>改建</w:t>
            </w:r>
          </w:p>
        </w:tc>
        <w:tc>
          <w:tcPr>
            <w:tcW w:w="963" w:type="dxa"/>
            <w:vAlign w:val="top"/>
          </w:tcPr>
          <w:p w14:paraId="2B1B246A">
            <w:pPr>
              <w:rPr>
                <w:rFonts w:ascii="Arial"/>
                <w:sz w:val="21"/>
              </w:rPr>
            </w:pPr>
          </w:p>
        </w:tc>
        <w:tc>
          <w:tcPr>
            <w:tcW w:w="1071" w:type="dxa"/>
            <w:vAlign w:val="top"/>
          </w:tcPr>
          <w:p w14:paraId="4A75606C">
            <w:pPr>
              <w:pStyle w:val="6"/>
              <w:spacing w:before="83" w:line="274" w:lineRule="exact"/>
              <w:ind w:left="274"/>
              <w:rPr>
                <w:rFonts w:ascii="宋体" w:hAnsi="宋体" w:eastAsia="宋体" w:cs="宋体"/>
              </w:rPr>
            </w:pPr>
            <w:r>
              <w:rPr>
                <w:spacing w:val="-3"/>
                <w:position w:val="1"/>
              </w:rPr>
              <w:t>169</w:t>
            </w:r>
            <w:r>
              <w:rPr>
                <w:spacing w:val="13"/>
                <w:w w:val="101"/>
                <w:position w:val="1"/>
              </w:rPr>
              <w:t xml:space="preserve"> </w:t>
            </w:r>
            <w:r>
              <w:rPr>
                <w:rFonts w:ascii="宋体" w:hAnsi="宋体" w:eastAsia="宋体" w:cs="宋体"/>
                <w:spacing w:val="-3"/>
                <w:position w:val="1"/>
              </w:rPr>
              <w:t>座</w:t>
            </w:r>
          </w:p>
        </w:tc>
        <w:tc>
          <w:tcPr>
            <w:tcW w:w="1113" w:type="dxa"/>
            <w:vAlign w:val="top"/>
          </w:tcPr>
          <w:p w14:paraId="69EB4F9B">
            <w:pPr>
              <w:pStyle w:val="6"/>
              <w:spacing w:before="83" w:line="274" w:lineRule="exact"/>
              <w:ind w:left="111"/>
            </w:pPr>
            <w:r>
              <w:rPr>
                <w:spacing w:val="4"/>
                <w:position w:val="2"/>
              </w:rPr>
              <w:t>2021-2025</w:t>
            </w:r>
          </w:p>
        </w:tc>
        <w:tc>
          <w:tcPr>
            <w:tcW w:w="1028" w:type="dxa"/>
            <w:vAlign w:val="top"/>
          </w:tcPr>
          <w:p w14:paraId="2DD89AC2">
            <w:pPr>
              <w:pStyle w:val="6"/>
              <w:spacing w:before="83" w:line="274" w:lineRule="exact"/>
              <w:ind w:left="360"/>
            </w:pPr>
            <w:r>
              <w:rPr>
                <w:spacing w:val="-2"/>
                <w:position w:val="2"/>
              </w:rPr>
              <w:t>1.44</w:t>
            </w:r>
          </w:p>
        </w:tc>
        <w:tc>
          <w:tcPr>
            <w:tcW w:w="3175" w:type="dxa"/>
            <w:tcBorders>
              <w:right w:val="single" w:color="000000" w:sz="10" w:space="0"/>
            </w:tcBorders>
            <w:vAlign w:val="top"/>
          </w:tcPr>
          <w:p w14:paraId="6E09FF83">
            <w:pPr>
              <w:rPr>
                <w:rFonts w:ascii="Arial"/>
                <w:sz w:val="21"/>
              </w:rPr>
            </w:pPr>
          </w:p>
        </w:tc>
      </w:tr>
      <w:tr w14:paraId="45B56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7F38F559">
            <w:pPr>
              <w:pStyle w:val="6"/>
              <w:spacing w:before="84" w:line="274" w:lineRule="exact"/>
              <w:ind w:left="256"/>
            </w:pPr>
            <w:r>
              <w:rPr>
                <w:position w:val="2"/>
              </w:rPr>
              <w:t>3</w:t>
            </w:r>
          </w:p>
        </w:tc>
        <w:tc>
          <w:tcPr>
            <w:tcW w:w="1412" w:type="dxa"/>
            <w:vAlign w:val="top"/>
          </w:tcPr>
          <w:p w14:paraId="6F368A78">
            <w:pPr>
              <w:rPr>
                <w:rFonts w:ascii="Arial"/>
                <w:sz w:val="21"/>
              </w:rPr>
            </w:pPr>
          </w:p>
        </w:tc>
        <w:tc>
          <w:tcPr>
            <w:tcW w:w="3274" w:type="dxa"/>
            <w:vAlign w:val="top"/>
          </w:tcPr>
          <w:p w14:paraId="36973ECD">
            <w:pPr>
              <w:spacing w:before="112" w:line="229" w:lineRule="auto"/>
              <w:ind w:left="1219"/>
              <w:rPr>
                <w:rFonts w:ascii="宋体" w:hAnsi="宋体" w:eastAsia="宋体" w:cs="宋体"/>
                <w:sz w:val="20"/>
                <w:szCs w:val="20"/>
              </w:rPr>
            </w:pPr>
            <w:r>
              <w:rPr>
                <w:rFonts w:ascii="宋体" w:hAnsi="宋体" w:eastAsia="宋体" w:cs="宋体"/>
                <w:spacing w:val="6"/>
                <w:sz w:val="20"/>
                <w:szCs w:val="20"/>
              </w:rPr>
              <w:t>安防工程</w:t>
            </w:r>
          </w:p>
        </w:tc>
        <w:tc>
          <w:tcPr>
            <w:tcW w:w="3125" w:type="dxa"/>
            <w:vAlign w:val="top"/>
          </w:tcPr>
          <w:p w14:paraId="39FABAB6">
            <w:pPr>
              <w:rPr>
                <w:rFonts w:ascii="Arial"/>
                <w:sz w:val="21"/>
              </w:rPr>
            </w:pPr>
          </w:p>
        </w:tc>
        <w:tc>
          <w:tcPr>
            <w:tcW w:w="2204" w:type="dxa"/>
            <w:vAlign w:val="top"/>
          </w:tcPr>
          <w:p w14:paraId="4234F529">
            <w:pPr>
              <w:rPr>
                <w:rFonts w:ascii="Arial"/>
                <w:sz w:val="21"/>
              </w:rPr>
            </w:pPr>
          </w:p>
        </w:tc>
        <w:tc>
          <w:tcPr>
            <w:tcW w:w="2066" w:type="dxa"/>
            <w:vAlign w:val="top"/>
          </w:tcPr>
          <w:p w14:paraId="50DB9847">
            <w:pPr>
              <w:rPr>
                <w:rFonts w:ascii="Arial"/>
                <w:sz w:val="21"/>
              </w:rPr>
            </w:pPr>
          </w:p>
        </w:tc>
        <w:tc>
          <w:tcPr>
            <w:tcW w:w="920" w:type="dxa"/>
            <w:vAlign w:val="top"/>
          </w:tcPr>
          <w:p w14:paraId="1A0FA065">
            <w:pPr>
              <w:spacing w:before="112" w:line="228" w:lineRule="auto"/>
              <w:ind w:left="266"/>
              <w:rPr>
                <w:rFonts w:ascii="宋体" w:hAnsi="宋体" w:eastAsia="宋体" w:cs="宋体"/>
                <w:sz w:val="20"/>
                <w:szCs w:val="20"/>
              </w:rPr>
            </w:pPr>
            <w:r>
              <w:rPr>
                <w:rFonts w:ascii="宋体" w:hAnsi="宋体" w:eastAsia="宋体" w:cs="宋体"/>
                <w:spacing w:val="1"/>
                <w:sz w:val="20"/>
                <w:szCs w:val="20"/>
              </w:rPr>
              <w:t>改建</w:t>
            </w:r>
          </w:p>
        </w:tc>
        <w:tc>
          <w:tcPr>
            <w:tcW w:w="963" w:type="dxa"/>
            <w:vAlign w:val="top"/>
          </w:tcPr>
          <w:p w14:paraId="06566996">
            <w:pPr>
              <w:rPr>
                <w:rFonts w:ascii="Arial"/>
                <w:sz w:val="21"/>
              </w:rPr>
            </w:pPr>
          </w:p>
        </w:tc>
        <w:tc>
          <w:tcPr>
            <w:tcW w:w="1071" w:type="dxa"/>
            <w:vAlign w:val="top"/>
          </w:tcPr>
          <w:p w14:paraId="64832AF5">
            <w:pPr>
              <w:pStyle w:val="6"/>
              <w:spacing w:before="84" w:line="274" w:lineRule="exact"/>
              <w:ind w:left="332"/>
            </w:pPr>
            <w:r>
              <w:rPr>
                <w:spacing w:val="4"/>
                <w:position w:val="2"/>
              </w:rPr>
              <w:t>4951</w:t>
            </w:r>
          </w:p>
        </w:tc>
        <w:tc>
          <w:tcPr>
            <w:tcW w:w="1113" w:type="dxa"/>
            <w:vAlign w:val="top"/>
          </w:tcPr>
          <w:p w14:paraId="284F2E34">
            <w:pPr>
              <w:pStyle w:val="6"/>
              <w:spacing w:before="84" w:line="274" w:lineRule="exact"/>
              <w:ind w:left="111"/>
            </w:pPr>
            <w:r>
              <w:rPr>
                <w:spacing w:val="4"/>
                <w:position w:val="2"/>
              </w:rPr>
              <w:t>2021-2025</w:t>
            </w:r>
          </w:p>
        </w:tc>
        <w:tc>
          <w:tcPr>
            <w:tcW w:w="1028" w:type="dxa"/>
            <w:vAlign w:val="top"/>
          </w:tcPr>
          <w:p w14:paraId="48D962BF">
            <w:pPr>
              <w:pStyle w:val="6"/>
              <w:spacing w:before="84" w:line="274" w:lineRule="exact"/>
              <w:ind w:left="339"/>
            </w:pPr>
            <w:r>
              <w:rPr>
                <w:spacing w:val="3"/>
                <w:position w:val="2"/>
              </w:rPr>
              <w:t>4.95</w:t>
            </w:r>
          </w:p>
        </w:tc>
        <w:tc>
          <w:tcPr>
            <w:tcW w:w="3175" w:type="dxa"/>
            <w:tcBorders>
              <w:right w:val="single" w:color="000000" w:sz="10" w:space="0"/>
            </w:tcBorders>
            <w:vAlign w:val="top"/>
          </w:tcPr>
          <w:p w14:paraId="4EBAC8D4">
            <w:pPr>
              <w:rPr>
                <w:rFonts w:ascii="Arial"/>
                <w:sz w:val="21"/>
              </w:rPr>
            </w:pPr>
          </w:p>
        </w:tc>
      </w:tr>
      <w:tr w14:paraId="3FEE5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051A30C">
            <w:pPr>
              <w:rPr>
                <w:rFonts w:ascii="Arial"/>
                <w:sz w:val="21"/>
              </w:rPr>
            </w:pPr>
          </w:p>
        </w:tc>
        <w:tc>
          <w:tcPr>
            <w:tcW w:w="7811" w:type="dxa"/>
            <w:gridSpan w:val="3"/>
            <w:vAlign w:val="top"/>
          </w:tcPr>
          <w:p w14:paraId="00D923A7">
            <w:pPr>
              <w:pStyle w:val="6"/>
              <w:spacing w:before="115" w:line="228" w:lineRule="auto"/>
              <w:ind w:left="7"/>
              <w:rPr>
                <w:rFonts w:ascii="宋体" w:hAnsi="宋体" w:eastAsia="宋体" w:cs="宋体"/>
              </w:rPr>
            </w:pPr>
            <w:r>
              <w:rPr>
                <w:b/>
                <w:bCs/>
                <w:spacing w:val="4"/>
              </w:rPr>
              <w:t>5</w:t>
            </w:r>
            <w:r>
              <w:rPr>
                <w:b/>
                <w:bCs/>
                <w:spacing w:val="-26"/>
              </w:rPr>
              <w:t xml:space="preserve"> </w:t>
            </w:r>
            <w:r>
              <w:rPr>
                <w:rFonts w:ascii="宋体" w:hAnsi="宋体" w:eastAsia="宋体" w:cs="宋体"/>
                <w:b/>
                <w:bCs/>
                <w:spacing w:val="4"/>
              </w:rPr>
              <w:t>、城市快速干道</w:t>
            </w:r>
          </w:p>
        </w:tc>
        <w:tc>
          <w:tcPr>
            <w:tcW w:w="2204" w:type="dxa"/>
            <w:vAlign w:val="top"/>
          </w:tcPr>
          <w:p w14:paraId="47174021">
            <w:pPr>
              <w:rPr>
                <w:rFonts w:ascii="Arial"/>
                <w:sz w:val="21"/>
              </w:rPr>
            </w:pPr>
          </w:p>
        </w:tc>
        <w:tc>
          <w:tcPr>
            <w:tcW w:w="2066" w:type="dxa"/>
            <w:vAlign w:val="top"/>
          </w:tcPr>
          <w:p w14:paraId="65C413D5">
            <w:pPr>
              <w:rPr>
                <w:rFonts w:ascii="Arial"/>
                <w:sz w:val="21"/>
              </w:rPr>
            </w:pPr>
          </w:p>
        </w:tc>
        <w:tc>
          <w:tcPr>
            <w:tcW w:w="920" w:type="dxa"/>
            <w:vAlign w:val="top"/>
          </w:tcPr>
          <w:p w14:paraId="7297DBE4">
            <w:pPr>
              <w:rPr>
                <w:rFonts w:ascii="Arial"/>
                <w:sz w:val="21"/>
              </w:rPr>
            </w:pPr>
          </w:p>
        </w:tc>
        <w:tc>
          <w:tcPr>
            <w:tcW w:w="963" w:type="dxa"/>
            <w:vAlign w:val="top"/>
          </w:tcPr>
          <w:p w14:paraId="6B4C5C6B">
            <w:pPr>
              <w:rPr>
                <w:rFonts w:ascii="Arial"/>
                <w:sz w:val="21"/>
              </w:rPr>
            </w:pPr>
          </w:p>
        </w:tc>
        <w:tc>
          <w:tcPr>
            <w:tcW w:w="1071" w:type="dxa"/>
            <w:vAlign w:val="top"/>
          </w:tcPr>
          <w:p w14:paraId="596F6610">
            <w:pPr>
              <w:rPr>
                <w:rFonts w:ascii="Arial"/>
                <w:sz w:val="21"/>
              </w:rPr>
            </w:pPr>
          </w:p>
        </w:tc>
        <w:tc>
          <w:tcPr>
            <w:tcW w:w="1113" w:type="dxa"/>
            <w:vAlign w:val="top"/>
          </w:tcPr>
          <w:p w14:paraId="713D3743">
            <w:pPr>
              <w:rPr>
                <w:rFonts w:ascii="Arial"/>
                <w:sz w:val="21"/>
              </w:rPr>
            </w:pPr>
          </w:p>
        </w:tc>
        <w:tc>
          <w:tcPr>
            <w:tcW w:w="1028" w:type="dxa"/>
            <w:vAlign w:val="top"/>
          </w:tcPr>
          <w:p w14:paraId="6E1E8BD8">
            <w:pPr>
              <w:rPr>
                <w:rFonts w:ascii="Arial"/>
                <w:sz w:val="21"/>
              </w:rPr>
            </w:pPr>
          </w:p>
        </w:tc>
        <w:tc>
          <w:tcPr>
            <w:tcW w:w="3175" w:type="dxa"/>
            <w:tcBorders>
              <w:right w:val="single" w:color="000000" w:sz="10" w:space="0"/>
            </w:tcBorders>
            <w:vAlign w:val="top"/>
          </w:tcPr>
          <w:p w14:paraId="03487A04">
            <w:pPr>
              <w:rPr>
                <w:rFonts w:ascii="Arial"/>
                <w:sz w:val="21"/>
              </w:rPr>
            </w:pPr>
          </w:p>
        </w:tc>
      </w:tr>
      <w:tr w14:paraId="1945C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18D525D">
            <w:pPr>
              <w:rPr>
                <w:rFonts w:ascii="Arial"/>
                <w:sz w:val="21"/>
              </w:rPr>
            </w:pPr>
          </w:p>
        </w:tc>
        <w:tc>
          <w:tcPr>
            <w:tcW w:w="7811" w:type="dxa"/>
            <w:gridSpan w:val="3"/>
            <w:vAlign w:val="top"/>
          </w:tcPr>
          <w:p w14:paraId="192A896A">
            <w:pPr>
              <w:pStyle w:val="6"/>
              <w:spacing w:before="116" w:line="228" w:lineRule="auto"/>
            </w:pPr>
            <w:r>
              <w:rPr>
                <w:rFonts w:ascii="宋体" w:hAnsi="宋体" w:eastAsia="宋体" w:cs="宋体"/>
                <w:b/>
                <w:bCs/>
                <w:spacing w:val="5"/>
              </w:rPr>
              <w:t>“十四五</w:t>
            </w:r>
            <w:r>
              <w:rPr>
                <w:rFonts w:ascii="宋体" w:hAnsi="宋体" w:eastAsia="宋体" w:cs="宋体"/>
                <w:spacing w:val="-59"/>
              </w:rPr>
              <w:t xml:space="preserve"> </w:t>
            </w:r>
            <w:r>
              <w:rPr>
                <w:rFonts w:ascii="宋体" w:hAnsi="宋体" w:eastAsia="宋体" w:cs="宋体"/>
                <w:b/>
                <w:bCs/>
                <w:spacing w:val="5"/>
              </w:rPr>
              <w:t>”启动建设项目</w:t>
            </w:r>
            <w:r>
              <w:rPr>
                <w:b/>
                <w:bCs/>
                <w:spacing w:val="5"/>
              </w:rPr>
              <w:t xml:space="preserve">&lt;2 </w:t>
            </w:r>
            <w:r>
              <w:rPr>
                <w:rFonts w:ascii="宋体" w:hAnsi="宋体" w:eastAsia="宋体" w:cs="宋体"/>
                <w:b/>
                <w:bCs/>
                <w:spacing w:val="5"/>
              </w:rPr>
              <w:t>个</w:t>
            </w:r>
            <w:r>
              <w:rPr>
                <w:b/>
                <w:bCs/>
                <w:spacing w:val="5"/>
              </w:rPr>
              <w:t>&gt;</w:t>
            </w:r>
          </w:p>
        </w:tc>
        <w:tc>
          <w:tcPr>
            <w:tcW w:w="2204" w:type="dxa"/>
            <w:vAlign w:val="top"/>
          </w:tcPr>
          <w:p w14:paraId="5395C8D4">
            <w:pPr>
              <w:rPr>
                <w:rFonts w:ascii="Arial"/>
                <w:sz w:val="21"/>
              </w:rPr>
            </w:pPr>
          </w:p>
        </w:tc>
        <w:tc>
          <w:tcPr>
            <w:tcW w:w="2066" w:type="dxa"/>
            <w:vAlign w:val="top"/>
          </w:tcPr>
          <w:p w14:paraId="234295AE">
            <w:pPr>
              <w:rPr>
                <w:rFonts w:ascii="Arial"/>
                <w:sz w:val="21"/>
              </w:rPr>
            </w:pPr>
          </w:p>
        </w:tc>
        <w:tc>
          <w:tcPr>
            <w:tcW w:w="920" w:type="dxa"/>
            <w:vAlign w:val="top"/>
          </w:tcPr>
          <w:p w14:paraId="5A0F585E">
            <w:pPr>
              <w:rPr>
                <w:rFonts w:ascii="Arial"/>
                <w:sz w:val="21"/>
              </w:rPr>
            </w:pPr>
          </w:p>
        </w:tc>
        <w:tc>
          <w:tcPr>
            <w:tcW w:w="963" w:type="dxa"/>
            <w:vAlign w:val="top"/>
          </w:tcPr>
          <w:p w14:paraId="11EC86E9">
            <w:pPr>
              <w:rPr>
                <w:rFonts w:ascii="Arial"/>
                <w:sz w:val="21"/>
              </w:rPr>
            </w:pPr>
          </w:p>
        </w:tc>
        <w:tc>
          <w:tcPr>
            <w:tcW w:w="1071" w:type="dxa"/>
            <w:vAlign w:val="top"/>
          </w:tcPr>
          <w:p w14:paraId="0910F4B9">
            <w:pPr>
              <w:rPr>
                <w:rFonts w:ascii="Arial"/>
                <w:sz w:val="21"/>
              </w:rPr>
            </w:pPr>
          </w:p>
        </w:tc>
        <w:tc>
          <w:tcPr>
            <w:tcW w:w="1113" w:type="dxa"/>
            <w:vAlign w:val="top"/>
          </w:tcPr>
          <w:p w14:paraId="3ED83144">
            <w:pPr>
              <w:rPr>
                <w:rFonts w:ascii="Arial"/>
                <w:sz w:val="21"/>
              </w:rPr>
            </w:pPr>
          </w:p>
        </w:tc>
        <w:tc>
          <w:tcPr>
            <w:tcW w:w="1028" w:type="dxa"/>
            <w:vAlign w:val="top"/>
          </w:tcPr>
          <w:p w14:paraId="60CD4BEC">
            <w:pPr>
              <w:pStyle w:val="6"/>
              <w:spacing w:before="151" w:line="195" w:lineRule="auto"/>
              <w:ind w:left="290"/>
            </w:pPr>
            <w:r>
              <w:rPr>
                <w:b/>
                <w:bCs/>
                <w:spacing w:val="3"/>
              </w:rPr>
              <w:t>73.95</w:t>
            </w:r>
          </w:p>
        </w:tc>
        <w:tc>
          <w:tcPr>
            <w:tcW w:w="3175" w:type="dxa"/>
            <w:tcBorders>
              <w:right w:val="single" w:color="000000" w:sz="10" w:space="0"/>
            </w:tcBorders>
            <w:vAlign w:val="top"/>
          </w:tcPr>
          <w:p w14:paraId="34C75644">
            <w:pPr>
              <w:rPr>
                <w:rFonts w:ascii="Arial"/>
                <w:sz w:val="21"/>
              </w:rPr>
            </w:pPr>
          </w:p>
        </w:tc>
      </w:tr>
      <w:tr w14:paraId="493A44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32C5F7E1">
            <w:pPr>
              <w:pStyle w:val="6"/>
              <w:spacing w:before="229" w:line="275" w:lineRule="exact"/>
              <w:ind w:left="272"/>
            </w:pPr>
            <w:r>
              <w:rPr>
                <w:position w:val="1"/>
              </w:rPr>
              <w:t>1</w:t>
            </w:r>
          </w:p>
        </w:tc>
        <w:tc>
          <w:tcPr>
            <w:tcW w:w="1412" w:type="dxa"/>
            <w:vAlign w:val="top"/>
          </w:tcPr>
          <w:p w14:paraId="51FA19AA">
            <w:pPr>
              <w:spacing w:before="260" w:line="228" w:lineRule="auto"/>
              <w:ind w:left="304"/>
              <w:rPr>
                <w:rFonts w:ascii="宋体" w:hAnsi="宋体" w:eastAsia="宋体" w:cs="宋体"/>
                <w:sz w:val="20"/>
                <w:szCs w:val="20"/>
              </w:rPr>
            </w:pPr>
            <w:r>
              <w:rPr>
                <w:rFonts w:ascii="宋体" w:hAnsi="宋体" w:eastAsia="宋体" w:cs="宋体"/>
                <w:spacing w:val="1"/>
                <w:sz w:val="20"/>
                <w:szCs w:val="20"/>
              </w:rPr>
              <w:t>曲靖市区</w:t>
            </w:r>
          </w:p>
        </w:tc>
        <w:tc>
          <w:tcPr>
            <w:tcW w:w="6399" w:type="dxa"/>
            <w:gridSpan w:val="2"/>
            <w:vAlign w:val="top"/>
          </w:tcPr>
          <w:p w14:paraId="764BF5CC">
            <w:pPr>
              <w:spacing w:before="261" w:line="228" w:lineRule="auto"/>
              <w:ind w:left="598"/>
              <w:rPr>
                <w:rFonts w:ascii="宋体" w:hAnsi="宋体" w:eastAsia="宋体" w:cs="宋体"/>
                <w:sz w:val="20"/>
                <w:szCs w:val="20"/>
              </w:rPr>
            </w:pPr>
            <w:r>
              <w:rPr>
                <w:rFonts w:ascii="宋体" w:hAnsi="宋体" w:eastAsia="宋体" w:cs="宋体"/>
                <w:spacing w:val="8"/>
                <w:sz w:val="20"/>
                <w:szCs w:val="20"/>
              </w:rPr>
              <w:t>G60</w:t>
            </w:r>
            <w:r>
              <w:rPr>
                <w:rFonts w:ascii="宋体" w:hAnsi="宋体" w:eastAsia="宋体" w:cs="宋体"/>
                <w:spacing w:val="-19"/>
                <w:sz w:val="20"/>
                <w:szCs w:val="20"/>
              </w:rPr>
              <w:t xml:space="preserve"> </w:t>
            </w:r>
            <w:r>
              <w:rPr>
                <w:rFonts w:ascii="宋体" w:hAnsi="宋体" w:eastAsia="宋体" w:cs="宋体"/>
                <w:spacing w:val="8"/>
                <w:sz w:val="20"/>
                <w:szCs w:val="20"/>
              </w:rPr>
              <w:t>高速公路沾益大龙潭至马龙昌隆铺段市政快速化改造</w:t>
            </w:r>
          </w:p>
        </w:tc>
        <w:tc>
          <w:tcPr>
            <w:tcW w:w="2204" w:type="dxa"/>
            <w:vAlign w:val="top"/>
          </w:tcPr>
          <w:p w14:paraId="312267F3">
            <w:pPr>
              <w:spacing w:before="261" w:line="228" w:lineRule="auto"/>
              <w:ind w:left="586"/>
              <w:rPr>
                <w:rFonts w:ascii="宋体" w:hAnsi="宋体" w:eastAsia="宋体" w:cs="宋体"/>
                <w:sz w:val="20"/>
                <w:szCs w:val="20"/>
              </w:rPr>
            </w:pPr>
            <w:r>
              <w:rPr>
                <w:rFonts w:ascii="宋体" w:hAnsi="宋体" w:eastAsia="宋体" w:cs="宋体"/>
                <w:spacing w:val="7"/>
                <w:sz w:val="20"/>
                <w:szCs w:val="20"/>
              </w:rPr>
              <w:t>沾益大龙潭</w:t>
            </w:r>
          </w:p>
        </w:tc>
        <w:tc>
          <w:tcPr>
            <w:tcW w:w="2066" w:type="dxa"/>
            <w:vAlign w:val="top"/>
          </w:tcPr>
          <w:p w14:paraId="7581A6CC">
            <w:pPr>
              <w:spacing w:before="261" w:line="228" w:lineRule="auto"/>
              <w:ind w:left="522"/>
              <w:rPr>
                <w:rFonts w:ascii="宋体" w:hAnsi="宋体" w:eastAsia="宋体" w:cs="宋体"/>
                <w:sz w:val="20"/>
                <w:szCs w:val="20"/>
              </w:rPr>
            </w:pPr>
            <w:r>
              <w:rPr>
                <w:rFonts w:ascii="宋体" w:hAnsi="宋体" w:eastAsia="宋体" w:cs="宋体"/>
                <w:spacing w:val="6"/>
                <w:sz w:val="20"/>
                <w:szCs w:val="20"/>
              </w:rPr>
              <w:t>马龙昌隆铺</w:t>
            </w:r>
          </w:p>
        </w:tc>
        <w:tc>
          <w:tcPr>
            <w:tcW w:w="920" w:type="dxa"/>
            <w:vAlign w:val="top"/>
          </w:tcPr>
          <w:p w14:paraId="59CA04A9">
            <w:pPr>
              <w:spacing w:before="261" w:line="228" w:lineRule="auto"/>
              <w:ind w:left="266"/>
              <w:rPr>
                <w:rFonts w:ascii="宋体" w:hAnsi="宋体" w:eastAsia="宋体" w:cs="宋体"/>
                <w:sz w:val="20"/>
                <w:szCs w:val="20"/>
              </w:rPr>
            </w:pPr>
            <w:r>
              <w:rPr>
                <w:rFonts w:ascii="宋体" w:hAnsi="宋体" w:eastAsia="宋体" w:cs="宋体"/>
                <w:spacing w:val="1"/>
                <w:sz w:val="20"/>
                <w:szCs w:val="20"/>
              </w:rPr>
              <w:t>改造</w:t>
            </w:r>
          </w:p>
        </w:tc>
        <w:tc>
          <w:tcPr>
            <w:tcW w:w="963" w:type="dxa"/>
            <w:vAlign w:val="top"/>
          </w:tcPr>
          <w:p w14:paraId="29C45D26">
            <w:pPr>
              <w:spacing w:before="97" w:line="262" w:lineRule="auto"/>
              <w:ind w:left="389" w:right="54" w:hanging="316"/>
              <w:rPr>
                <w:rFonts w:ascii="宋体" w:hAnsi="宋体" w:eastAsia="宋体" w:cs="宋体"/>
                <w:sz w:val="20"/>
                <w:szCs w:val="20"/>
              </w:rPr>
            </w:pPr>
            <w:r>
              <w:rPr>
                <w:rFonts w:ascii="宋体" w:hAnsi="宋体" w:eastAsia="宋体" w:cs="宋体"/>
                <w:spacing w:val="7"/>
                <w:sz w:val="20"/>
                <w:szCs w:val="20"/>
              </w:rPr>
              <w:t>城市快速</w:t>
            </w:r>
            <w:r>
              <w:rPr>
                <w:rFonts w:ascii="宋体" w:hAnsi="宋体" w:eastAsia="宋体" w:cs="宋体"/>
                <w:sz w:val="20"/>
                <w:szCs w:val="20"/>
              </w:rPr>
              <w:t>路</w:t>
            </w:r>
          </w:p>
        </w:tc>
        <w:tc>
          <w:tcPr>
            <w:tcW w:w="1071" w:type="dxa"/>
            <w:vAlign w:val="top"/>
          </w:tcPr>
          <w:p w14:paraId="570BB865">
            <w:pPr>
              <w:pStyle w:val="6"/>
              <w:spacing w:before="229" w:line="275" w:lineRule="exact"/>
              <w:ind w:left="437"/>
            </w:pPr>
            <w:r>
              <w:rPr>
                <w:spacing w:val="3"/>
                <w:position w:val="2"/>
              </w:rPr>
              <w:t>49</w:t>
            </w:r>
          </w:p>
        </w:tc>
        <w:tc>
          <w:tcPr>
            <w:tcW w:w="1113" w:type="dxa"/>
            <w:vAlign w:val="top"/>
          </w:tcPr>
          <w:p w14:paraId="44B8B785">
            <w:pPr>
              <w:pStyle w:val="6"/>
              <w:spacing w:before="229" w:line="275" w:lineRule="exact"/>
              <w:ind w:left="111"/>
            </w:pPr>
            <w:r>
              <w:rPr>
                <w:spacing w:val="4"/>
                <w:position w:val="2"/>
              </w:rPr>
              <w:t>2021-2025</w:t>
            </w:r>
          </w:p>
        </w:tc>
        <w:tc>
          <w:tcPr>
            <w:tcW w:w="1028" w:type="dxa"/>
            <w:vAlign w:val="top"/>
          </w:tcPr>
          <w:p w14:paraId="105A9194">
            <w:pPr>
              <w:pStyle w:val="6"/>
              <w:spacing w:before="229" w:line="275" w:lineRule="exact"/>
              <w:ind w:left="291"/>
            </w:pPr>
            <w:r>
              <w:rPr>
                <w:spacing w:val="3"/>
                <w:position w:val="2"/>
              </w:rPr>
              <w:t>36.49</w:t>
            </w:r>
          </w:p>
        </w:tc>
        <w:tc>
          <w:tcPr>
            <w:tcW w:w="3175" w:type="dxa"/>
            <w:tcBorders>
              <w:right w:val="single" w:color="000000" w:sz="10" w:space="0"/>
            </w:tcBorders>
            <w:vAlign w:val="top"/>
          </w:tcPr>
          <w:p w14:paraId="4782D60F">
            <w:pPr>
              <w:rPr>
                <w:rFonts w:ascii="Arial"/>
                <w:sz w:val="21"/>
              </w:rPr>
            </w:pPr>
          </w:p>
        </w:tc>
      </w:tr>
      <w:tr w14:paraId="43A0F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7CA15B97">
            <w:pPr>
              <w:pStyle w:val="6"/>
              <w:spacing w:before="231" w:line="274" w:lineRule="exact"/>
              <w:ind w:left="252"/>
            </w:pPr>
            <w:r>
              <w:rPr>
                <w:position w:val="1"/>
              </w:rPr>
              <w:t>2</w:t>
            </w:r>
          </w:p>
        </w:tc>
        <w:tc>
          <w:tcPr>
            <w:tcW w:w="1412" w:type="dxa"/>
            <w:vAlign w:val="top"/>
          </w:tcPr>
          <w:p w14:paraId="5A647DC3">
            <w:pPr>
              <w:spacing w:before="261" w:line="228" w:lineRule="auto"/>
              <w:ind w:left="304"/>
              <w:rPr>
                <w:rFonts w:ascii="宋体" w:hAnsi="宋体" w:eastAsia="宋体" w:cs="宋体"/>
                <w:sz w:val="20"/>
                <w:szCs w:val="20"/>
              </w:rPr>
            </w:pPr>
            <w:r>
              <w:rPr>
                <w:rFonts w:ascii="宋体" w:hAnsi="宋体" w:eastAsia="宋体" w:cs="宋体"/>
                <w:spacing w:val="1"/>
                <w:sz w:val="20"/>
                <w:szCs w:val="20"/>
              </w:rPr>
              <w:t>曲靖市区</w:t>
            </w:r>
          </w:p>
        </w:tc>
        <w:tc>
          <w:tcPr>
            <w:tcW w:w="6399" w:type="dxa"/>
            <w:gridSpan w:val="2"/>
            <w:vAlign w:val="top"/>
          </w:tcPr>
          <w:p w14:paraId="0CA3D7CE">
            <w:pPr>
              <w:spacing w:before="261" w:line="228" w:lineRule="auto"/>
              <w:ind w:left="2173"/>
              <w:rPr>
                <w:rFonts w:ascii="宋体" w:hAnsi="宋体" w:eastAsia="宋体" w:cs="宋体"/>
                <w:sz w:val="20"/>
                <w:szCs w:val="20"/>
              </w:rPr>
            </w:pPr>
            <w:r>
              <w:rPr>
                <w:rFonts w:ascii="宋体" w:hAnsi="宋体" w:eastAsia="宋体" w:cs="宋体"/>
                <w:spacing w:val="6"/>
                <w:sz w:val="20"/>
                <w:szCs w:val="20"/>
              </w:rPr>
              <w:t>曲靖市廖廓山南北通道</w:t>
            </w:r>
          </w:p>
        </w:tc>
        <w:tc>
          <w:tcPr>
            <w:tcW w:w="2204" w:type="dxa"/>
            <w:vAlign w:val="top"/>
          </w:tcPr>
          <w:p w14:paraId="196921C7">
            <w:pPr>
              <w:spacing w:before="261" w:line="228" w:lineRule="auto"/>
              <w:ind w:left="62"/>
              <w:rPr>
                <w:rFonts w:ascii="宋体" w:hAnsi="宋体" w:eastAsia="宋体" w:cs="宋体"/>
                <w:sz w:val="20"/>
                <w:szCs w:val="20"/>
              </w:rPr>
            </w:pPr>
            <w:r>
              <w:rPr>
                <w:rFonts w:ascii="宋体" w:hAnsi="宋体" w:eastAsia="宋体" w:cs="宋体"/>
                <w:spacing w:val="8"/>
                <w:sz w:val="20"/>
                <w:szCs w:val="20"/>
              </w:rPr>
              <w:t>宁州路与胜峰路交叉口</w:t>
            </w:r>
          </w:p>
        </w:tc>
        <w:tc>
          <w:tcPr>
            <w:tcW w:w="2066" w:type="dxa"/>
            <w:vAlign w:val="top"/>
          </w:tcPr>
          <w:p w14:paraId="59AB6709">
            <w:pPr>
              <w:spacing w:before="96" w:line="228" w:lineRule="auto"/>
              <w:ind w:left="98"/>
              <w:rPr>
                <w:rFonts w:ascii="宋体" w:hAnsi="宋体" w:eastAsia="宋体" w:cs="宋体"/>
                <w:sz w:val="20"/>
                <w:szCs w:val="20"/>
              </w:rPr>
            </w:pPr>
            <w:r>
              <w:rPr>
                <w:rFonts w:ascii="宋体" w:hAnsi="宋体" w:eastAsia="宋体" w:cs="宋体"/>
                <w:spacing w:val="8"/>
                <w:sz w:val="20"/>
                <w:szCs w:val="20"/>
              </w:rPr>
              <w:t>南绕城高速文明村立</w:t>
            </w:r>
          </w:p>
          <w:p w14:paraId="3E4E4B5B">
            <w:pPr>
              <w:spacing w:before="82" w:line="221" w:lineRule="auto"/>
              <w:ind w:left="939"/>
              <w:rPr>
                <w:rFonts w:ascii="宋体" w:hAnsi="宋体" w:eastAsia="宋体" w:cs="宋体"/>
                <w:sz w:val="20"/>
                <w:szCs w:val="20"/>
              </w:rPr>
            </w:pPr>
            <w:r>
              <w:rPr>
                <w:rFonts w:ascii="宋体" w:hAnsi="宋体" w:eastAsia="宋体" w:cs="宋体"/>
                <w:sz w:val="20"/>
                <w:szCs w:val="20"/>
              </w:rPr>
              <w:t>交</w:t>
            </w:r>
          </w:p>
        </w:tc>
        <w:tc>
          <w:tcPr>
            <w:tcW w:w="920" w:type="dxa"/>
            <w:vAlign w:val="top"/>
          </w:tcPr>
          <w:p w14:paraId="107BE3B7">
            <w:pPr>
              <w:spacing w:before="262"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18BBBBBF">
            <w:pPr>
              <w:spacing w:before="97" w:line="262" w:lineRule="auto"/>
              <w:ind w:left="389" w:right="54" w:hanging="316"/>
              <w:rPr>
                <w:rFonts w:ascii="宋体" w:hAnsi="宋体" w:eastAsia="宋体" w:cs="宋体"/>
                <w:sz w:val="20"/>
                <w:szCs w:val="20"/>
              </w:rPr>
            </w:pPr>
            <w:r>
              <w:rPr>
                <w:rFonts w:ascii="宋体" w:hAnsi="宋体" w:eastAsia="宋体" w:cs="宋体"/>
                <w:spacing w:val="7"/>
                <w:sz w:val="20"/>
                <w:szCs w:val="20"/>
              </w:rPr>
              <w:t>城市快速</w:t>
            </w:r>
            <w:r>
              <w:rPr>
                <w:rFonts w:ascii="宋体" w:hAnsi="宋体" w:eastAsia="宋体" w:cs="宋体"/>
                <w:sz w:val="20"/>
                <w:szCs w:val="20"/>
              </w:rPr>
              <w:t>路</w:t>
            </w:r>
          </w:p>
        </w:tc>
        <w:tc>
          <w:tcPr>
            <w:tcW w:w="1071" w:type="dxa"/>
            <w:vAlign w:val="top"/>
          </w:tcPr>
          <w:p w14:paraId="5A641C38">
            <w:pPr>
              <w:pStyle w:val="6"/>
              <w:spacing w:before="231" w:line="274" w:lineRule="exact"/>
              <w:ind w:left="326"/>
            </w:pPr>
            <w:r>
              <w:rPr>
                <w:spacing w:val="-1"/>
                <w:position w:val="2"/>
              </w:rPr>
              <w:t>12.71</w:t>
            </w:r>
          </w:p>
        </w:tc>
        <w:tc>
          <w:tcPr>
            <w:tcW w:w="1113" w:type="dxa"/>
            <w:vAlign w:val="top"/>
          </w:tcPr>
          <w:p w14:paraId="66F4D97B">
            <w:pPr>
              <w:pStyle w:val="6"/>
              <w:spacing w:before="231" w:line="274" w:lineRule="exact"/>
              <w:ind w:left="111"/>
            </w:pPr>
            <w:r>
              <w:rPr>
                <w:spacing w:val="4"/>
                <w:position w:val="2"/>
              </w:rPr>
              <w:t>2021-2025</w:t>
            </w:r>
          </w:p>
        </w:tc>
        <w:tc>
          <w:tcPr>
            <w:tcW w:w="1028" w:type="dxa"/>
            <w:vAlign w:val="top"/>
          </w:tcPr>
          <w:p w14:paraId="6D0632A6">
            <w:pPr>
              <w:pStyle w:val="6"/>
              <w:spacing w:before="231" w:line="274" w:lineRule="exact"/>
              <w:ind w:left="291"/>
            </w:pPr>
            <w:r>
              <w:rPr>
                <w:spacing w:val="3"/>
                <w:position w:val="2"/>
              </w:rPr>
              <w:t>37.46</w:t>
            </w:r>
          </w:p>
        </w:tc>
        <w:tc>
          <w:tcPr>
            <w:tcW w:w="3175" w:type="dxa"/>
            <w:tcBorders>
              <w:right w:val="single" w:color="000000" w:sz="10" w:space="0"/>
            </w:tcBorders>
            <w:vAlign w:val="top"/>
          </w:tcPr>
          <w:p w14:paraId="1FF95799">
            <w:pPr>
              <w:rPr>
                <w:rFonts w:ascii="Arial"/>
                <w:sz w:val="21"/>
              </w:rPr>
            </w:pPr>
          </w:p>
        </w:tc>
      </w:tr>
      <w:tr w14:paraId="2CE38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8450" w:type="dxa"/>
            <w:gridSpan w:val="4"/>
            <w:tcBorders>
              <w:left w:val="single" w:color="000000" w:sz="10" w:space="0"/>
            </w:tcBorders>
            <w:vAlign w:val="top"/>
          </w:tcPr>
          <w:p w14:paraId="36DC0DE8">
            <w:pPr>
              <w:spacing w:before="78" w:line="300" w:lineRule="exact"/>
              <w:ind w:left="1178"/>
              <w:rPr>
                <w:rFonts w:ascii="华文楷体" w:hAnsi="华文楷体" w:eastAsia="华文楷体" w:cs="华文楷体"/>
                <w:sz w:val="20"/>
                <w:szCs w:val="20"/>
              </w:rPr>
            </w:pPr>
            <w:r>
              <w:rPr>
                <w:rFonts w:ascii="宋体" w:hAnsi="宋体" w:eastAsia="宋体" w:cs="宋体"/>
                <w:b/>
                <w:bCs/>
                <w:spacing w:val="3"/>
                <w:position w:val="2"/>
                <w:sz w:val="20"/>
                <w:szCs w:val="20"/>
              </w:rPr>
              <w:t>二、铁路</w:t>
            </w:r>
            <w:r>
              <w:rPr>
                <w:rFonts w:ascii="华文楷体" w:hAnsi="华文楷体" w:eastAsia="华文楷体" w:cs="华文楷体"/>
                <w:spacing w:val="3"/>
                <w:position w:val="3"/>
                <w:sz w:val="20"/>
                <w:szCs w:val="20"/>
              </w:rPr>
              <w:t>（注：</w:t>
            </w:r>
            <w:r>
              <w:rPr>
                <w:rFonts w:ascii="华文楷体" w:hAnsi="华文楷体" w:eastAsia="华文楷体" w:cs="华文楷体"/>
                <w:spacing w:val="-16"/>
                <w:position w:val="3"/>
                <w:sz w:val="20"/>
                <w:szCs w:val="20"/>
              </w:rPr>
              <w:t xml:space="preserve"> </w:t>
            </w:r>
            <w:r>
              <w:rPr>
                <w:rFonts w:ascii="华文楷体" w:hAnsi="华文楷体" w:eastAsia="华文楷体" w:cs="华文楷体"/>
                <w:spacing w:val="3"/>
                <w:position w:val="3"/>
                <w:sz w:val="20"/>
                <w:szCs w:val="20"/>
              </w:rPr>
              <w:t>统计不含储备项 目和规划研究项 目</w:t>
            </w:r>
            <w:r>
              <w:rPr>
                <w:rFonts w:ascii="华文楷体" w:hAnsi="华文楷体" w:eastAsia="华文楷体" w:cs="华文楷体"/>
                <w:spacing w:val="-18"/>
                <w:position w:val="3"/>
                <w:sz w:val="20"/>
                <w:szCs w:val="20"/>
              </w:rPr>
              <w:t xml:space="preserve"> </w:t>
            </w:r>
            <w:r>
              <w:rPr>
                <w:rFonts w:ascii="华文楷体" w:hAnsi="华文楷体" w:eastAsia="华文楷体" w:cs="华文楷体"/>
                <w:spacing w:val="3"/>
                <w:position w:val="3"/>
                <w:sz w:val="20"/>
                <w:szCs w:val="20"/>
              </w:rPr>
              <w:t>的里程及投资）</w:t>
            </w:r>
          </w:p>
        </w:tc>
        <w:tc>
          <w:tcPr>
            <w:tcW w:w="2204" w:type="dxa"/>
            <w:vAlign w:val="top"/>
          </w:tcPr>
          <w:p w14:paraId="67C3089C">
            <w:pPr>
              <w:rPr>
                <w:rFonts w:ascii="Arial"/>
                <w:sz w:val="21"/>
              </w:rPr>
            </w:pPr>
          </w:p>
        </w:tc>
        <w:tc>
          <w:tcPr>
            <w:tcW w:w="2066" w:type="dxa"/>
            <w:vAlign w:val="top"/>
          </w:tcPr>
          <w:p w14:paraId="5A9DA51F">
            <w:pPr>
              <w:rPr>
                <w:rFonts w:ascii="Arial"/>
                <w:sz w:val="21"/>
              </w:rPr>
            </w:pPr>
          </w:p>
        </w:tc>
        <w:tc>
          <w:tcPr>
            <w:tcW w:w="920" w:type="dxa"/>
            <w:vAlign w:val="top"/>
          </w:tcPr>
          <w:p w14:paraId="75AF6CCE">
            <w:pPr>
              <w:rPr>
                <w:rFonts w:ascii="Arial"/>
                <w:sz w:val="21"/>
              </w:rPr>
            </w:pPr>
          </w:p>
        </w:tc>
        <w:tc>
          <w:tcPr>
            <w:tcW w:w="963" w:type="dxa"/>
            <w:vAlign w:val="top"/>
          </w:tcPr>
          <w:p w14:paraId="470C69BE">
            <w:pPr>
              <w:rPr>
                <w:rFonts w:ascii="Arial"/>
                <w:sz w:val="21"/>
              </w:rPr>
            </w:pPr>
          </w:p>
        </w:tc>
        <w:tc>
          <w:tcPr>
            <w:tcW w:w="1071" w:type="dxa"/>
            <w:vAlign w:val="top"/>
          </w:tcPr>
          <w:p w14:paraId="0E2D1E9F">
            <w:pPr>
              <w:pStyle w:val="6"/>
              <w:spacing w:before="155" w:line="195" w:lineRule="auto"/>
              <w:ind w:left="388"/>
            </w:pPr>
            <w:r>
              <w:rPr>
                <w:b/>
                <w:bCs/>
                <w:spacing w:val="2"/>
              </w:rPr>
              <w:t>567</w:t>
            </w:r>
          </w:p>
        </w:tc>
        <w:tc>
          <w:tcPr>
            <w:tcW w:w="1113" w:type="dxa"/>
            <w:vAlign w:val="top"/>
          </w:tcPr>
          <w:p w14:paraId="4823E80F">
            <w:pPr>
              <w:rPr>
                <w:rFonts w:ascii="Arial"/>
                <w:sz w:val="21"/>
              </w:rPr>
            </w:pPr>
          </w:p>
        </w:tc>
        <w:tc>
          <w:tcPr>
            <w:tcW w:w="1028" w:type="dxa"/>
            <w:vAlign w:val="top"/>
          </w:tcPr>
          <w:p w14:paraId="0659D901">
            <w:pPr>
              <w:pStyle w:val="6"/>
              <w:spacing w:before="155" w:line="195" w:lineRule="auto"/>
              <w:ind w:left="236"/>
            </w:pPr>
            <w:r>
              <w:rPr>
                <w:b/>
                <w:bCs/>
                <w:spacing w:val="3"/>
              </w:rPr>
              <w:t>968.00</w:t>
            </w:r>
          </w:p>
        </w:tc>
        <w:tc>
          <w:tcPr>
            <w:tcW w:w="3175" w:type="dxa"/>
            <w:tcBorders>
              <w:right w:val="single" w:color="000000" w:sz="10" w:space="0"/>
            </w:tcBorders>
            <w:vAlign w:val="top"/>
          </w:tcPr>
          <w:p w14:paraId="2D3194C5">
            <w:pPr>
              <w:rPr>
                <w:rFonts w:ascii="Arial"/>
                <w:sz w:val="21"/>
              </w:rPr>
            </w:pPr>
          </w:p>
        </w:tc>
      </w:tr>
      <w:tr w14:paraId="393C0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13892E5">
            <w:pPr>
              <w:rPr>
                <w:rFonts w:ascii="Arial"/>
                <w:sz w:val="21"/>
              </w:rPr>
            </w:pPr>
          </w:p>
        </w:tc>
        <w:tc>
          <w:tcPr>
            <w:tcW w:w="7811" w:type="dxa"/>
            <w:gridSpan w:val="3"/>
            <w:vAlign w:val="top"/>
          </w:tcPr>
          <w:p w14:paraId="3D8DE3F0">
            <w:pPr>
              <w:spacing w:before="119" w:line="228" w:lineRule="auto"/>
              <w:ind w:left="19"/>
              <w:rPr>
                <w:rFonts w:ascii="宋体" w:hAnsi="宋体" w:eastAsia="宋体" w:cs="宋体"/>
                <w:sz w:val="20"/>
                <w:szCs w:val="20"/>
              </w:rPr>
            </w:pPr>
            <w:r>
              <w:rPr>
                <w:rFonts w:ascii="宋体" w:hAnsi="宋体" w:eastAsia="宋体" w:cs="宋体"/>
                <w:b/>
                <w:bCs/>
                <w:spacing w:val="5"/>
                <w:sz w:val="20"/>
                <w:szCs w:val="20"/>
              </w:rPr>
              <w:t>（1）</w:t>
            </w:r>
            <w:r>
              <w:rPr>
                <w:rFonts w:ascii="宋体" w:hAnsi="宋体" w:eastAsia="宋体" w:cs="宋体"/>
                <w:spacing w:val="-68"/>
                <w:sz w:val="20"/>
                <w:szCs w:val="20"/>
              </w:rPr>
              <w:t xml:space="preserve"> </w:t>
            </w:r>
            <w:r>
              <w:rPr>
                <w:rFonts w:ascii="宋体" w:hAnsi="宋体" w:eastAsia="宋体" w:cs="宋体"/>
                <w:b/>
                <w:bCs/>
                <w:spacing w:val="5"/>
                <w:sz w:val="20"/>
                <w:szCs w:val="20"/>
              </w:rPr>
              <w:t>“十三五</w:t>
            </w:r>
            <w:r>
              <w:rPr>
                <w:rFonts w:ascii="宋体" w:hAnsi="宋体" w:eastAsia="宋体" w:cs="宋体"/>
                <w:spacing w:val="-70"/>
                <w:sz w:val="20"/>
                <w:szCs w:val="20"/>
              </w:rPr>
              <w:t xml:space="preserve"> </w:t>
            </w:r>
            <w:r>
              <w:rPr>
                <w:rFonts w:ascii="宋体" w:hAnsi="宋体" w:eastAsia="宋体" w:cs="宋体"/>
                <w:b/>
                <w:bCs/>
                <w:spacing w:val="5"/>
                <w:sz w:val="20"/>
                <w:szCs w:val="20"/>
              </w:rPr>
              <w:t>”跨“十四五</w:t>
            </w:r>
            <w:r>
              <w:rPr>
                <w:rFonts w:ascii="宋体" w:hAnsi="宋体" w:eastAsia="宋体" w:cs="宋体"/>
                <w:spacing w:val="-69"/>
                <w:sz w:val="20"/>
                <w:szCs w:val="20"/>
              </w:rPr>
              <w:t xml:space="preserve"> </w:t>
            </w:r>
            <w:r>
              <w:rPr>
                <w:rFonts w:ascii="宋体" w:hAnsi="宋体" w:eastAsia="宋体" w:cs="宋体"/>
                <w:b/>
                <w:bCs/>
                <w:spacing w:val="5"/>
                <w:sz w:val="20"/>
                <w:szCs w:val="20"/>
              </w:rPr>
              <w:t>”续建项目&lt;1个&gt;</w:t>
            </w:r>
          </w:p>
        </w:tc>
        <w:tc>
          <w:tcPr>
            <w:tcW w:w="2204" w:type="dxa"/>
            <w:vAlign w:val="top"/>
          </w:tcPr>
          <w:p w14:paraId="0E3374FF">
            <w:pPr>
              <w:rPr>
                <w:rFonts w:ascii="Arial"/>
                <w:sz w:val="21"/>
              </w:rPr>
            </w:pPr>
          </w:p>
        </w:tc>
        <w:tc>
          <w:tcPr>
            <w:tcW w:w="2066" w:type="dxa"/>
            <w:vAlign w:val="top"/>
          </w:tcPr>
          <w:p w14:paraId="18AF76D6">
            <w:pPr>
              <w:rPr>
                <w:rFonts w:ascii="Arial"/>
                <w:sz w:val="21"/>
              </w:rPr>
            </w:pPr>
          </w:p>
        </w:tc>
        <w:tc>
          <w:tcPr>
            <w:tcW w:w="920" w:type="dxa"/>
            <w:vAlign w:val="top"/>
          </w:tcPr>
          <w:p w14:paraId="729D521E">
            <w:pPr>
              <w:rPr>
                <w:rFonts w:ascii="Arial"/>
                <w:sz w:val="21"/>
              </w:rPr>
            </w:pPr>
          </w:p>
        </w:tc>
        <w:tc>
          <w:tcPr>
            <w:tcW w:w="963" w:type="dxa"/>
            <w:vAlign w:val="top"/>
          </w:tcPr>
          <w:p w14:paraId="295C6354">
            <w:pPr>
              <w:rPr>
                <w:rFonts w:ascii="Arial"/>
                <w:sz w:val="21"/>
              </w:rPr>
            </w:pPr>
          </w:p>
        </w:tc>
        <w:tc>
          <w:tcPr>
            <w:tcW w:w="1071" w:type="dxa"/>
            <w:vAlign w:val="top"/>
          </w:tcPr>
          <w:p w14:paraId="0A3E6307">
            <w:pPr>
              <w:pStyle w:val="6"/>
              <w:spacing w:before="155" w:line="195" w:lineRule="auto"/>
              <w:ind w:left="395"/>
            </w:pPr>
            <w:r>
              <w:rPr>
                <w:b/>
                <w:bCs/>
              </w:rPr>
              <w:t>143</w:t>
            </w:r>
          </w:p>
        </w:tc>
        <w:tc>
          <w:tcPr>
            <w:tcW w:w="1113" w:type="dxa"/>
            <w:vAlign w:val="top"/>
          </w:tcPr>
          <w:p w14:paraId="6831B8D0">
            <w:pPr>
              <w:rPr>
                <w:rFonts w:ascii="Arial"/>
                <w:sz w:val="21"/>
              </w:rPr>
            </w:pPr>
          </w:p>
        </w:tc>
        <w:tc>
          <w:tcPr>
            <w:tcW w:w="1028" w:type="dxa"/>
            <w:vAlign w:val="top"/>
          </w:tcPr>
          <w:p w14:paraId="6AD58F11">
            <w:pPr>
              <w:pStyle w:val="6"/>
              <w:spacing w:before="155" w:line="195" w:lineRule="auto"/>
              <w:ind w:left="235"/>
            </w:pPr>
            <w:r>
              <w:rPr>
                <w:b/>
                <w:bCs/>
                <w:spacing w:val="3"/>
              </w:rPr>
              <w:t>257.00</w:t>
            </w:r>
          </w:p>
        </w:tc>
        <w:tc>
          <w:tcPr>
            <w:tcW w:w="3175" w:type="dxa"/>
            <w:tcBorders>
              <w:right w:val="single" w:color="000000" w:sz="10" w:space="0"/>
            </w:tcBorders>
            <w:vAlign w:val="top"/>
          </w:tcPr>
          <w:p w14:paraId="2C6C0F51">
            <w:pPr>
              <w:rPr>
                <w:rFonts w:ascii="Arial"/>
                <w:sz w:val="21"/>
              </w:rPr>
            </w:pPr>
          </w:p>
        </w:tc>
      </w:tr>
      <w:tr w14:paraId="1E803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639" w:type="dxa"/>
            <w:tcBorders>
              <w:left w:val="single" w:color="000000" w:sz="10" w:space="0"/>
              <w:bottom w:val="single" w:color="000000" w:sz="10" w:space="0"/>
            </w:tcBorders>
            <w:vAlign w:val="top"/>
          </w:tcPr>
          <w:p w14:paraId="61B1CCC8">
            <w:pPr>
              <w:pStyle w:val="6"/>
              <w:spacing w:before="233" w:line="274" w:lineRule="exact"/>
              <w:ind w:left="272"/>
            </w:pPr>
            <w:r>
              <w:rPr>
                <w:position w:val="1"/>
              </w:rPr>
              <w:t>1</w:t>
            </w:r>
          </w:p>
        </w:tc>
        <w:tc>
          <w:tcPr>
            <w:tcW w:w="1412" w:type="dxa"/>
            <w:tcBorders>
              <w:bottom w:val="single" w:color="000000" w:sz="10" w:space="0"/>
            </w:tcBorders>
            <w:vAlign w:val="top"/>
          </w:tcPr>
          <w:p w14:paraId="20464012">
            <w:pPr>
              <w:rPr>
                <w:rFonts w:ascii="Arial"/>
                <w:sz w:val="21"/>
              </w:rPr>
            </w:pPr>
          </w:p>
        </w:tc>
        <w:tc>
          <w:tcPr>
            <w:tcW w:w="3274" w:type="dxa"/>
            <w:tcBorders>
              <w:bottom w:val="single" w:color="000000" w:sz="10" w:space="0"/>
            </w:tcBorders>
            <w:vAlign w:val="top"/>
          </w:tcPr>
          <w:p w14:paraId="49A54606">
            <w:pPr>
              <w:spacing w:before="264" w:line="228" w:lineRule="auto"/>
              <w:ind w:left="1004"/>
              <w:rPr>
                <w:rFonts w:ascii="宋体" w:hAnsi="宋体" w:eastAsia="宋体" w:cs="宋体"/>
                <w:sz w:val="20"/>
                <w:szCs w:val="20"/>
              </w:rPr>
            </w:pPr>
            <w:r>
              <w:rPr>
                <w:rFonts w:ascii="宋体" w:hAnsi="宋体" w:eastAsia="宋体" w:cs="宋体"/>
                <w:spacing w:val="8"/>
                <w:sz w:val="20"/>
                <w:szCs w:val="20"/>
              </w:rPr>
              <w:t>渝昆高速铁路</w:t>
            </w:r>
          </w:p>
        </w:tc>
        <w:tc>
          <w:tcPr>
            <w:tcW w:w="3125" w:type="dxa"/>
            <w:tcBorders>
              <w:bottom w:val="single" w:color="000000" w:sz="10" w:space="0"/>
            </w:tcBorders>
            <w:vAlign w:val="top"/>
          </w:tcPr>
          <w:p w14:paraId="2F200DBD">
            <w:pPr>
              <w:spacing w:before="263"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tcBorders>
              <w:bottom w:val="single" w:color="000000" w:sz="10" w:space="0"/>
            </w:tcBorders>
            <w:vAlign w:val="top"/>
          </w:tcPr>
          <w:p w14:paraId="6C18CB4E">
            <w:pPr>
              <w:spacing w:before="263" w:line="228" w:lineRule="auto"/>
              <w:ind w:left="383"/>
              <w:rPr>
                <w:rFonts w:ascii="宋体" w:hAnsi="宋体" w:eastAsia="宋体" w:cs="宋体"/>
                <w:sz w:val="20"/>
                <w:szCs w:val="20"/>
              </w:rPr>
            </w:pPr>
            <w:r>
              <w:rPr>
                <w:rFonts w:ascii="宋体" w:hAnsi="宋体" w:eastAsia="宋体" w:cs="宋体"/>
                <w:spacing w:val="7"/>
                <w:sz w:val="20"/>
                <w:szCs w:val="20"/>
              </w:rPr>
              <w:t>昭通与曲靖交界</w:t>
            </w:r>
          </w:p>
        </w:tc>
        <w:tc>
          <w:tcPr>
            <w:tcW w:w="2066" w:type="dxa"/>
            <w:tcBorders>
              <w:bottom w:val="single" w:color="000000" w:sz="10" w:space="0"/>
            </w:tcBorders>
            <w:vAlign w:val="top"/>
          </w:tcPr>
          <w:p w14:paraId="04FAD76F">
            <w:pPr>
              <w:spacing w:before="263" w:line="228" w:lineRule="auto"/>
              <w:ind w:left="328"/>
              <w:rPr>
                <w:rFonts w:ascii="宋体" w:hAnsi="宋体" w:eastAsia="宋体" w:cs="宋体"/>
                <w:sz w:val="20"/>
                <w:szCs w:val="20"/>
              </w:rPr>
            </w:pPr>
            <w:r>
              <w:rPr>
                <w:rFonts w:ascii="宋体" w:hAnsi="宋体" w:eastAsia="宋体" w:cs="宋体"/>
                <w:spacing w:val="5"/>
                <w:sz w:val="20"/>
                <w:szCs w:val="20"/>
              </w:rPr>
              <w:t>曲靖与寻甸交界</w:t>
            </w:r>
          </w:p>
        </w:tc>
        <w:tc>
          <w:tcPr>
            <w:tcW w:w="920" w:type="dxa"/>
            <w:tcBorders>
              <w:bottom w:val="single" w:color="000000" w:sz="10" w:space="0"/>
            </w:tcBorders>
            <w:vAlign w:val="top"/>
          </w:tcPr>
          <w:p w14:paraId="31B56B08">
            <w:pPr>
              <w:spacing w:before="264" w:line="229" w:lineRule="auto"/>
              <w:ind w:left="261"/>
              <w:rPr>
                <w:rFonts w:ascii="宋体" w:hAnsi="宋体" w:eastAsia="宋体" w:cs="宋体"/>
                <w:sz w:val="20"/>
                <w:szCs w:val="20"/>
              </w:rPr>
            </w:pPr>
            <w:r>
              <w:rPr>
                <w:rFonts w:ascii="宋体" w:hAnsi="宋体" w:eastAsia="宋体" w:cs="宋体"/>
                <w:spacing w:val="3"/>
                <w:sz w:val="20"/>
                <w:szCs w:val="20"/>
              </w:rPr>
              <w:t>续建</w:t>
            </w:r>
          </w:p>
        </w:tc>
        <w:tc>
          <w:tcPr>
            <w:tcW w:w="963" w:type="dxa"/>
            <w:tcBorders>
              <w:bottom w:val="single" w:color="000000" w:sz="10" w:space="0"/>
            </w:tcBorders>
            <w:vAlign w:val="top"/>
          </w:tcPr>
          <w:p w14:paraId="0F22927E">
            <w:pPr>
              <w:spacing w:before="264" w:line="228" w:lineRule="auto"/>
              <w:ind w:left="287"/>
              <w:rPr>
                <w:rFonts w:ascii="宋体" w:hAnsi="宋体" w:eastAsia="宋体" w:cs="宋体"/>
                <w:sz w:val="20"/>
                <w:szCs w:val="20"/>
              </w:rPr>
            </w:pPr>
            <w:r>
              <w:rPr>
                <w:rFonts w:ascii="宋体" w:hAnsi="宋体" w:eastAsia="宋体" w:cs="宋体"/>
                <w:spacing w:val="2"/>
                <w:sz w:val="20"/>
                <w:szCs w:val="20"/>
              </w:rPr>
              <w:t>高铁</w:t>
            </w:r>
          </w:p>
        </w:tc>
        <w:tc>
          <w:tcPr>
            <w:tcW w:w="1071" w:type="dxa"/>
            <w:tcBorders>
              <w:bottom w:val="single" w:color="000000" w:sz="10" w:space="0"/>
            </w:tcBorders>
            <w:vAlign w:val="top"/>
          </w:tcPr>
          <w:p w14:paraId="7B39A370">
            <w:pPr>
              <w:pStyle w:val="6"/>
              <w:spacing w:before="233" w:line="274" w:lineRule="exact"/>
              <w:ind w:left="406"/>
            </w:pPr>
            <w:r>
              <w:rPr>
                <w:spacing w:val="-3"/>
                <w:position w:val="2"/>
              </w:rPr>
              <w:t>143</w:t>
            </w:r>
          </w:p>
        </w:tc>
        <w:tc>
          <w:tcPr>
            <w:tcW w:w="1113" w:type="dxa"/>
            <w:tcBorders>
              <w:bottom w:val="single" w:color="000000" w:sz="10" w:space="0"/>
            </w:tcBorders>
            <w:vAlign w:val="top"/>
          </w:tcPr>
          <w:p w14:paraId="10DBF703">
            <w:pPr>
              <w:pStyle w:val="6"/>
              <w:spacing w:before="233" w:line="274" w:lineRule="exact"/>
              <w:ind w:left="111"/>
            </w:pPr>
            <w:r>
              <w:rPr>
                <w:spacing w:val="4"/>
                <w:position w:val="2"/>
              </w:rPr>
              <w:t>2019-2025</w:t>
            </w:r>
          </w:p>
        </w:tc>
        <w:tc>
          <w:tcPr>
            <w:tcW w:w="1028" w:type="dxa"/>
            <w:tcBorders>
              <w:bottom w:val="single" w:color="000000" w:sz="10" w:space="0"/>
            </w:tcBorders>
            <w:vAlign w:val="top"/>
          </w:tcPr>
          <w:p w14:paraId="1870C1BE">
            <w:pPr>
              <w:pStyle w:val="6"/>
              <w:spacing w:before="233" w:line="274" w:lineRule="exact"/>
              <w:ind w:left="234"/>
            </w:pPr>
            <w:r>
              <w:rPr>
                <w:spacing w:val="3"/>
                <w:position w:val="2"/>
              </w:rPr>
              <w:t>257.00</w:t>
            </w:r>
          </w:p>
        </w:tc>
        <w:tc>
          <w:tcPr>
            <w:tcW w:w="3175" w:type="dxa"/>
            <w:tcBorders>
              <w:bottom w:val="single" w:color="000000" w:sz="10" w:space="0"/>
              <w:right w:val="single" w:color="000000" w:sz="10" w:space="0"/>
            </w:tcBorders>
            <w:vAlign w:val="top"/>
          </w:tcPr>
          <w:p w14:paraId="6FFE9D2B">
            <w:pPr>
              <w:spacing w:before="97" w:line="272"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发展规划》续建项目</w:t>
            </w:r>
          </w:p>
        </w:tc>
      </w:tr>
    </w:tbl>
    <w:p w14:paraId="4444AC7B">
      <w:pPr>
        <w:pStyle w:val="2"/>
      </w:pPr>
    </w:p>
    <w:p w14:paraId="4CCE6955">
      <w:pPr>
        <w:sectPr>
          <w:headerReference r:id="rId151" w:type="default"/>
          <w:footerReference r:id="rId152" w:type="default"/>
          <w:pgSz w:w="23812" w:h="16839"/>
          <w:pgMar w:top="1222" w:right="1407" w:bottom="1007" w:left="1387" w:header="885" w:footer="771" w:gutter="0"/>
          <w:cols w:space="720" w:num="1"/>
        </w:sectPr>
      </w:pPr>
    </w:p>
    <w:p w14:paraId="60C9DC6D">
      <w:pPr>
        <w:spacing w:before="122"/>
      </w:pPr>
    </w:p>
    <w:tbl>
      <w:tblPr>
        <w:tblStyle w:val="5"/>
        <w:tblW w:w="209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9"/>
        <w:gridCol w:w="1412"/>
        <w:gridCol w:w="3274"/>
        <w:gridCol w:w="3125"/>
        <w:gridCol w:w="2204"/>
        <w:gridCol w:w="2066"/>
        <w:gridCol w:w="920"/>
        <w:gridCol w:w="963"/>
        <w:gridCol w:w="1071"/>
        <w:gridCol w:w="1113"/>
        <w:gridCol w:w="1028"/>
        <w:gridCol w:w="3175"/>
      </w:tblGrid>
      <w:tr w14:paraId="65883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639" w:type="dxa"/>
            <w:tcBorders>
              <w:top w:val="single" w:color="000000" w:sz="10" w:space="0"/>
              <w:left w:val="single" w:color="000000" w:sz="10" w:space="0"/>
            </w:tcBorders>
            <w:vAlign w:val="top"/>
          </w:tcPr>
          <w:p w14:paraId="17CFFD57">
            <w:pPr>
              <w:rPr>
                <w:rFonts w:ascii="Arial"/>
                <w:sz w:val="21"/>
              </w:rPr>
            </w:pPr>
          </w:p>
        </w:tc>
        <w:tc>
          <w:tcPr>
            <w:tcW w:w="7811" w:type="dxa"/>
            <w:gridSpan w:val="3"/>
            <w:tcBorders>
              <w:top w:val="single" w:color="000000" w:sz="10" w:space="0"/>
            </w:tcBorders>
            <w:vAlign w:val="top"/>
          </w:tcPr>
          <w:p w14:paraId="7600FD40">
            <w:pPr>
              <w:spacing w:before="98" w:line="228" w:lineRule="auto"/>
              <w:ind w:left="19"/>
              <w:rPr>
                <w:rFonts w:ascii="宋体" w:hAnsi="宋体" w:eastAsia="宋体" w:cs="宋体"/>
                <w:sz w:val="20"/>
                <w:szCs w:val="20"/>
              </w:rPr>
            </w:pPr>
            <w:r>
              <w:rPr>
                <w:rFonts w:ascii="宋体" w:hAnsi="宋体" w:eastAsia="宋体" w:cs="宋体"/>
                <w:b/>
                <w:bCs/>
                <w:spacing w:val="2"/>
                <w:sz w:val="20"/>
                <w:szCs w:val="20"/>
              </w:rPr>
              <w:t>（2）</w:t>
            </w:r>
            <w:r>
              <w:rPr>
                <w:rFonts w:ascii="宋体" w:hAnsi="宋体" w:eastAsia="宋体" w:cs="宋体"/>
                <w:spacing w:val="-74"/>
                <w:sz w:val="20"/>
                <w:szCs w:val="20"/>
              </w:rPr>
              <w:t xml:space="preserve"> </w:t>
            </w:r>
            <w:r>
              <w:rPr>
                <w:rFonts w:ascii="宋体" w:hAnsi="宋体" w:eastAsia="宋体" w:cs="宋体"/>
                <w:b/>
                <w:bCs/>
                <w:spacing w:val="2"/>
                <w:sz w:val="20"/>
                <w:szCs w:val="20"/>
              </w:rPr>
              <w:t>“十四五</w:t>
            </w:r>
            <w:r>
              <w:rPr>
                <w:rFonts w:ascii="宋体" w:hAnsi="宋体" w:eastAsia="宋体" w:cs="宋体"/>
                <w:spacing w:val="-70"/>
                <w:sz w:val="20"/>
                <w:szCs w:val="20"/>
              </w:rPr>
              <w:t xml:space="preserve"> </w:t>
            </w:r>
            <w:r>
              <w:rPr>
                <w:rFonts w:ascii="宋体" w:hAnsi="宋体" w:eastAsia="宋体" w:cs="宋体"/>
                <w:b/>
                <w:bCs/>
                <w:spacing w:val="2"/>
                <w:sz w:val="20"/>
                <w:szCs w:val="20"/>
              </w:rPr>
              <w:t>”新建项目&lt;4</w:t>
            </w:r>
            <w:r>
              <w:rPr>
                <w:rFonts w:ascii="宋体" w:hAnsi="宋体" w:eastAsia="宋体" w:cs="宋体"/>
                <w:spacing w:val="-38"/>
                <w:sz w:val="20"/>
                <w:szCs w:val="20"/>
              </w:rPr>
              <w:t xml:space="preserve"> </w:t>
            </w:r>
            <w:r>
              <w:rPr>
                <w:rFonts w:ascii="宋体" w:hAnsi="宋体" w:eastAsia="宋体" w:cs="宋体"/>
                <w:b/>
                <w:bCs/>
                <w:spacing w:val="2"/>
                <w:sz w:val="20"/>
                <w:szCs w:val="20"/>
              </w:rPr>
              <w:t>个&gt;</w:t>
            </w:r>
          </w:p>
        </w:tc>
        <w:tc>
          <w:tcPr>
            <w:tcW w:w="2204" w:type="dxa"/>
            <w:tcBorders>
              <w:top w:val="single" w:color="000000" w:sz="10" w:space="0"/>
            </w:tcBorders>
            <w:vAlign w:val="top"/>
          </w:tcPr>
          <w:p w14:paraId="32828171">
            <w:pPr>
              <w:rPr>
                <w:rFonts w:ascii="Arial"/>
                <w:sz w:val="21"/>
              </w:rPr>
            </w:pPr>
          </w:p>
        </w:tc>
        <w:tc>
          <w:tcPr>
            <w:tcW w:w="2066" w:type="dxa"/>
            <w:tcBorders>
              <w:top w:val="single" w:color="000000" w:sz="10" w:space="0"/>
            </w:tcBorders>
            <w:vAlign w:val="top"/>
          </w:tcPr>
          <w:p w14:paraId="61D6F13F">
            <w:pPr>
              <w:rPr>
                <w:rFonts w:ascii="Arial"/>
                <w:sz w:val="21"/>
              </w:rPr>
            </w:pPr>
          </w:p>
        </w:tc>
        <w:tc>
          <w:tcPr>
            <w:tcW w:w="920" w:type="dxa"/>
            <w:tcBorders>
              <w:top w:val="single" w:color="000000" w:sz="10" w:space="0"/>
            </w:tcBorders>
            <w:vAlign w:val="top"/>
          </w:tcPr>
          <w:p w14:paraId="668E60C0">
            <w:pPr>
              <w:rPr>
                <w:rFonts w:ascii="Arial"/>
                <w:sz w:val="21"/>
              </w:rPr>
            </w:pPr>
          </w:p>
        </w:tc>
        <w:tc>
          <w:tcPr>
            <w:tcW w:w="963" w:type="dxa"/>
            <w:tcBorders>
              <w:top w:val="single" w:color="000000" w:sz="10" w:space="0"/>
            </w:tcBorders>
            <w:vAlign w:val="top"/>
          </w:tcPr>
          <w:p w14:paraId="464C2103">
            <w:pPr>
              <w:rPr>
                <w:rFonts w:ascii="Arial"/>
                <w:sz w:val="21"/>
              </w:rPr>
            </w:pPr>
          </w:p>
        </w:tc>
        <w:tc>
          <w:tcPr>
            <w:tcW w:w="1071" w:type="dxa"/>
            <w:tcBorders>
              <w:top w:val="single" w:color="000000" w:sz="10" w:space="0"/>
            </w:tcBorders>
            <w:vAlign w:val="top"/>
          </w:tcPr>
          <w:p w14:paraId="72529454">
            <w:pPr>
              <w:pStyle w:val="6"/>
              <w:spacing w:before="136" w:line="195" w:lineRule="auto"/>
              <w:ind w:left="386"/>
            </w:pPr>
            <w:r>
              <w:rPr>
                <w:b/>
                <w:bCs/>
                <w:spacing w:val="3"/>
              </w:rPr>
              <w:t>424</w:t>
            </w:r>
          </w:p>
        </w:tc>
        <w:tc>
          <w:tcPr>
            <w:tcW w:w="1113" w:type="dxa"/>
            <w:tcBorders>
              <w:top w:val="single" w:color="000000" w:sz="10" w:space="0"/>
            </w:tcBorders>
            <w:vAlign w:val="top"/>
          </w:tcPr>
          <w:p w14:paraId="2FF54D08">
            <w:pPr>
              <w:rPr>
                <w:rFonts w:ascii="Arial"/>
                <w:sz w:val="21"/>
              </w:rPr>
            </w:pPr>
          </w:p>
        </w:tc>
        <w:tc>
          <w:tcPr>
            <w:tcW w:w="1028" w:type="dxa"/>
            <w:tcBorders>
              <w:top w:val="single" w:color="000000" w:sz="10" w:space="0"/>
            </w:tcBorders>
            <w:vAlign w:val="top"/>
          </w:tcPr>
          <w:p w14:paraId="23ED70F8">
            <w:pPr>
              <w:pStyle w:val="6"/>
              <w:spacing w:before="136" w:line="195" w:lineRule="auto"/>
              <w:ind w:left="237"/>
            </w:pPr>
            <w:r>
              <w:rPr>
                <w:b/>
                <w:bCs/>
                <w:spacing w:val="3"/>
              </w:rPr>
              <w:t>711.00</w:t>
            </w:r>
          </w:p>
        </w:tc>
        <w:tc>
          <w:tcPr>
            <w:tcW w:w="3175" w:type="dxa"/>
            <w:tcBorders>
              <w:top w:val="single" w:color="000000" w:sz="10" w:space="0"/>
              <w:right w:val="single" w:color="000000" w:sz="10" w:space="0"/>
            </w:tcBorders>
            <w:vAlign w:val="top"/>
          </w:tcPr>
          <w:p w14:paraId="46825906">
            <w:pPr>
              <w:rPr>
                <w:rFonts w:ascii="Arial"/>
                <w:sz w:val="21"/>
              </w:rPr>
            </w:pPr>
          </w:p>
        </w:tc>
      </w:tr>
      <w:tr w14:paraId="3DA83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3E7DAE2C">
            <w:pPr>
              <w:pStyle w:val="6"/>
              <w:spacing w:before="209" w:line="274" w:lineRule="exact"/>
              <w:ind w:left="272"/>
            </w:pPr>
            <w:r>
              <w:rPr>
                <w:position w:val="1"/>
              </w:rPr>
              <w:t>1</w:t>
            </w:r>
          </w:p>
        </w:tc>
        <w:tc>
          <w:tcPr>
            <w:tcW w:w="1412" w:type="dxa"/>
            <w:vAlign w:val="top"/>
          </w:tcPr>
          <w:p w14:paraId="6C896F0C">
            <w:pPr>
              <w:rPr>
                <w:rFonts w:ascii="Arial"/>
                <w:sz w:val="21"/>
              </w:rPr>
            </w:pPr>
          </w:p>
        </w:tc>
        <w:tc>
          <w:tcPr>
            <w:tcW w:w="3274" w:type="dxa"/>
            <w:vAlign w:val="top"/>
          </w:tcPr>
          <w:p w14:paraId="16125143">
            <w:pPr>
              <w:spacing w:before="239" w:line="228" w:lineRule="auto"/>
              <w:ind w:left="380"/>
              <w:rPr>
                <w:rFonts w:ascii="宋体" w:hAnsi="宋体" w:eastAsia="宋体" w:cs="宋体"/>
                <w:sz w:val="20"/>
                <w:szCs w:val="20"/>
              </w:rPr>
            </w:pPr>
            <w:r>
              <w:rPr>
                <w:rFonts w:ascii="宋体" w:hAnsi="宋体" w:eastAsia="宋体" w:cs="宋体"/>
                <w:spacing w:val="8"/>
                <w:sz w:val="20"/>
                <w:szCs w:val="20"/>
              </w:rPr>
              <w:t>弥勒至曲靖至田坝高速铁路</w:t>
            </w:r>
          </w:p>
        </w:tc>
        <w:tc>
          <w:tcPr>
            <w:tcW w:w="3125" w:type="dxa"/>
            <w:vAlign w:val="top"/>
          </w:tcPr>
          <w:p w14:paraId="69896DDD">
            <w:pPr>
              <w:spacing w:before="239"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vAlign w:val="top"/>
          </w:tcPr>
          <w:p w14:paraId="3980AE67">
            <w:pPr>
              <w:spacing w:before="239" w:line="228" w:lineRule="auto"/>
              <w:ind w:left="396"/>
              <w:rPr>
                <w:rFonts w:ascii="宋体" w:hAnsi="宋体" w:eastAsia="宋体" w:cs="宋体"/>
                <w:sz w:val="20"/>
                <w:szCs w:val="20"/>
              </w:rPr>
            </w:pPr>
            <w:r>
              <w:rPr>
                <w:rFonts w:ascii="宋体" w:hAnsi="宋体" w:eastAsia="宋体" w:cs="宋体"/>
                <w:spacing w:val="5"/>
                <w:sz w:val="20"/>
                <w:szCs w:val="20"/>
              </w:rPr>
              <w:t>曲靖与泸西交界</w:t>
            </w:r>
          </w:p>
        </w:tc>
        <w:tc>
          <w:tcPr>
            <w:tcW w:w="2066" w:type="dxa"/>
            <w:vAlign w:val="top"/>
          </w:tcPr>
          <w:p w14:paraId="2928DF67">
            <w:pPr>
              <w:spacing w:before="75" w:line="228" w:lineRule="auto"/>
              <w:ind w:left="120"/>
              <w:rPr>
                <w:rFonts w:ascii="宋体" w:hAnsi="宋体" w:eastAsia="宋体" w:cs="宋体"/>
                <w:sz w:val="20"/>
                <w:szCs w:val="20"/>
              </w:rPr>
            </w:pPr>
            <w:r>
              <w:rPr>
                <w:rFonts w:ascii="宋体" w:hAnsi="宋体" w:eastAsia="宋体" w:cs="宋体"/>
                <w:spacing w:val="6"/>
                <w:sz w:val="20"/>
                <w:szCs w:val="20"/>
              </w:rPr>
              <w:t>田坝（渝昆高铁田坝</w:t>
            </w:r>
          </w:p>
          <w:p w14:paraId="395024AA">
            <w:pPr>
              <w:spacing w:before="81" w:line="231" w:lineRule="auto"/>
              <w:ind w:left="830"/>
              <w:rPr>
                <w:rFonts w:ascii="宋体" w:hAnsi="宋体" w:eastAsia="宋体" w:cs="宋体"/>
                <w:sz w:val="20"/>
                <w:szCs w:val="20"/>
              </w:rPr>
            </w:pPr>
            <w:r>
              <w:rPr>
                <w:rFonts w:ascii="宋体" w:hAnsi="宋体" w:eastAsia="宋体" w:cs="宋体"/>
                <w:sz w:val="20"/>
                <w:szCs w:val="20"/>
              </w:rPr>
              <w:t>站）</w:t>
            </w:r>
          </w:p>
        </w:tc>
        <w:tc>
          <w:tcPr>
            <w:tcW w:w="920" w:type="dxa"/>
            <w:vAlign w:val="top"/>
          </w:tcPr>
          <w:p w14:paraId="471B8028">
            <w:pPr>
              <w:spacing w:before="240"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0D1D17B">
            <w:pPr>
              <w:spacing w:before="75" w:line="272" w:lineRule="auto"/>
              <w:ind w:left="191" w:right="54" w:hanging="112"/>
              <w:rPr>
                <w:rFonts w:ascii="宋体" w:hAnsi="宋体" w:eastAsia="宋体" w:cs="宋体"/>
                <w:sz w:val="20"/>
                <w:szCs w:val="20"/>
              </w:rPr>
            </w:pPr>
            <w:r>
              <w:rPr>
                <w:rFonts w:ascii="宋体" w:hAnsi="宋体" w:eastAsia="宋体" w:cs="宋体"/>
                <w:spacing w:val="5"/>
                <w:sz w:val="20"/>
                <w:szCs w:val="20"/>
              </w:rPr>
              <w:t>高铁或城</w:t>
            </w:r>
            <w:r>
              <w:rPr>
                <w:rFonts w:ascii="宋体" w:hAnsi="宋体" w:eastAsia="宋体" w:cs="宋体"/>
                <w:spacing w:val="2"/>
                <w:sz w:val="20"/>
                <w:szCs w:val="20"/>
              </w:rPr>
              <w:t>际铁路</w:t>
            </w:r>
          </w:p>
        </w:tc>
        <w:tc>
          <w:tcPr>
            <w:tcW w:w="1071" w:type="dxa"/>
            <w:vAlign w:val="top"/>
          </w:tcPr>
          <w:p w14:paraId="09617C1E">
            <w:pPr>
              <w:pStyle w:val="6"/>
              <w:spacing w:before="209" w:line="274" w:lineRule="exact"/>
              <w:ind w:left="406"/>
            </w:pPr>
            <w:r>
              <w:rPr>
                <w:spacing w:val="-3"/>
                <w:position w:val="2"/>
              </w:rPr>
              <w:t>158</w:t>
            </w:r>
          </w:p>
        </w:tc>
        <w:tc>
          <w:tcPr>
            <w:tcW w:w="1113" w:type="dxa"/>
            <w:vAlign w:val="top"/>
          </w:tcPr>
          <w:p w14:paraId="05001F9A">
            <w:pPr>
              <w:pStyle w:val="6"/>
              <w:spacing w:before="209" w:line="274" w:lineRule="exact"/>
              <w:ind w:left="111"/>
            </w:pPr>
            <w:r>
              <w:rPr>
                <w:spacing w:val="4"/>
                <w:position w:val="2"/>
              </w:rPr>
              <w:t>2024-2030</w:t>
            </w:r>
          </w:p>
        </w:tc>
        <w:tc>
          <w:tcPr>
            <w:tcW w:w="1028" w:type="dxa"/>
            <w:vAlign w:val="top"/>
          </w:tcPr>
          <w:p w14:paraId="30A2DC82">
            <w:pPr>
              <w:pStyle w:val="6"/>
              <w:spacing w:before="209" w:line="274" w:lineRule="exact"/>
              <w:ind w:left="238"/>
            </w:pPr>
            <w:r>
              <w:rPr>
                <w:spacing w:val="3"/>
                <w:position w:val="2"/>
              </w:rPr>
              <w:t>331.00</w:t>
            </w:r>
          </w:p>
        </w:tc>
        <w:tc>
          <w:tcPr>
            <w:tcW w:w="3175" w:type="dxa"/>
            <w:tcBorders>
              <w:right w:val="single" w:color="000000" w:sz="10" w:space="0"/>
            </w:tcBorders>
            <w:vAlign w:val="top"/>
          </w:tcPr>
          <w:p w14:paraId="1CED2CD4">
            <w:pPr>
              <w:spacing w:before="75" w:line="228" w:lineRule="auto"/>
              <w:jc w:val="right"/>
              <w:rPr>
                <w:rFonts w:ascii="宋体" w:hAnsi="宋体" w:eastAsia="宋体" w:cs="宋体"/>
                <w:sz w:val="20"/>
                <w:szCs w:val="20"/>
              </w:rPr>
            </w:pPr>
            <w:r>
              <w:rPr>
                <w:rFonts w:ascii="宋体" w:hAnsi="宋体" w:eastAsia="宋体" w:cs="宋体"/>
                <w:spacing w:val="-7"/>
                <w:sz w:val="20"/>
                <w:szCs w:val="20"/>
              </w:rPr>
              <w:t>《云南省铁路“十四五</w:t>
            </w:r>
            <w:r>
              <w:rPr>
                <w:rFonts w:ascii="宋体" w:hAnsi="宋体" w:eastAsia="宋体" w:cs="宋体"/>
                <w:spacing w:val="-64"/>
                <w:sz w:val="20"/>
                <w:szCs w:val="20"/>
              </w:rPr>
              <w:t xml:space="preserve"> </w:t>
            </w:r>
            <w:r>
              <w:rPr>
                <w:rFonts w:ascii="宋体" w:hAnsi="宋体" w:eastAsia="宋体" w:cs="宋体"/>
                <w:spacing w:val="-7"/>
                <w:sz w:val="20"/>
                <w:szCs w:val="20"/>
              </w:rPr>
              <w:t>”发展规划》</w:t>
            </w:r>
          </w:p>
          <w:p w14:paraId="5781A499">
            <w:pPr>
              <w:spacing w:before="81" w:line="229" w:lineRule="auto"/>
              <w:ind w:left="1175"/>
              <w:rPr>
                <w:rFonts w:ascii="宋体" w:hAnsi="宋体" w:eastAsia="宋体" w:cs="宋体"/>
                <w:sz w:val="20"/>
                <w:szCs w:val="20"/>
              </w:rPr>
            </w:pPr>
            <w:r>
              <w:rPr>
                <w:rFonts w:ascii="宋体" w:hAnsi="宋体" w:eastAsia="宋体" w:cs="宋体"/>
                <w:spacing w:val="7"/>
                <w:sz w:val="20"/>
                <w:szCs w:val="20"/>
              </w:rPr>
              <w:t>储备项目</w:t>
            </w:r>
          </w:p>
        </w:tc>
      </w:tr>
      <w:tr w14:paraId="2E980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4D8B85F2">
            <w:pPr>
              <w:pStyle w:val="6"/>
              <w:spacing w:before="211" w:line="274" w:lineRule="exact"/>
              <w:ind w:left="252"/>
            </w:pPr>
            <w:r>
              <w:rPr>
                <w:position w:val="1"/>
              </w:rPr>
              <w:t>2</w:t>
            </w:r>
          </w:p>
        </w:tc>
        <w:tc>
          <w:tcPr>
            <w:tcW w:w="1412" w:type="dxa"/>
            <w:vAlign w:val="top"/>
          </w:tcPr>
          <w:p w14:paraId="50A4E65F">
            <w:pPr>
              <w:rPr>
                <w:rFonts w:ascii="Arial"/>
                <w:sz w:val="21"/>
              </w:rPr>
            </w:pPr>
          </w:p>
        </w:tc>
        <w:tc>
          <w:tcPr>
            <w:tcW w:w="3274" w:type="dxa"/>
            <w:vAlign w:val="top"/>
          </w:tcPr>
          <w:p w14:paraId="0BECEC21">
            <w:pPr>
              <w:spacing w:before="239" w:line="228" w:lineRule="auto"/>
              <w:ind w:left="714"/>
              <w:rPr>
                <w:rFonts w:ascii="宋体" w:hAnsi="宋体" w:eastAsia="宋体" w:cs="宋体"/>
                <w:sz w:val="20"/>
                <w:szCs w:val="20"/>
              </w:rPr>
            </w:pPr>
            <w:r>
              <w:rPr>
                <w:rFonts w:ascii="宋体" w:hAnsi="宋体" w:eastAsia="宋体" w:cs="宋体"/>
                <w:spacing w:val="6"/>
                <w:sz w:val="20"/>
                <w:szCs w:val="20"/>
              </w:rPr>
              <w:t>曲靖至宣威高速铁路</w:t>
            </w:r>
          </w:p>
        </w:tc>
        <w:tc>
          <w:tcPr>
            <w:tcW w:w="3125" w:type="dxa"/>
            <w:vAlign w:val="top"/>
          </w:tcPr>
          <w:p w14:paraId="048D1E2F">
            <w:pPr>
              <w:spacing w:before="239"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5789BA92">
            <w:pPr>
              <w:spacing w:before="239" w:line="228" w:lineRule="auto"/>
              <w:ind w:left="711"/>
              <w:rPr>
                <w:rFonts w:ascii="宋体" w:hAnsi="宋体" w:eastAsia="宋体" w:cs="宋体"/>
                <w:sz w:val="20"/>
                <w:szCs w:val="20"/>
              </w:rPr>
            </w:pPr>
            <w:r>
              <w:rPr>
                <w:rFonts w:ascii="宋体" w:hAnsi="宋体" w:eastAsia="宋体" w:cs="宋体"/>
                <w:spacing w:val="1"/>
                <w:sz w:val="20"/>
                <w:szCs w:val="20"/>
              </w:rPr>
              <w:t>曲靖北站</w:t>
            </w:r>
          </w:p>
        </w:tc>
        <w:tc>
          <w:tcPr>
            <w:tcW w:w="2066" w:type="dxa"/>
            <w:vAlign w:val="top"/>
          </w:tcPr>
          <w:p w14:paraId="2BB536FD">
            <w:pPr>
              <w:spacing w:before="239" w:line="230" w:lineRule="auto"/>
              <w:ind w:left="727"/>
              <w:rPr>
                <w:rFonts w:ascii="宋体" w:hAnsi="宋体" w:eastAsia="宋体" w:cs="宋体"/>
                <w:sz w:val="20"/>
                <w:szCs w:val="20"/>
              </w:rPr>
            </w:pPr>
            <w:r>
              <w:rPr>
                <w:rFonts w:ascii="宋体" w:hAnsi="宋体" w:eastAsia="宋体" w:cs="宋体"/>
                <w:spacing w:val="5"/>
                <w:sz w:val="20"/>
                <w:szCs w:val="20"/>
              </w:rPr>
              <w:t>宣威站</w:t>
            </w:r>
          </w:p>
        </w:tc>
        <w:tc>
          <w:tcPr>
            <w:tcW w:w="920" w:type="dxa"/>
            <w:vAlign w:val="top"/>
          </w:tcPr>
          <w:p w14:paraId="222DC45B">
            <w:pPr>
              <w:spacing w:before="239"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6E46BC4">
            <w:pPr>
              <w:spacing w:before="75" w:line="272" w:lineRule="auto"/>
              <w:ind w:left="191" w:right="54" w:hanging="112"/>
              <w:rPr>
                <w:rFonts w:ascii="宋体" w:hAnsi="宋体" w:eastAsia="宋体" w:cs="宋体"/>
                <w:sz w:val="20"/>
                <w:szCs w:val="20"/>
              </w:rPr>
            </w:pPr>
            <w:r>
              <w:rPr>
                <w:rFonts w:ascii="宋体" w:hAnsi="宋体" w:eastAsia="宋体" w:cs="宋体"/>
                <w:spacing w:val="5"/>
                <w:sz w:val="20"/>
                <w:szCs w:val="20"/>
              </w:rPr>
              <w:t>高铁或城</w:t>
            </w:r>
            <w:r>
              <w:rPr>
                <w:rFonts w:ascii="宋体" w:hAnsi="宋体" w:eastAsia="宋体" w:cs="宋体"/>
                <w:spacing w:val="2"/>
                <w:sz w:val="20"/>
                <w:szCs w:val="20"/>
              </w:rPr>
              <w:t>际铁路</w:t>
            </w:r>
          </w:p>
        </w:tc>
        <w:tc>
          <w:tcPr>
            <w:tcW w:w="1071" w:type="dxa"/>
            <w:vAlign w:val="top"/>
          </w:tcPr>
          <w:p w14:paraId="332462A7">
            <w:pPr>
              <w:pStyle w:val="6"/>
              <w:spacing w:before="211" w:line="274" w:lineRule="exact"/>
              <w:ind w:left="447"/>
            </w:pPr>
            <w:r>
              <w:rPr>
                <w:spacing w:val="-2"/>
                <w:position w:val="2"/>
              </w:rPr>
              <w:t>82</w:t>
            </w:r>
          </w:p>
        </w:tc>
        <w:tc>
          <w:tcPr>
            <w:tcW w:w="1113" w:type="dxa"/>
            <w:vAlign w:val="top"/>
          </w:tcPr>
          <w:p w14:paraId="0A421594">
            <w:pPr>
              <w:pStyle w:val="6"/>
              <w:spacing w:before="211" w:line="274" w:lineRule="exact"/>
              <w:ind w:left="111"/>
            </w:pPr>
            <w:r>
              <w:rPr>
                <w:spacing w:val="4"/>
                <w:position w:val="2"/>
              </w:rPr>
              <w:t>2025-2029</w:t>
            </w:r>
          </w:p>
        </w:tc>
        <w:tc>
          <w:tcPr>
            <w:tcW w:w="1028" w:type="dxa"/>
            <w:vAlign w:val="top"/>
          </w:tcPr>
          <w:p w14:paraId="5526BA87">
            <w:pPr>
              <w:pStyle w:val="6"/>
              <w:spacing w:before="211" w:line="274" w:lineRule="exact"/>
              <w:ind w:left="254"/>
            </w:pPr>
            <w:r>
              <w:rPr>
                <w:position w:val="2"/>
              </w:rPr>
              <w:t>190.00</w:t>
            </w:r>
          </w:p>
        </w:tc>
        <w:tc>
          <w:tcPr>
            <w:tcW w:w="3175" w:type="dxa"/>
            <w:tcBorders>
              <w:right w:val="single" w:color="000000" w:sz="10" w:space="0"/>
            </w:tcBorders>
            <w:vAlign w:val="top"/>
          </w:tcPr>
          <w:p w14:paraId="26118F06">
            <w:pPr>
              <w:spacing w:before="76" w:line="228" w:lineRule="auto"/>
              <w:jc w:val="right"/>
              <w:rPr>
                <w:rFonts w:ascii="宋体" w:hAnsi="宋体" w:eastAsia="宋体" w:cs="宋体"/>
                <w:sz w:val="20"/>
                <w:szCs w:val="20"/>
              </w:rPr>
            </w:pPr>
            <w:r>
              <w:rPr>
                <w:rFonts w:ascii="宋体" w:hAnsi="宋体" w:eastAsia="宋体" w:cs="宋体"/>
                <w:spacing w:val="-7"/>
                <w:sz w:val="20"/>
                <w:szCs w:val="20"/>
              </w:rPr>
              <w:t>《云南省铁路“十四五</w:t>
            </w:r>
            <w:r>
              <w:rPr>
                <w:rFonts w:ascii="宋体" w:hAnsi="宋体" w:eastAsia="宋体" w:cs="宋体"/>
                <w:spacing w:val="-64"/>
                <w:sz w:val="20"/>
                <w:szCs w:val="20"/>
              </w:rPr>
              <w:t xml:space="preserve"> </w:t>
            </w:r>
            <w:r>
              <w:rPr>
                <w:rFonts w:ascii="宋体" w:hAnsi="宋体" w:eastAsia="宋体" w:cs="宋体"/>
                <w:spacing w:val="-7"/>
                <w:sz w:val="20"/>
                <w:szCs w:val="20"/>
              </w:rPr>
              <w:t>”发展规划》</w:t>
            </w:r>
          </w:p>
          <w:p w14:paraId="331CB5D1">
            <w:pPr>
              <w:spacing w:before="81" w:line="228" w:lineRule="auto"/>
              <w:ind w:left="1176"/>
              <w:rPr>
                <w:rFonts w:ascii="宋体" w:hAnsi="宋体" w:eastAsia="宋体" w:cs="宋体"/>
                <w:sz w:val="20"/>
                <w:szCs w:val="20"/>
              </w:rPr>
            </w:pPr>
            <w:r>
              <w:rPr>
                <w:rFonts w:ascii="宋体" w:hAnsi="宋体" w:eastAsia="宋体" w:cs="宋体"/>
                <w:spacing w:val="7"/>
                <w:sz w:val="20"/>
                <w:szCs w:val="20"/>
              </w:rPr>
              <w:t>研究项目</w:t>
            </w:r>
          </w:p>
        </w:tc>
      </w:tr>
      <w:tr w14:paraId="14536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39" w:type="dxa"/>
            <w:tcBorders>
              <w:left w:val="single" w:color="000000" w:sz="10" w:space="0"/>
            </w:tcBorders>
            <w:vAlign w:val="top"/>
          </w:tcPr>
          <w:p w14:paraId="11CD7AF0">
            <w:pPr>
              <w:spacing w:line="316" w:lineRule="auto"/>
              <w:rPr>
                <w:rFonts w:ascii="Arial"/>
                <w:sz w:val="21"/>
              </w:rPr>
            </w:pPr>
          </w:p>
          <w:p w14:paraId="2DD3CE66">
            <w:pPr>
              <w:pStyle w:val="6"/>
              <w:spacing w:before="57" w:line="275" w:lineRule="exact"/>
              <w:ind w:left="256"/>
            </w:pPr>
            <w:r>
              <w:rPr>
                <w:position w:val="2"/>
              </w:rPr>
              <w:t>3</w:t>
            </w:r>
          </w:p>
        </w:tc>
        <w:tc>
          <w:tcPr>
            <w:tcW w:w="1412" w:type="dxa"/>
            <w:vAlign w:val="top"/>
          </w:tcPr>
          <w:p w14:paraId="680C037B">
            <w:pPr>
              <w:rPr>
                <w:rFonts w:ascii="Arial"/>
                <w:sz w:val="21"/>
              </w:rPr>
            </w:pPr>
          </w:p>
        </w:tc>
        <w:tc>
          <w:tcPr>
            <w:tcW w:w="3274" w:type="dxa"/>
            <w:vAlign w:val="top"/>
          </w:tcPr>
          <w:p w14:paraId="6277479F">
            <w:pPr>
              <w:spacing w:before="240" w:line="228" w:lineRule="auto"/>
              <w:ind w:left="11"/>
              <w:rPr>
                <w:rFonts w:ascii="宋体" w:hAnsi="宋体" w:eastAsia="宋体" w:cs="宋体"/>
                <w:sz w:val="20"/>
                <w:szCs w:val="20"/>
              </w:rPr>
            </w:pPr>
            <w:r>
              <w:rPr>
                <w:rFonts w:ascii="宋体" w:hAnsi="宋体" w:eastAsia="宋体" w:cs="宋体"/>
                <w:spacing w:val="8"/>
                <w:sz w:val="20"/>
                <w:szCs w:val="20"/>
              </w:rPr>
              <w:t>沪昆至南昆普铁连接线（珠江源-白</w:t>
            </w:r>
          </w:p>
          <w:p w14:paraId="30C78421">
            <w:pPr>
              <w:spacing w:before="81" w:line="228" w:lineRule="auto"/>
              <w:ind w:left="901"/>
              <w:rPr>
                <w:rFonts w:ascii="宋体" w:hAnsi="宋体" w:eastAsia="宋体" w:cs="宋体"/>
                <w:sz w:val="20"/>
                <w:szCs w:val="20"/>
              </w:rPr>
            </w:pPr>
            <w:r>
              <w:rPr>
                <w:rFonts w:ascii="宋体" w:hAnsi="宋体" w:eastAsia="宋体" w:cs="宋体"/>
                <w:spacing w:val="5"/>
                <w:sz w:val="20"/>
                <w:szCs w:val="20"/>
              </w:rPr>
              <w:t>水-越州-师宗）</w:t>
            </w:r>
          </w:p>
        </w:tc>
        <w:tc>
          <w:tcPr>
            <w:tcW w:w="3125" w:type="dxa"/>
            <w:vAlign w:val="top"/>
          </w:tcPr>
          <w:p w14:paraId="27025C55">
            <w:pPr>
              <w:spacing w:line="337" w:lineRule="auto"/>
              <w:rPr>
                <w:rFonts w:ascii="Arial"/>
                <w:sz w:val="21"/>
              </w:rPr>
            </w:pPr>
          </w:p>
          <w:p w14:paraId="57769ED7">
            <w:pPr>
              <w:spacing w:before="65" w:line="230" w:lineRule="auto"/>
              <w:ind w:left="1354"/>
              <w:rPr>
                <w:rFonts w:ascii="宋体" w:hAnsi="宋体" w:eastAsia="宋体" w:cs="宋体"/>
                <w:sz w:val="20"/>
                <w:szCs w:val="20"/>
              </w:rPr>
            </w:pPr>
            <w:r>
              <w:rPr>
                <w:rFonts w:ascii="宋体" w:hAnsi="宋体" w:eastAsia="宋体" w:cs="宋体"/>
                <w:spacing w:val="4"/>
                <w:sz w:val="20"/>
                <w:szCs w:val="20"/>
              </w:rPr>
              <w:t>全段</w:t>
            </w:r>
          </w:p>
        </w:tc>
        <w:tc>
          <w:tcPr>
            <w:tcW w:w="2204" w:type="dxa"/>
            <w:vAlign w:val="top"/>
          </w:tcPr>
          <w:p w14:paraId="6DA10161">
            <w:pPr>
              <w:spacing w:line="337" w:lineRule="auto"/>
              <w:rPr>
                <w:rFonts w:ascii="Arial"/>
                <w:sz w:val="21"/>
              </w:rPr>
            </w:pPr>
          </w:p>
          <w:p w14:paraId="7E4EA393">
            <w:pPr>
              <w:spacing w:before="65" w:line="229" w:lineRule="auto"/>
              <w:ind w:left="377"/>
              <w:rPr>
                <w:rFonts w:ascii="宋体" w:hAnsi="宋体" w:eastAsia="宋体" w:cs="宋体"/>
                <w:sz w:val="20"/>
                <w:szCs w:val="20"/>
              </w:rPr>
            </w:pPr>
            <w:r>
              <w:rPr>
                <w:rFonts w:ascii="宋体" w:hAnsi="宋体" w:eastAsia="宋体" w:cs="宋体"/>
                <w:spacing w:val="7"/>
                <w:sz w:val="20"/>
                <w:szCs w:val="20"/>
              </w:rPr>
              <w:t>黑老湾珠江源站</w:t>
            </w:r>
          </w:p>
        </w:tc>
        <w:tc>
          <w:tcPr>
            <w:tcW w:w="2066" w:type="dxa"/>
            <w:vAlign w:val="top"/>
          </w:tcPr>
          <w:p w14:paraId="0F4406B8">
            <w:pPr>
              <w:spacing w:line="337" w:lineRule="auto"/>
              <w:rPr>
                <w:rFonts w:ascii="Arial"/>
                <w:sz w:val="21"/>
              </w:rPr>
            </w:pPr>
          </w:p>
          <w:p w14:paraId="0309EA83">
            <w:pPr>
              <w:spacing w:before="65" w:line="228" w:lineRule="auto"/>
              <w:ind w:left="727"/>
              <w:rPr>
                <w:rFonts w:ascii="宋体" w:hAnsi="宋体" w:eastAsia="宋体" w:cs="宋体"/>
                <w:sz w:val="20"/>
                <w:szCs w:val="20"/>
              </w:rPr>
            </w:pPr>
            <w:r>
              <w:rPr>
                <w:rFonts w:ascii="宋体" w:hAnsi="宋体" w:eastAsia="宋体" w:cs="宋体"/>
                <w:spacing w:val="5"/>
                <w:sz w:val="20"/>
                <w:szCs w:val="20"/>
              </w:rPr>
              <w:t>师宗站</w:t>
            </w:r>
          </w:p>
        </w:tc>
        <w:tc>
          <w:tcPr>
            <w:tcW w:w="920" w:type="dxa"/>
            <w:vAlign w:val="top"/>
          </w:tcPr>
          <w:p w14:paraId="1EC8A1D4">
            <w:pPr>
              <w:spacing w:line="337" w:lineRule="auto"/>
              <w:rPr>
                <w:rFonts w:ascii="Arial"/>
                <w:sz w:val="21"/>
              </w:rPr>
            </w:pPr>
          </w:p>
          <w:p w14:paraId="5415D2E6">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02BE665">
            <w:pPr>
              <w:spacing w:line="337" w:lineRule="auto"/>
              <w:rPr>
                <w:rFonts w:ascii="Arial"/>
                <w:sz w:val="21"/>
              </w:rPr>
            </w:pPr>
          </w:p>
          <w:p w14:paraId="4D0694E1">
            <w:pPr>
              <w:spacing w:before="65" w:line="230" w:lineRule="auto"/>
              <w:ind w:left="94"/>
              <w:rPr>
                <w:rFonts w:ascii="宋体" w:hAnsi="宋体" w:eastAsia="宋体" w:cs="宋体"/>
                <w:sz w:val="20"/>
                <w:szCs w:val="20"/>
              </w:rPr>
            </w:pPr>
            <w:r>
              <w:rPr>
                <w:rFonts w:ascii="宋体" w:hAnsi="宋体" w:eastAsia="宋体" w:cs="宋体"/>
                <w:spacing w:val="-18"/>
                <w:sz w:val="20"/>
                <w:szCs w:val="20"/>
              </w:rPr>
              <w:t>国铁</w:t>
            </w:r>
            <w:r>
              <w:rPr>
                <w:rFonts w:ascii="宋体" w:hAnsi="宋体" w:eastAsia="宋体" w:cs="宋体"/>
                <w:spacing w:val="-20"/>
                <w:sz w:val="20"/>
                <w:szCs w:val="20"/>
              </w:rPr>
              <w:t xml:space="preserve"> </w:t>
            </w:r>
            <w:r>
              <w:rPr>
                <w:rFonts w:ascii="宋体" w:hAnsi="宋体" w:eastAsia="宋体" w:cs="宋体"/>
                <w:spacing w:val="-18"/>
                <w:sz w:val="20"/>
                <w:szCs w:val="20"/>
              </w:rPr>
              <w:t>Ⅰ级</w:t>
            </w:r>
          </w:p>
        </w:tc>
        <w:tc>
          <w:tcPr>
            <w:tcW w:w="1071" w:type="dxa"/>
            <w:vAlign w:val="top"/>
          </w:tcPr>
          <w:p w14:paraId="3A63532A">
            <w:pPr>
              <w:spacing w:line="316" w:lineRule="auto"/>
              <w:rPr>
                <w:rFonts w:ascii="Arial"/>
                <w:sz w:val="21"/>
              </w:rPr>
            </w:pPr>
          </w:p>
          <w:p w14:paraId="442E80A5">
            <w:pPr>
              <w:pStyle w:val="6"/>
              <w:spacing w:before="57" w:line="275" w:lineRule="exact"/>
              <w:ind w:left="406"/>
            </w:pPr>
            <w:r>
              <w:rPr>
                <w:spacing w:val="-3"/>
                <w:position w:val="2"/>
              </w:rPr>
              <w:t>140</w:t>
            </w:r>
          </w:p>
        </w:tc>
        <w:tc>
          <w:tcPr>
            <w:tcW w:w="1113" w:type="dxa"/>
            <w:vAlign w:val="top"/>
          </w:tcPr>
          <w:p w14:paraId="4DB5F936">
            <w:pPr>
              <w:spacing w:line="316" w:lineRule="auto"/>
              <w:rPr>
                <w:rFonts w:ascii="Arial"/>
                <w:sz w:val="21"/>
              </w:rPr>
            </w:pPr>
          </w:p>
          <w:p w14:paraId="690ED59A">
            <w:pPr>
              <w:pStyle w:val="6"/>
              <w:spacing w:before="57" w:line="275" w:lineRule="exact"/>
              <w:ind w:left="111"/>
            </w:pPr>
            <w:r>
              <w:rPr>
                <w:spacing w:val="4"/>
                <w:position w:val="2"/>
              </w:rPr>
              <w:t>2023-2028</w:t>
            </w:r>
          </w:p>
        </w:tc>
        <w:tc>
          <w:tcPr>
            <w:tcW w:w="1028" w:type="dxa"/>
            <w:vAlign w:val="top"/>
          </w:tcPr>
          <w:p w14:paraId="3554AAC3">
            <w:pPr>
              <w:spacing w:line="316" w:lineRule="auto"/>
              <w:rPr>
                <w:rFonts w:ascii="Arial"/>
                <w:sz w:val="21"/>
              </w:rPr>
            </w:pPr>
          </w:p>
          <w:p w14:paraId="371D624B">
            <w:pPr>
              <w:pStyle w:val="6"/>
              <w:spacing w:before="57" w:line="275" w:lineRule="exact"/>
              <w:ind w:left="254"/>
            </w:pPr>
            <w:r>
              <w:rPr>
                <w:position w:val="2"/>
              </w:rPr>
              <w:t>130.00</w:t>
            </w:r>
          </w:p>
        </w:tc>
        <w:tc>
          <w:tcPr>
            <w:tcW w:w="3175" w:type="dxa"/>
            <w:tcBorders>
              <w:right w:val="single" w:color="000000" w:sz="10" w:space="0"/>
            </w:tcBorders>
            <w:vAlign w:val="top"/>
          </w:tcPr>
          <w:p w14:paraId="23AEE763">
            <w:pPr>
              <w:spacing w:before="78" w:line="281" w:lineRule="auto"/>
              <w:ind w:left="30" w:right="4" w:firstLine="98"/>
              <w:jc w:val="both"/>
              <w:rPr>
                <w:rFonts w:ascii="宋体" w:hAnsi="宋体" w:eastAsia="宋体" w:cs="宋体"/>
                <w:sz w:val="20"/>
                <w:szCs w:val="20"/>
              </w:rPr>
            </w:pPr>
            <w:r>
              <w:rPr>
                <w:rFonts w:ascii="宋体" w:hAnsi="宋体" w:eastAsia="宋体" w:cs="宋体"/>
                <w:spacing w:val="9"/>
                <w:sz w:val="20"/>
                <w:szCs w:val="20"/>
              </w:rPr>
              <w:t>属于南昆铁路扩能改造项目的组</w:t>
            </w:r>
            <w:r>
              <w:rPr>
                <w:rFonts w:ascii="宋体" w:hAnsi="宋体" w:eastAsia="宋体" w:cs="宋体"/>
                <w:spacing w:val="8"/>
                <w:sz w:val="20"/>
                <w:szCs w:val="20"/>
              </w:rPr>
              <w:t>成部分；南昆铁路扩能改造项目已</w:t>
            </w:r>
            <w:r>
              <w:rPr>
                <w:rFonts w:ascii="宋体" w:hAnsi="宋体" w:eastAsia="宋体" w:cs="宋体"/>
                <w:spacing w:val="15"/>
                <w:sz w:val="20"/>
                <w:szCs w:val="20"/>
              </w:rPr>
              <w:t>纳入国家《中长期铁路网规划》</w:t>
            </w:r>
          </w:p>
        </w:tc>
      </w:tr>
      <w:tr w14:paraId="31918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7" w:hRule="atLeast"/>
        </w:trPr>
        <w:tc>
          <w:tcPr>
            <w:tcW w:w="639" w:type="dxa"/>
            <w:tcBorders>
              <w:left w:val="single" w:color="000000" w:sz="10" w:space="0"/>
            </w:tcBorders>
            <w:vAlign w:val="top"/>
          </w:tcPr>
          <w:p w14:paraId="5A1EABDF">
            <w:pPr>
              <w:spacing w:line="322" w:lineRule="auto"/>
              <w:rPr>
                <w:rFonts w:ascii="Arial"/>
                <w:sz w:val="21"/>
              </w:rPr>
            </w:pPr>
          </w:p>
          <w:p w14:paraId="6F505EF4">
            <w:pPr>
              <w:spacing w:line="322" w:lineRule="auto"/>
              <w:rPr>
                <w:rFonts w:ascii="Arial"/>
                <w:sz w:val="21"/>
              </w:rPr>
            </w:pPr>
          </w:p>
          <w:p w14:paraId="48DF8E5F">
            <w:pPr>
              <w:pStyle w:val="6"/>
              <w:spacing w:before="57" w:line="274" w:lineRule="exact"/>
              <w:ind w:left="251"/>
            </w:pPr>
            <w:r>
              <w:rPr>
                <w:spacing w:val="1"/>
                <w:position w:val="1"/>
              </w:rPr>
              <w:t>4</w:t>
            </w:r>
          </w:p>
        </w:tc>
        <w:tc>
          <w:tcPr>
            <w:tcW w:w="1412" w:type="dxa"/>
            <w:vAlign w:val="top"/>
          </w:tcPr>
          <w:p w14:paraId="5136B7DF">
            <w:pPr>
              <w:rPr>
                <w:rFonts w:ascii="Arial"/>
                <w:sz w:val="21"/>
              </w:rPr>
            </w:pPr>
          </w:p>
        </w:tc>
        <w:tc>
          <w:tcPr>
            <w:tcW w:w="3274" w:type="dxa"/>
            <w:vAlign w:val="top"/>
          </w:tcPr>
          <w:p w14:paraId="0FC9CBC6">
            <w:pPr>
              <w:spacing w:line="333" w:lineRule="auto"/>
              <w:rPr>
                <w:rFonts w:ascii="Arial"/>
                <w:sz w:val="21"/>
              </w:rPr>
            </w:pPr>
          </w:p>
          <w:p w14:paraId="32CBDCBF">
            <w:pPr>
              <w:spacing w:line="334" w:lineRule="auto"/>
              <w:rPr>
                <w:rFonts w:ascii="Arial"/>
                <w:sz w:val="21"/>
              </w:rPr>
            </w:pPr>
          </w:p>
          <w:p w14:paraId="3CCA0173">
            <w:pPr>
              <w:spacing w:before="65" w:line="228" w:lineRule="auto"/>
              <w:ind w:left="689"/>
              <w:rPr>
                <w:rFonts w:ascii="宋体" w:hAnsi="宋体" w:eastAsia="宋体" w:cs="宋体"/>
                <w:sz w:val="20"/>
                <w:szCs w:val="20"/>
              </w:rPr>
            </w:pPr>
            <w:r>
              <w:rPr>
                <w:rFonts w:ascii="宋体" w:hAnsi="宋体" w:eastAsia="宋体" w:cs="宋体"/>
                <w:spacing w:val="8"/>
                <w:sz w:val="20"/>
                <w:szCs w:val="20"/>
              </w:rPr>
              <w:t>全市货运铁路专用线</w:t>
            </w:r>
          </w:p>
        </w:tc>
        <w:tc>
          <w:tcPr>
            <w:tcW w:w="3125" w:type="dxa"/>
            <w:vAlign w:val="top"/>
          </w:tcPr>
          <w:p w14:paraId="3C192FAE">
            <w:pPr>
              <w:spacing w:before="78" w:line="228" w:lineRule="auto"/>
              <w:ind w:left="118"/>
              <w:rPr>
                <w:rFonts w:ascii="宋体" w:hAnsi="宋体" w:eastAsia="宋体" w:cs="宋体"/>
                <w:sz w:val="20"/>
                <w:szCs w:val="20"/>
              </w:rPr>
            </w:pPr>
            <w:r>
              <w:rPr>
                <w:rFonts w:ascii="宋体" w:hAnsi="宋体" w:eastAsia="宋体" w:cs="宋体"/>
                <w:spacing w:val="7"/>
                <w:sz w:val="20"/>
                <w:szCs w:val="20"/>
              </w:rPr>
              <w:t>曲靖钢铁集团呈钢钢铁有限公司</w:t>
            </w:r>
          </w:p>
          <w:p w14:paraId="329B81CA">
            <w:pPr>
              <w:spacing w:before="82" w:line="228" w:lineRule="auto"/>
              <w:ind w:left="21"/>
              <w:rPr>
                <w:rFonts w:ascii="宋体" w:hAnsi="宋体" w:eastAsia="宋体" w:cs="宋体"/>
                <w:sz w:val="20"/>
                <w:szCs w:val="20"/>
              </w:rPr>
            </w:pPr>
            <w:r>
              <w:rPr>
                <w:rFonts w:ascii="宋体" w:hAnsi="宋体" w:eastAsia="宋体" w:cs="宋体"/>
                <w:spacing w:val="5"/>
                <w:sz w:val="20"/>
                <w:szCs w:val="20"/>
              </w:rPr>
              <w:t>马龙专用线、华能滇东煤电基地铁</w:t>
            </w:r>
          </w:p>
          <w:p w14:paraId="46349AC6">
            <w:pPr>
              <w:spacing w:before="81" w:line="228" w:lineRule="auto"/>
              <w:ind w:left="16"/>
              <w:rPr>
                <w:rFonts w:ascii="宋体" w:hAnsi="宋体" w:eastAsia="宋体" w:cs="宋体"/>
                <w:sz w:val="20"/>
                <w:szCs w:val="20"/>
              </w:rPr>
            </w:pPr>
            <w:r>
              <w:rPr>
                <w:rFonts w:ascii="宋体" w:hAnsi="宋体" w:eastAsia="宋体" w:cs="宋体"/>
                <w:spacing w:val="5"/>
                <w:sz w:val="20"/>
                <w:szCs w:val="20"/>
              </w:rPr>
              <w:t>路专用线、富源滇黔交界公铁多式</w:t>
            </w:r>
          </w:p>
          <w:p w14:paraId="4590F89C">
            <w:pPr>
              <w:spacing w:before="79" w:line="228" w:lineRule="auto"/>
              <w:ind w:left="94"/>
              <w:rPr>
                <w:rFonts w:ascii="宋体" w:hAnsi="宋体" w:eastAsia="宋体" w:cs="宋体"/>
                <w:sz w:val="20"/>
                <w:szCs w:val="20"/>
              </w:rPr>
            </w:pPr>
            <w:r>
              <w:rPr>
                <w:rFonts w:ascii="宋体" w:hAnsi="宋体" w:eastAsia="宋体" w:cs="宋体"/>
                <w:spacing w:val="9"/>
                <w:sz w:val="20"/>
                <w:szCs w:val="20"/>
              </w:rPr>
              <w:t>联运现代物流基地铁路专用线等</w:t>
            </w:r>
          </w:p>
          <w:p w14:paraId="4F5A8100">
            <w:pPr>
              <w:spacing w:before="82" w:line="228" w:lineRule="auto"/>
              <w:ind w:left="620"/>
              <w:rPr>
                <w:rFonts w:ascii="宋体" w:hAnsi="宋体" w:eastAsia="宋体" w:cs="宋体"/>
                <w:sz w:val="20"/>
                <w:szCs w:val="20"/>
              </w:rPr>
            </w:pPr>
            <w:r>
              <w:rPr>
                <w:rFonts w:ascii="宋体" w:hAnsi="宋体" w:eastAsia="宋体" w:cs="宋体"/>
                <w:spacing w:val="8"/>
                <w:sz w:val="20"/>
                <w:szCs w:val="20"/>
              </w:rPr>
              <w:t>一批铁路专用线项目</w:t>
            </w:r>
          </w:p>
        </w:tc>
        <w:tc>
          <w:tcPr>
            <w:tcW w:w="2204" w:type="dxa"/>
            <w:vAlign w:val="top"/>
          </w:tcPr>
          <w:p w14:paraId="1507FEBE">
            <w:pPr>
              <w:rPr>
                <w:rFonts w:ascii="Arial"/>
                <w:sz w:val="21"/>
              </w:rPr>
            </w:pPr>
          </w:p>
        </w:tc>
        <w:tc>
          <w:tcPr>
            <w:tcW w:w="2066" w:type="dxa"/>
            <w:vAlign w:val="top"/>
          </w:tcPr>
          <w:p w14:paraId="10E49FC3">
            <w:pPr>
              <w:rPr>
                <w:rFonts w:ascii="Arial"/>
                <w:sz w:val="21"/>
              </w:rPr>
            </w:pPr>
          </w:p>
        </w:tc>
        <w:tc>
          <w:tcPr>
            <w:tcW w:w="920" w:type="dxa"/>
            <w:vAlign w:val="top"/>
          </w:tcPr>
          <w:p w14:paraId="2DB56FC9">
            <w:pPr>
              <w:spacing w:line="333" w:lineRule="auto"/>
              <w:rPr>
                <w:rFonts w:ascii="Arial"/>
                <w:sz w:val="21"/>
              </w:rPr>
            </w:pPr>
          </w:p>
          <w:p w14:paraId="4E35C695">
            <w:pPr>
              <w:spacing w:line="334" w:lineRule="auto"/>
              <w:rPr>
                <w:rFonts w:ascii="Arial"/>
                <w:sz w:val="21"/>
              </w:rPr>
            </w:pPr>
          </w:p>
          <w:p w14:paraId="417EF131">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68F93411">
            <w:pPr>
              <w:spacing w:line="333" w:lineRule="auto"/>
              <w:rPr>
                <w:rFonts w:ascii="Arial"/>
                <w:sz w:val="21"/>
              </w:rPr>
            </w:pPr>
          </w:p>
          <w:p w14:paraId="0ACFA125">
            <w:pPr>
              <w:spacing w:line="334" w:lineRule="auto"/>
              <w:rPr>
                <w:rFonts w:ascii="Arial"/>
                <w:sz w:val="21"/>
              </w:rPr>
            </w:pPr>
          </w:p>
          <w:p w14:paraId="55E8299E">
            <w:pPr>
              <w:spacing w:before="65" w:line="228" w:lineRule="auto"/>
              <w:ind w:left="74"/>
              <w:rPr>
                <w:rFonts w:ascii="宋体" w:hAnsi="宋体" w:eastAsia="宋体" w:cs="宋体"/>
                <w:sz w:val="20"/>
                <w:szCs w:val="20"/>
              </w:rPr>
            </w:pPr>
            <w:r>
              <w:rPr>
                <w:rFonts w:ascii="宋体" w:hAnsi="宋体" w:eastAsia="宋体" w:cs="宋体"/>
                <w:spacing w:val="7"/>
                <w:sz w:val="20"/>
                <w:szCs w:val="20"/>
              </w:rPr>
              <w:t>专线铁路</w:t>
            </w:r>
          </w:p>
        </w:tc>
        <w:tc>
          <w:tcPr>
            <w:tcW w:w="1071" w:type="dxa"/>
            <w:vAlign w:val="top"/>
          </w:tcPr>
          <w:p w14:paraId="2F3BCE7D">
            <w:pPr>
              <w:spacing w:line="322" w:lineRule="auto"/>
              <w:rPr>
                <w:rFonts w:ascii="Arial"/>
                <w:sz w:val="21"/>
              </w:rPr>
            </w:pPr>
          </w:p>
          <w:p w14:paraId="517A2940">
            <w:pPr>
              <w:spacing w:line="322" w:lineRule="auto"/>
              <w:rPr>
                <w:rFonts w:ascii="Arial"/>
                <w:sz w:val="21"/>
              </w:rPr>
            </w:pPr>
          </w:p>
          <w:p w14:paraId="4CE5C9F5">
            <w:pPr>
              <w:pStyle w:val="6"/>
              <w:spacing w:before="57" w:line="274" w:lineRule="exact"/>
              <w:ind w:left="437"/>
            </w:pPr>
            <w:r>
              <w:rPr>
                <w:spacing w:val="3"/>
                <w:position w:val="1"/>
              </w:rPr>
              <w:t>44</w:t>
            </w:r>
          </w:p>
        </w:tc>
        <w:tc>
          <w:tcPr>
            <w:tcW w:w="1113" w:type="dxa"/>
            <w:vAlign w:val="top"/>
          </w:tcPr>
          <w:p w14:paraId="0D3123DC">
            <w:pPr>
              <w:spacing w:line="322" w:lineRule="auto"/>
              <w:rPr>
                <w:rFonts w:ascii="Arial"/>
                <w:sz w:val="21"/>
              </w:rPr>
            </w:pPr>
          </w:p>
          <w:p w14:paraId="57FCD43D">
            <w:pPr>
              <w:spacing w:line="322" w:lineRule="auto"/>
              <w:rPr>
                <w:rFonts w:ascii="Arial"/>
                <w:sz w:val="21"/>
              </w:rPr>
            </w:pPr>
          </w:p>
          <w:p w14:paraId="14A06F94">
            <w:pPr>
              <w:pStyle w:val="6"/>
              <w:spacing w:before="57" w:line="274" w:lineRule="exact"/>
              <w:ind w:left="111"/>
            </w:pPr>
            <w:r>
              <w:rPr>
                <w:spacing w:val="4"/>
                <w:position w:val="2"/>
              </w:rPr>
              <w:t>2021-2035</w:t>
            </w:r>
          </w:p>
        </w:tc>
        <w:tc>
          <w:tcPr>
            <w:tcW w:w="1028" w:type="dxa"/>
            <w:vAlign w:val="top"/>
          </w:tcPr>
          <w:p w14:paraId="33BC21CF">
            <w:pPr>
              <w:spacing w:line="322" w:lineRule="auto"/>
              <w:rPr>
                <w:rFonts w:ascii="Arial"/>
                <w:sz w:val="21"/>
              </w:rPr>
            </w:pPr>
          </w:p>
          <w:p w14:paraId="5FF180E6">
            <w:pPr>
              <w:spacing w:line="322" w:lineRule="auto"/>
              <w:rPr>
                <w:rFonts w:ascii="Arial"/>
                <w:sz w:val="21"/>
              </w:rPr>
            </w:pPr>
          </w:p>
          <w:p w14:paraId="27EFDDD2">
            <w:pPr>
              <w:pStyle w:val="6"/>
              <w:spacing w:before="57" w:line="274" w:lineRule="exact"/>
              <w:ind w:left="292"/>
            </w:pPr>
            <w:r>
              <w:rPr>
                <w:spacing w:val="3"/>
                <w:position w:val="2"/>
              </w:rPr>
              <w:t>60.00</w:t>
            </w:r>
          </w:p>
        </w:tc>
        <w:tc>
          <w:tcPr>
            <w:tcW w:w="3175" w:type="dxa"/>
            <w:tcBorders>
              <w:right w:val="single" w:color="000000" w:sz="10" w:space="0"/>
            </w:tcBorders>
            <w:vAlign w:val="top"/>
          </w:tcPr>
          <w:p w14:paraId="78C84E19">
            <w:pPr>
              <w:spacing w:before="244" w:line="228" w:lineRule="auto"/>
              <w:ind w:left="151"/>
              <w:rPr>
                <w:rFonts w:ascii="宋体" w:hAnsi="宋体" w:eastAsia="宋体" w:cs="宋体"/>
                <w:sz w:val="20"/>
                <w:szCs w:val="20"/>
              </w:rPr>
            </w:pPr>
            <w:r>
              <w:rPr>
                <w:rFonts w:ascii="宋体" w:hAnsi="宋体" w:eastAsia="宋体" w:cs="宋体"/>
                <w:spacing w:val="7"/>
                <w:sz w:val="20"/>
                <w:szCs w:val="20"/>
              </w:rPr>
              <w:t>曲靖钢铁集团呈钢钢铁有限公司</w:t>
            </w:r>
          </w:p>
          <w:p w14:paraId="44FD28F6">
            <w:pPr>
              <w:spacing w:before="80" w:line="228" w:lineRule="auto"/>
              <w:ind w:right="4"/>
              <w:jc w:val="right"/>
              <w:rPr>
                <w:rFonts w:ascii="宋体" w:hAnsi="宋体" w:eastAsia="宋体" w:cs="宋体"/>
                <w:sz w:val="20"/>
                <w:szCs w:val="20"/>
              </w:rPr>
            </w:pPr>
            <w:r>
              <w:rPr>
                <w:rFonts w:ascii="宋体" w:hAnsi="宋体" w:eastAsia="宋体" w:cs="宋体"/>
                <w:spacing w:val="7"/>
                <w:sz w:val="20"/>
                <w:szCs w:val="20"/>
              </w:rPr>
              <w:t>马龙专用线、华能滇东煤电基地铁</w:t>
            </w:r>
          </w:p>
          <w:p w14:paraId="2B5FAC63">
            <w:pPr>
              <w:spacing w:before="81" w:line="228" w:lineRule="auto"/>
              <w:ind w:right="4"/>
              <w:jc w:val="right"/>
              <w:rPr>
                <w:rFonts w:ascii="宋体" w:hAnsi="宋体" w:eastAsia="宋体" w:cs="宋体"/>
                <w:sz w:val="20"/>
                <w:szCs w:val="20"/>
              </w:rPr>
            </w:pPr>
            <w:r>
              <w:rPr>
                <w:rFonts w:ascii="宋体" w:hAnsi="宋体" w:eastAsia="宋体" w:cs="宋体"/>
                <w:spacing w:val="8"/>
                <w:sz w:val="20"/>
                <w:szCs w:val="20"/>
              </w:rPr>
              <w:t>路专用线已纳入国家《铁路专用线</w:t>
            </w:r>
          </w:p>
          <w:p w14:paraId="085998E8">
            <w:pPr>
              <w:spacing w:before="81" w:line="228" w:lineRule="auto"/>
              <w:ind w:left="154"/>
              <w:rPr>
                <w:rFonts w:ascii="宋体" w:hAnsi="宋体" w:eastAsia="宋体" w:cs="宋体"/>
                <w:sz w:val="20"/>
                <w:szCs w:val="20"/>
              </w:rPr>
            </w:pPr>
            <w:r>
              <w:rPr>
                <w:rFonts w:ascii="宋体" w:hAnsi="宋体" w:eastAsia="宋体" w:cs="宋体"/>
                <w:spacing w:val="5"/>
                <w:sz w:val="20"/>
                <w:szCs w:val="20"/>
              </w:rPr>
              <w:t>重点项目清单（2022-2023</w:t>
            </w:r>
            <w:r>
              <w:rPr>
                <w:rFonts w:ascii="宋体" w:hAnsi="宋体" w:eastAsia="宋体" w:cs="宋体"/>
                <w:spacing w:val="-24"/>
                <w:sz w:val="20"/>
                <w:szCs w:val="20"/>
              </w:rPr>
              <w:t xml:space="preserve"> </w:t>
            </w:r>
            <w:r>
              <w:rPr>
                <w:rFonts w:ascii="宋体" w:hAnsi="宋体" w:eastAsia="宋体" w:cs="宋体"/>
                <w:spacing w:val="5"/>
                <w:sz w:val="20"/>
                <w:szCs w:val="20"/>
              </w:rPr>
              <w:t>年）</w:t>
            </w:r>
          </w:p>
        </w:tc>
      </w:tr>
      <w:tr w14:paraId="6C8356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1655292E">
            <w:pPr>
              <w:rPr>
                <w:rFonts w:ascii="Arial"/>
                <w:sz w:val="21"/>
              </w:rPr>
            </w:pPr>
          </w:p>
        </w:tc>
        <w:tc>
          <w:tcPr>
            <w:tcW w:w="7811" w:type="dxa"/>
            <w:gridSpan w:val="3"/>
            <w:vAlign w:val="top"/>
          </w:tcPr>
          <w:p w14:paraId="0BD449AB">
            <w:pPr>
              <w:spacing w:before="102" w:line="228" w:lineRule="auto"/>
              <w:ind w:left="19"/>
              <w:rPr>
                <w:rFonts w:ascii="宋体" w:hAnsi="宋体" w:eastAsia="宋体" w:cs="宋体"/>
                <w:sz w:val="20"/>
                <w:szCs w:val="20"/>
              </w:rPr>
            </w:pPr>
            <w:r>
              <w:rPr>
                <w:rFonts w:ascii="宋体" w:hAnsi="宋体" w:eastAsia="宋体" w:cs="宋体"/>
                <w:b/>
                <w:bCs/>
                <w:spacing w:val="4"/>
                <w:sz w:val="20"/>
                <w:szCs w:val="20"/>
              </w:rPr>
              <w:t>（3）储备项目&lt;2</w:t>
            </w:r>
            <w:r>
              <w:rPr>
                <w:rFonts w:ascii="宋体" w:hAnsi="宋体" w:eastAsia="宋体" w:cs="宋体"/>
                <w:spacing w:val="-37"/>
                <w:sz w:val="20"/>
                <w:szCs w:val="20"/>
              </w:rPr>
              <w:t xml:space="preserve"> </w:t>
            </w:r>
            <w:r>
              <w:rPr>
                <w:rFonts w:ascii="宋体" w:hAnsi="宋体" w:eastAsia="宋体" w:cs="宋体"/>
                <w:b/>
                <w:bCs/>
                <w:spacing w:val="4"/>
                <w:sz w:val="20"/>
                <w:szCs w:val="20"/>
              </w:rPr>
              <w:t>个&gt;</w:t>
            </w:r>
          </w:p>
        </w:tc>
        <w:tc>
          <w:tcPr>
            <w:tcW w:w="2204" w:type="dxa"/>
            <w:vAlign w:val="top"/>
          </w:tcPr>
          <w:p w14:paraId="2255EBAA">
            <w:pPr>
              <w:rPr>
                <w:rFonts w:ascii="Arial"/>
                <w:sz w:val="21"/>
              </w:rPr>
            </w:pPr>
          </w:p>
        </w:tc>
        <w:tc>
          <w:tcPr>
            <w:tcW w:w="2066" w:type="dxa"/>
            <w:vAlign w:val="top"/>
          </w:tcPr>
          <w:p w14:paraId="6D7DCBFF">
            <w:pPr>
              <w:rPr>
                <w:rFonts w:ascii="Arial"/>
                <w:sz w:val="21"/>
              </w:rPr>
            </w:pPr>
          </w:p>
        </w:tc>
        <w:tc>
          <w:tcPr>
            <w:tcW w:w="920" w:type="dxa"/>
            <w:vAlign w:val="top"/>
          </w:tcPr>
          <w:p w14:paraId="5917ED13">
            <w:pPr>
              <w:rPr>
                <w:rFonts w:ascii="Arial"/>
                <w:sz w:val="21"/>
              </w:rPr>
            </w:pPr>
          </w:p>
        </w:tc>
        <w:tc>
          <w:tcPr>
            <w:tcW w:w="963" w:type="dxa"/>
            <w:vAlign w:val="top"/>
          </w:tcPr>
          <w:p w14:paraId="1C93B15E">
            <w:pPr>
              <w:rPr>
                <w:rFonts w:ascii="Arial"/>
                <w:sz w:val="21"/>
              </w:rPr>
            </w:pPr>
          </w:p>
        </w:tc>
        <w:tc>
          <w:tcPr>
            <w:tcW w:w="1071" w:type="dxa"/>
            <w:vAlign w:val="top"/>
          </w:tcPr>
          <w:p w14:paraId="138C8E5B">
            <w:pPr>
              <w:pStyle w:val="6"/>
              <w:spacing w:before="139" w:line="195" w:lineRule="auto"/>
              <w:ind w:left="395"/>
            </w:pPr>
            <w:r>
              <w:rPr>
                <w:b/>
                <w:bCs/>
              </w:rPr>
              <w:t>190</w:t>
            </w:r>
          </w:p>
        </w:tc>
        <w:tc>
          <w:tcPr>
            <w:tcW w:w="1113" w:type="dxa"/>
            <w:vAlign w:val="top"/>
          </w:tcPr>
          <w:p w14:paraId="38A76300">
            <w:pPr>
              <w:rPr>
                <w:rFonts w:ascii="Arial"/>
                <w:sz w:val="21"/>
              </w:rPr>
            </w:pPr>
          </w:p>
        </w:tc>
        <w:tc>
          <w:tcPr>
            <w:tcW w:w="1028" w:type="dxa"/>
            <w:vAlign w:val="top"/>
          </w:tcPr>
          <w:p w14:paraId="661137BE">
            <w:pPr>
              <w:pStyle w:val="6"/>
              <w:spacing w:before="139" w:line="195" w:lineRule="auto"/>
              <w:ind w:left="235"/>
            </w:pPr>
            <w:r>
              <w:rPr>
                <w:b/>
                <w:bCs/>
                <w:spacing w:val="4"/>
              </w:rPr>
              <w:t>203.00</w:t>
            </w:r>
          </w:p>
        </w:tc>
        <w:tc>
          <w:tcPr>
            <w:tcW w:w="3175" w:type="dxa"/>
            <w:tcBorders>
              <w:right w:val="single" w:color="000000" w:sz="10" w:space="0"/>
            </w:tcBorders>
            <w:vAlign w:val="top"/>
          </w:tcPr>
          <w:p w14:paraId="05432EBA">
            <w:pPr>
              <w:rPr>
                <w:rFonts w:ascii="Arial"/>
                <w:sz w:val="21"/>
              </w:rPr>
            </w:pPr>
          </w:p>
        </w:tc>
      </w:tr>
      <w:tr w14:paraId="763CA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6011BC2D">
            <w:pPr>
              <w:pStyle w:val="6"/>
              <w:spacing w:before="216" w:line="275" w:lineRule="exact"/>
              <w:ind w:left="272"/>
            </w:pPr>
            <w:r>
              <w:rPr>
                <w:position w:val="1"/>
              </w:rPr>
              <w:t>1</w:t>
            </w:r>
          </w:p>
        </w:tc>
        <w:tc>
          <w:tcPr>
            <w:tcW w:w="1412" w:type="dxa"/>
            <w:vAlign w:val="top"/>
          </w:tcPr>
          <w:p w14:paraId="50C33669">
            <w:pPr>
              <w:rPr>
                <w:rFonts w:ascii="Arial"/>
                <w:sz w:val="21"/>
              </w:rPr>
            </w:pPr>
          </w:p>
        </w:tc>
        <w:tc>
          <w:tcPr>
            <w:tcW w:w="3274" w:type="dxa"/>
            <w:vAlign w:val="top"/>
          </w:tcPr>
          <w:p w14:paraId="10E86021">
            <w:pPr>
              <w:spacing w:before="244" w:line="228" w:lineRule="auto"/>
              <w:ind w:left="923"/>
              <w:rPr>
                <w:rFonts w:ascii="宋体" w:hAnsi="宋体" w:eastAsia="宋体" w:cs="宋体"/>
                <w:sz w:val="20"/>
                <w:szCs w:val="20"/>
              </w:rPr>
            </w:pPr>
            <w:r>
              <w:rPr>
                <w:rFonts w:ascii="宋体" w:hAnsi="宋体" w:eastAsia="宋体" w:cs="宋体"/>
                <w:spacing w:val="5"/>
                <w:sz w:val="20"/>
                <w:szCs w:val="20"/>
              </w:rPr>
              <w:t>曲靖至文山铁路</w:t>
            </w:r>
          </w:p>
        </w:tc>
        <w:tc>
          <w:tcPr>
            <w:tcW w:w="3125" w:type="dxa"/>
            <w:vAlign w:val="top"/>
          </w:tcPr>
          <w:p w14:paraId="6C5250CF">
            <w:pPr>
              <w:spacing w:before="244"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vAlign w:val="top"/>
          </w:tcPr>
          <w:p w14:paraId="77D982B2">
            <w:pPr>
              <w:spacing w:before="245" w:line="228" w:lineRule="auto"/>
              <w:ind w:left="593"/>
              <w:rPr>
                <w:rFonts w:ascii="宋体" w:hAnsi="宋体" w:eastAsia="宋体" w:cs="宋体"/>
                <w:sz w:val="20"/>
                <w:szCs w:val="20"/>
              </w:rPr>
            </w:pPr>
            <w:r>
              <w:rPr>
                <w:rFonts w:ascii="宋体" w:hAnsi="宋体" w:eastAsia="宋体" w:cs="宋体"/>
                <w:spacing w:val="5"/>
                <w:sz w:val="20"/>
                <w:szCs w:val="20"/>
              </w:rPr>
              <w:t>既有马龙站</w:t>
            </w:r>
          </w:p>
        </w:tc>
        <w:tc>
          <w:tcPr>
            <w:tcW w:w="2066" w:type="dxa"/>
            <w:vAlign w:val="top"/>
          </w:tcPr>
          <w:p w14:paraId="38F1D757">
            <w:pPr>
              <w:spacing w:before="244" w:line="228" w:lineRule="auto"/>
              <w:ind w:left="328"/>
              <w:rPr>
                <w:rFonts w:ascii="宋体" w:hAnsi="宋体" w:eastAsia="宋体" w:cs="宋体"/>
                <w:sz w:val="20"/>
                <w:szCs w:val="20"/>
              </w:rPr>
            </w:pPr>
            <w:r>
              <w:rPr>
                <w:rFonts w:ascii="宋体" w:hAnsi="宋体" w:eastAsia="宋体" w:cs="宋体"/>
                <w:spacing w:val="5"/>
                <w:sz w:val="20"/>
                <w:szCs w:val="20"/>
              </w:rPr>
              <w:t>曲靖与丘北交界</w:t>
            </w:r>
          </w:p>
        </w:tc>
        <w:tc>
          <w:tcPr>
            <w:tcW w:w="920" w:type="dxa"/>
            <w:vAlign w:val="top"/>
          </w:tcPr>
          <w:p w14:paraId="20949748">
            <w:pPr>
              <w:spacing w:before="24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358416CB">
            <w:pPr>
              <w:spacing w:before="244" w:line="228" w:lineRule="auto"/>
              <w:ind w:left="75"/>
              <w:rPr>
                <w:rFonts w:ascii="宋体" w:hAnsi="宋体" w:eastAsia="宋体" w:cs="宋体"/>
                <w:sz w:val="20"/>
                <w:szCs w:val="20"/>
              </w:rPr>
            </w:pPr>
            <w:r>
              <w:rPr>
                <w:rFonts w:ascii="宋体" w:hAnsi="宋体" w:eastAsia="宋体" w:cs="宋体"/>
                <w:spacing w:val="6"/>
                <w:sz w:val="20"/>
                <w:szCs w:val="20"/>
              </w:rPr>
              <w:t>客货共线</w:t>
            </w:r>
          </w:p>
        </w:tc>
        <w:tc>
          <w:tcPr>
            <w:tcW w:w="1071" w:type="dxa"/>
            <w:vAlign w:val="top"/>
          </w:tcPr>
          <w:p w14:paraId="6FAF2207">
            <w:pPr>
              <w:pStyle w:val="6"/>
              <w:spacing w:before="216" w:line="275" w:lineRule="exact"/>
              <w:ind w:left="406"/>
            </w:pPr>
            <w:r>
              <w:rPr>
                <w:spacing w:val="-3"/>
                <w:position w:val="2"/>
              </w:rPr>
              <w:t>135</w:t>
            </w:r>
          </w:p>
        </w:tc>
        <w:tc>
          <w:tcPr>
            <w:tcW w:w="1113" w:type="dxa"/>
            <w:vAlign w:val="top"/>
          </w:tcPr>
          <w:p w14:paraId="564DBE4C">
            <w:pPr>
              <w:rPr>
                <w:rFonts w:ascii="Arial"/>
                <w:sz w:val="21"/>
              </w:rPr>
            </w:pPr>
          </w:p>
        </w:tc>
        <w:tc>
          <w:tcPr>
            <w:tcW w:w="1028" w:type="dxa"/>
            <w:vAlign w:val="top"/>
          </w:tcPr>
          <w:p w14:paraId="51E614F4">
            <w:pPr>
              <w:pStyle w:val="6"/>
              <w:spacing w:before="216" w:line="275" w:lineRule="exact"/>
              <w:ind w:left="254"/>
            </w:pPr>
            <w:r>
              <w:rPr>
                <w:position w:val="2"/>
              </w:rPr>
              <w:t>138.00</w:t>
            </w:r>
          </w:p>
        </w:tc>
        <w:tc>
          <w:tcPr>
            <w:tcW w:w="3175" w:type="dxa"/>
            <w:tcBorders>
              <w:right w:val="single" w:color="000000" w:sz="10" w:space="0"/>
            </w:tcBorders>
            <w:vAlign w:val="top"/>
          </w:tcPr>
          <w:p w14:paraId="342BBE33">
            <w:pPr>
              <w:spacing w:before="82" w:line="228" w:lineRule="auto"/>
              <w:ind w:right="4"/>
              <w:jc w:val="right"/>
              <w:rPr>
                <w:rFonts w:ascii="宋体" w:hAnsi="宋体" w:eastAsia="宋体" w:cs="宋体"/>
                <w:sz w:val="20"/>
                <w:szCs w:val="20"/>
              </w:rPr>
            </w:pPr>
            <w:r>
              <w:rPr>
                <w:rFonts w:ascii="宋体" w:hAnsi="宋体" w:eastAsia="宋体" w:cs="宋体"/>
                <w:spacing w:val="8"/>
                <w:sz w:val="20"/>
                <w:szCs w:val="20"/>
              </w:rPr>
              <w:t>师宗至文山段已纳入国家《中长期</w:t>
            </w:r>
          </w:p>
          <w:p w14:paraId="0B59B201">
            <w:pPr>
              <w:spacing w:before="81" w:line="228" w:lineRule="auto"/>
              <w:ind w:left="966"/>
              <w:rPr>
                <w:rFonts w:ascii="宋体" w:hAnsi="宋体" w:eastAsia="宋体" w:cs="宋体"/>
                <w:sz w:val="20"/>
                <w:szCs w:val="20"/>
              </w:rPr>
            </w:pPr>
            <w:r>
              <w:rPr>
                <w:rFonts w:ascii="宋体" w:hAnsi="宋体" w:eastAsia="宋体" w:cs="宋体"/>
                <w:spacing w:val="6"/>
                <w:sz w:val="20"/>
                <w:szCs w:val="20"/>
              </w:rPr>
              <w:t>铁路网规划》</w:t>
            </w:r>
          </w:p>
        </w:tc>
      </w:tr>
      <w:tr w14:paraId="35C2E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4D188D4">
            <w:pPr>
              <w:pStyle w:val="6"/>
              <w:spacing w:before="74" w:line="274" w:lineRule="exact"/>
              <w:ind w:left="252"/>
            </w:pPr>
            <w:r>
              <w:rPr>
                <w:position w:val="1"/>
              </w:rPr>
              <w:t>2</w:t>
            </w:r>
          </w:p>
        </w:tc>
        <w:tc>
          <w:tcPr>
            <w:tcW w:w="1412" w:type="dxa"/>
            <w:vAlign w:val="top"/>
          </w:tcPr>
          <w:p w14:paraId="4F44BD24">
            <w:pPr>
              <w:rPr>
                <w:rFonts w:ascii="Arial"/>
                <w:sz w:val="21"/>
              </w:rPr>
            </w:pPr>
          </w:p>
        </w:tc>
        <w:tc>
          <w:tcPr>
            <w:tcW w:w="3274" w:type="dxa"/>
            <w:vAlign w:val="top"/>
          </w:tcPr>
          <w:p w14:paraId="42EC6B52">
            <w:pPr>
              <w:spacing w:before="102" w:line="228" w:lineRule="auto"/>
              <w:ind w:left="591"/>
              <w:rPr>
                <w:rFonts w:ascii="宋体" w:hAnsi="宋体" w:eastAsia="宋体" w:cs="宋体"/>
                <w:sz w:val="20"/>
                <w:szCs w:val="20"/>
              </w:rPr>
            </w:pPr>
            <w:r>
              <w:rPr>
                <w:rFonts w:ascii="宋体" w:hAnsi="宋体" w:eastAsia="宋体" w:cs="宋体"/>
                <w:spacing w:val="8"/>
                <w:sz w:val="20"/>
                <w:szCs w:val="20"/>
              </w:rPr>
              <w:t>东川至会泽至巧家铁路</w:t>
            </w:r>
          </w:p>
        </w:tc>
        <w:tc>
          <w:tcPr>
            <w:tcW w:w="3125" w:type="dxa"/>
            <w:vAlign w:val="top"/>
          </w:tcPr>
          <w:p w14:paraId="43A1EA4B">
            <w:pPr>
              <w:spacing w:before="102"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vAlign w:val="top"/>
          </w:tcPr>
          <w:p w14:paraId="33855650">
            <w:pPr>
              <w:spacing w:before="102" w:line="228" w:lineRule="auto"/>
              <w:ind w:left="580"/>
              <w:rPr>
                <w:rFonts w:ascii="宋体" w:hAnsi="宋体" w:eastAsia="宋体" w:cs="宋体"/>
                <w:sz w:val="20"/>
                <w:szCs w:val="20"/>
              </w:rPr>
            </w:pPr>
            <w:r>
              <w:rPr>
                <w:rFonts w:ascii="宋体" w:hAnsi="宋体" w:eastAsia="宋体" w:cs="宋体"/>
                <w:spacing w:val="8"/>
                <w:sz w:val="20"/>
                <w:szCs w:val="20"/>
              </w:rPr>
              <w:t>会泽大海乡</w:t>
            </w:r>
          </w:p>
        </w:tc>
        <w:tc>
          <w:tcPr>
            <w:tcW w:w="2066" w:type="dxa"/>
            <w:vAlign w:val="top"/>
          </w:tcPr>
          <w:p w14:paraId="3BA3E594">
            <w:pPr>
              <w:spacing w:before="102" w:line="228" w:lineRule="auto"/>
              <w:ind w:left="514"/>
              <w:rPr>
                <w:rFonts w:ascii="宋体" w:hAnsi="宋体" w:eastAsia="宋体" w:cs="宋体"/>
                <w:sz w:val="20"/>
                <w:szCs w:val="20"/>
              </w:rPr>
            </w:pPr>
            <w:r>
              <w:rPr>
                <w:rFonts w:ascii="宋体" w:hAnsi="宋体" w:eastAsia="宋体" w:cs="宋体"/>
                <w:spacing w:val="8"/>
                <w:sz w:val="20"/>
                <w:szCs w:val="20"/>
              </w:rPr>
              <w:t>会泽老厂乡</w:t>
            </w:r>
          </w:p>
        </w:tc>
        <w:tc>
          <w:tcPr>
            <w:tcW w:w="920" w:type="dxa"/>
            <w:vAlign w:val="top"/>
          </w:tcPr>
          <w:p w14:paraId="3691600B">
            <w:pPr>
              <w:spacing w:before="103"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54EF4573">
            <w:pPr>
              <w:spacing w:before="102" w:line="228" w:lineRule="auto"/>
              <w:ind w:left="75"/>
              <w:rPr>
                <w:rFonts w:ascii="宋体" w:hAnsi="宋体" w:eastAsia="宋体" w:cs="宋体"/>
                <w:sz w:val="20"/>
                <w:szCs w:val="20"/>
              </w:rPr>
            </w:pPr>
            <w:r>
              <w:rPr>
                <w:rFonts w:ascii="宋体" w:hAnsi="宋体" w:eastAsia="宋体" w:cs="宋体"/>
                <w:spacing w:val="6"/>
                <w:sz w:val="20"/>
                <w:szCs w:val="20"/>
              </w:rPr>
              <w:t>客货共线</w:t>
            </w:r>
          </w:p>
        </w:tc>
        <w:tc>
          <w:tcPr>
            <w:tcW w:w="1071" w:type="dxa"/>
            <w:vAlign w:val="top"/>
          </w:tcPr>
          <w:p w14:paraId="489E321D">
            <w:pPr>
              <w:pStyle w:val="6"/>
              <w:spacing w:before="144" w:line="192" w:lineRule="auto"/>
              <w:ind w:left="444"/>
            </w:pPr>
            <w:r>
              <w:t>55</w:t>
            </w:r>
          </w:p>
        </w:tc>
        <w:tc>
          <w:tcPr>
            <w:tcW w:w="1113" w:type="dxa"/>
            <w:vAlign w:val="top"/>
          </w:tcPr>
          <w:p w14:paraId="28B5B1B1">
            <w:pPr>
              <w:rPr>
                <w:rFonts w:ascii="Arial"/>
                <w:sz w:val="21"/>
              </w:rPr>
            </w:pPr>
          </w:p>
        </w:tc>
        <w:tc>
          <w:tcPr>
            <w:tcW w:w="1028" w:type="dxa"/>
            <w:vAlign w:val="top"/>
          </w:tcPr>
          <w:p w14:paraId="7FE8AF4C">
            <w:pPr>
              <w:pStyle w:val="6"/>
              <w:spacing w:before="74" w:line="274" w:lineRule="exact"/>
              <w:ind w:left="292"/>
            </w:pPr>
            <w:r>
              <w:rPr>
                <w:spacing w:val="3"/>
                <w:position w:val="2"/>
              </w:rPr>
              <w:t>65.00</w:t>
            </w:r>
          </w:p>
        </w:tc>
        <w:tc>
          <w:tcPr>
            <w:tcW w:w="3175" w:type="dxa"/>
            <w:tcBorders>
              <w:right w:val="single" w:color="000000" w:sz="10" w:space="0"/>
            </w:tcBorders>
            <w:vAlign w:val="top"/>
          </w:tcPr>
          <w:p w14:paraId="552FBA11">
            <w:pPr>
              <w:rPr>
                <w:rFonts w:ascii="Arial"/>
                <w:sz w:val="21"/>
              </w:rPr>
            </w:pPr>
          </w:p>
        </w:tc>
      </w:tr>
      <w:tr w14:paraId="7EA43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6D40C00">
            <w:pPr>
              <w:rPr>
                <w:rFonts w:ascii="Arial"/>
                <w:sz w:val="21"/>
              </w:rPr>
            </w:pPr>
          </w:p>
        </w:tc>
        <w:tc>
          <w:tcPr>
            <w:tcW w:w="7811" w:type="dxa"/>
            <w:gridSpan w:val="3"/>
            <w:vAlign w:val="top"/>
          </w:tcPr>
          <w:p w14:paraId="22286176">
            <w:pPr>
              <w:spacing w:before="103" w:line="228" w:lineRule="auto"/>
              <w:ind w:left="19"/>
              <w:rPr>
                <w:rFonts w:ascii="宋体" w:hAnsi="宋体" w:eastAsia="宋体" w:cs="宋体"/>
                <w:sz w:val="20"/>
                <w:szCs w:val="20"/>
              </w:rPr>
            </w:pPr>
            <w:r>
              <w:rPr>
                <w:rFonts w:ascii="宋体" w:hAnsi="宋体" w:eastAsia="宋体" w:cs="宋体"/>
                <w:b/>
                <w:bCs/>
                <w:spacing w:val="4"/>
                <w:sz w:val="20"/>
                <w:szCs w:val="20"/>
              </w:rPr>
              <w:t>（4）规划研究项目&lt;1</w:t>
            </w:r>
            <w:r>
              <w:rPr>
                <w:rFonts w:ascii="宋体" w:hAnsi="宋体" w:eastAsia="宋体" w:cs="宋体"/>
                <w:spacing w:val="-29"/>
                <w:sz w:val="20"/>
                <w:szCs w:val="20"/>
              </w:rPr>
              <w:t xml:space="preserve"> </w:t>
            </w:r>
            <w:r>
              <w:rPr>
                <w:rFonts w:ascii="宋体" w:hAnsi="宋体" w:eastAsia="宋体" w:cs="宋体"/>
                <w:b/>
                <w:bCs/>
                <w:spacing w:val="4"/>
                <w:sz w:val="20"/>
                <w:szCs w:val="20"/>
              </w:rPr>
              <w:t>个&gt;</w:t>
            </w:r>
          </w:p>
        </w:tc>
        <w:tc>
          <w:tcPr>
            <w:tcW w:w="2204" w:type="dxa"/>
            <w:vAlign w:val="top"/>
          </w:tcPr>
          <w:p w14:paraId="7B340159">
            <w:pPr>
              <w:rPr>
                <w:rFonts w:ascii="Arial"/>
                <w:sz w:val="21"/>
              </w:rPr>
            </w:pPr>
          </w:p>
        </w:tc>
        <w:tc>
          <w:tcPr>
            <w:tcW w:w="2066" w:type="dxa"/>
            <w:vAlign w:val="top"/>
          </w:tcPr>
          <w:p w14:paraId="4075617B">
            <w:pPr>
              <w:rPr>
                <w:rFonts w:ascii="Arial"/>
                <w:sz w:val="21"/>
              </w:rPr>
            </w:pPr>
          </w:p>
        </w:tc>
        <w:tc>
          <w:tcPr>
            <w:tcW w:w="920" w:type="dxa"/>
            <w:vAlign w:val="top"/>
          </w:tcPr>
          <w:p w14:paraId="161AD5AE">
            <w:pPr>
              <w:rPr>
                <w:rFonts w:ascii="Arial"/>
                <w:sz w:val="21"/>
              </w:rPr>
            </w:pPr>
          </w:p>
        </w:tc>
        <w:tc>
          <w:tcPr>
            <w:tcW w:w="963" w:type="dxa"/>
            <w:vAlign w:val="top"/>
          </w:tcPr>
          <w:p w14:paraId="224F3923">
            <w:pPr>
              <w:rPr>
                <w:rFonts w:ascii="Arial"/>
                <w:sz w:val="21"/>
              </w:rPr>
            </w:pPr>
          </w:p>
        </w:tc>
        <w:tc>
          <w:tcPr>
            <w:tcW w:w="1071" w:type="dxa"/>
            <w:vAlign w:val="top"/>
          </w:tcPr>
          <w:p w14:paraId="5A737752">
            <w:pPr>
              <w:pStyle w:val="6"/>
              <w:spacing w:before="141" w:line="195" w:lineRule="auto"/>
              <w:ind w:left="440"/>
            </w:pPr>
            <w:r>
              <w:rPr>
                <w:b/>
                <w:bCs/>
                <w:spacing w:val="1"/>
              </w:rPr>
              <w:t>96</w:t>
            </w:r>
          </w:p>
        </w:tc>
        <w:tc>
          <w:tcPr>
            <w:tcW w:w="1113" w:type="dxa"/>
            <w:vAlign w:val="top"/>
          </w:tcPr>
          <w:p w14:paraId="425945EE">
            <w:pPr>
              <w:rPr>
                <w:rFonts w:ascii="Arial"/>
                <w:sz w:val="21"/>
              </w:rPr>
            </w:pPr>
          </w:p>
        </w:tc>
        <w:tc>
          <w:tcPr>
            <w:tcW w:w="1028" w:type="dxa"/>
            <w:vAlign w:val="top"/>
          </w:tcPr>
          <w:p w14:paraId="3852085D">
            <w:pPr>
              <w:pStyle w:val="6"/>
              <w:spacing w:before="141" w:line="195" w:lineRule="auto"/>
              <w:ind w:left="235"/>
            </w:pPr>
            <w:r>
              <w:rPr>
                <w:b/>
                <w:bCs/>
                <w:spacing w:val="3"/>
              </w:rPr>
              <w:t>204.00</w:t>
            </w:r>
          </w:p>
        </w:tc>
        <w:tc>
          <w:tcPr>
            <w:tcW w:w="3175" w:type="dxa"/>
            <w:tcBorders>
              <w:right w:val="single" w:color="000000" w:sz="10" w:space="0"/>
            </w:tcBorders>
            <w:vAlign w:val="top"/>
          </w:tcPr>
          <w:p w14:paraId="5C8ACA3A">
            <w:pPr>
              <w:rPr>
                <w:rFonts w:ascii="Arial"/>
                <w:sz w:val="21"/>
              </w:rPr>
            </w:pPr>
          </w:p>
        </w:tc>
      </w:tr>
      <w:tr w14:paraId="5C4F9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3F715CD1">
            <w:pPr>
              <w:pStyle w:val="6"/>
              <w:spacing w:before="219" w:line="274" w:lineRule="exact"/>
              <w:ind w:left="272"/>
            </w:pPr>
            <w:r>
              <w:rPr>
                <w:position w:val="1"/>
              </w:rPr>
              <w:t>1</w:t>
            </w:r>
          </w:p>
        </w:tc>
        <w:tc>
          <w:tcPr>
            <w:tcW w:w="1412" w:type="dxa"/>
            <w:vAlign w:val="top"/>
          </w:tcPr>
          <w:p w14:paraId="7F1ACB33">
            <w:pPr>
              <w:rPr>
                <w:rFonts w:ascii="Arial"/>
                <w:sz w:val="21"/>
              </w:rPr>
            </w:pPr>
          </w:p>
        </w:tc>
        <w:tc>
          <w:tcPr>
            <w:tcW w:w="3274" w:type="dxa"/>
            <w:vAlign w:val="top"/>
          </w:tcPr>
          <w:p w14:paraId="3F3AAD2A">
            <w:pPr>
              <w:spacing w:before="250" w:line="228" w:lineRule="auto"/>
              <w:ind w:left="377"/>
              <w:rPr>
                <w:rFonts w:ascii="宋体" w:hAnsi="宋体" w:eastAsia="宋体" w:cs="宋体"/>
                <w:sz w:val="20"/>
                <w:szCs w:val="20"/>
              </w:rPr>
            </w:pPr>
            <w:r>
              <w:rPr>
                <w:rFonts w:ascii="宋体" w:hAnsi="宋体" w:eastAsia="宋体" w:cs="宋体"/>
                <w:spacing w:val="8"/>
                <w:sz w:val="20"/>
                <w:szCs w:val="20"/>
              </w:rPr>
              <w:t>南昆高铁（昆明至罗平段）</w:t>
            </w:r>
          </w:p>
        </w:tc>
        <w:tc>
          <w:tcPr>
            <w:tcW w:w="3125" w:type="dxa"/>
            <w:vAlign w:val="top"/>
          </w:tcPr>
          <w:p w14:paraId="1C801219">
            <w:pPr>
              <w:spacing w:before="250" w:line="228" w:lineRule="auto"/>
              <w:ind w:left="1061"/>
              <w:rPr>
                <w:rFonts w:ascii="宋体" w:hAnsi="宋体" w:eastAsia="宋体" w:cs="宋体"/>
                <w:sz w:val="20"/>
                <w:szCs w:val="20"/>
              </w:rPr>
            </w:pPr>
            <w:r>
              <w:rPr>
                <w:rFonts w:ascii="宋体" w:hAnsi="宋体" w:eastAsia="宋体" w:cs="宋体"/>
                <w:spacing w:val="3"/>
                <w:sz w:val="20"/>
                <w:szCs w:val="20"/>
              </w:rPr>
              <w:t>曲靖境内段</w:t>
            </w:r>
          </w:p>
        </w:tc>
        <w:tc>
          <w:tcPr>
            <w:tcW w:w="2204" w:type="dxa"/>
            <w:vAlign w:val="top"/>
          </w:tcPr>
          <w:p w14:paraId="116B0C93">
            <w:pPr>
              <w:spacing w:before="250" w:line="230" w:lineRule="auto"/>
              <w:ind w:left="690"/>
              <w:rPr>
                <w:rFonts w:ascii="宋体" w:hAnsi="宋体" w:eastAsia="宋体" w:cs="宋体"/>
                <w:sz w:val="20"/>
                <w:szCs w:val="20"/>
              </w:rPr>
            </w:pPr>
            <w:r>
              <w:rPr>
                <w:rFonts w:ascii="宋体" w:hAnsi="宋体" w:eastAsia="宋体" w:cs="宋体"/>
                <w:spacing w:val="6"/>
                <w:sz w:val="20"/>
                <w:szCs w:val="20"/>
              </w:rPr>
              <w:t>宜良边界</w:t>
            </w:r>
          </w:p>
        </w:tc>
        <w:tc>
          <w:tcPr>
            <w:tcW w:w="2066" w:type="dxa"/>
            <w:vAlign w:val="top"/>
          </w:tcPr>
          <w:p w14:paraId="2745EE3A">
            <w:pPr>
              <w:spacing w:before="250" w:line="228" w:lineRule="auto"/>
              <w:ind w:left="202"/>
              <w:rPr>
                <w:rFonts w:ascii="宋体" w:hAnsi="宋体" w:eastAsia="宋体" w:cs="宋体"/>
                <w:sz w:val="20"/>
                <w:szCs w:val="20"/>
              </w:rPr>
            </w:pPr>
            <w:r>
              <w:rPr>
                <w:rFonts w:ascii="宋体" w:hAnsi="宋体" w:eastAsia="宋体" w:cs="宋体"/>
                <w:spacing w:val="7"/>
                <w:sz w:val="20"/>
                <w:szCs w:val="20"/>
              </w:rPr>
              <w:t>罗平县（滇黔界）</w:t>
            </w:r>
          </w:p>
        </w:tc>
        <w:tc>
          <w:tcPr>
            <w:tcW w:w="920" w:type="dxa"/>
            <w:vAlign w:val="top"/>
          </w:tcPr>
          <w:p w14:paraId="6BEFCE49">
            <w:pPr>
              <w:spacing w:before="250"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F30EDE2">
            <w:pPr>
              <w:spacing w:before="84" w:line="268" w:lineRule="auto"/>
              <w:ind w:left="191" w:right="54" w:hanging="112"/>
              <w:rPr>
                <w:rFonts w:ascii="宋体" w:hAnsi="宋体" w:eastAsia="宋体" w:cs="宋体"/>
                <w:sz w:val="20"/>
                <w:szCs w:val="20"/>
              </w:rPr>
            </w:pPr>
            <w:r>
              <w:rPr>
                <w:rFonts w:ascii="宋体" w:hAnsi="宋体" w:eastAsia="宋体" w:cs="宋体"/>
                <w:spacing w:val="5"/>
                <w:sz w:val="20"/>
                <w:szCs w:val="20"/>
              </w:rPr>
              <w:t>高铁或城</w:t>
            </w:r>
            <w:r>
              <w:rPr>
                <w:rFonts w:ascii="宋体" w:hAnsi="宋体" w:eastAsia="宋体" w:cs="宋体"/>
                <w:spacing w:val="2"/>
                <w:sz w:val="20"/>
                <w:szCs w:val="20"/>
              </w:rPr>
              <w:t>际铁路</w:t>
            </w:r>
          </w:p>
        </w:tc>
        <w:tc>
          <w:tcPr>
            <w:tcW w:w="1071" w:type="dxa"/>
            <w:vAlign w:val="top"/>
          </w:tcPr>
          <w:p w14:paraId="75B82CDF">
            <w:pPr>
              <w:pStyle w:val="6"/>
              <w:spacing w:before="219" w:line="274" w:lineRule="exact"/>
              <w:ind w:left="442"/>
            </w:pPr>
            <w:r>
              <w:rPr>
                <w:position w:val="2"/>
              </w:rPr>
              <w:t>96</w:t>
            </w:r>
          </w:p>
        </w:tc>
        <w:tc>
          <w:tcPr>
            <w:tcW w:w="1113" w:type="dxa"/>
            <w:vAlign w:val="top"/>
          </w:tcPr>
          <w:p w14:paraId="5806E536">
            <w:pPr>
              <w:spacing w:before="250"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Align w:val="top"/>
          </w:tcPr>
          <w:p w14:paraId="208897BE">
            <w:pPr>
              <w:pStyle w:val="6"/>
              <w:spacing w:before="219" w:line="274" w:lineRule="exact"/>
              <w:ind w:left="234"/>
            </w:pPr>
            <w:r>
              <w:rPr>
                <w:spacing w:val="3"/>
                <w:position w:val="2"/>
              </w:rPr>
              <w:t>204.00</w:t>
            </w:r>
          </w:p>
        </w:tc>
        <w:tc>
          <w:tcPr>
            <w:tcW w:w="3175" w:type="dxa"/>
            <w:tcBorders>
              <w:right w:val="single" w:color="000000" w:sz="10" w:space="0"/>
            </w:tcBorders>
            <w:vAlign w:val="top"/>
          </w:tcPr>
          <w:p w14:paraId="4BE5153E">
            <w:pPr>
              <w:spacing w:before="85" w:line="228" w:lineRule="auto"/>
              <w:jc w:val="right"/>
              <w:rPr>
                <w:rFonts w:ascii="宋体" w:hAnsi="宋体" w:eastAsia="宋体" w:cs="宋体"/>
                <w:sz w:val="20"/>
                <w:szCs w:val="20"/>
              </w:rPr>
            </w:pPr>
            <w:r>
              <w:rPr>
                <w:rFonts w:ascii="宋体" w:hAnsi="宋体" w:eastAsia="宋体" w:cs="宋体"/>
                <w:spacing w:val="-7"/>
                <w:sz w:val="20"/>
                <w:szCs w:val="20"/>
              </w:rPr>
              <w:t>《云南省铁路“十四五</w:t>
            </w:r>
            <w:r>
              <w:rPr>
                <w:rFonts w:ascii="宋体" w:hAnsi="宋体" w:eastAsia="宋体" w:cs="宋体"/>
                <w:spacing w:val="-64"/>
                <w:sz w:val="20"/>
                <w:szCs w:val="20"/>
              </w:rPr>
              <w:t xml:space="preserve"> </w:t>
            </w:r>
            <w:r>
              <w:rPr>
                <w:rFonts w:ascii="宋体" w:hAnsi="宋体" w:eastAsia="宋体" w:cs="宋体"/>
                <w:spacing w:val="-7"/>
                <w:sz w:val="20"/>
                <w:szCs w:val="20"/>
              </w:rPr>
              <w:t>”发展规划》</w:t>
            </w:r>
          </w:p>
          <w:p w14:paraId="711632F0">
            <w:pPr>
              <w:spacing w:before="81" w:line="228" w:lineRule="auto"/>
              <w:ind w:left="1176"/>
              <w:rPr>
                <w:rFonts w:ascii="宋体" w:hAnsi="宋体" w:eastAsia="宋体" w:cs="宋体"/>
                <w:sz w:val="20"/>
                <w:szCs w:val="20"/>
              </w:rPr>
            </w:pPr>
            <w:r>
              <w:rPr>
                <w:rFonts w:ascii="宋体" w:hAnsi="宋体" w:eastAsia="宋体" w:cs="宋体"/>
                <w:spacing w:val="7"/>
                <w:sz w:val="20"/>
                <w:szCs w:val="20"/>
              </w:rPr>
              <w:t>研究项目</w:t>
            </w:r>
          </w:p>
        </w:tc>
      </w:tr>
      <w:tr w14:paraId="69447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8450" w:type="dxa"/>
            <w:gridSpan w:val="4"/>
            <w:tcBorders>
              <w:left w:val="single" w:color="000000" w:sz="10" w:space="0"/>
            </w:tcBorders>
            <w:vAlign w:val="top"/>
          </w:tcPr>
          <w:p w14:paraId="613F6F28">
            <w:pPr>
              <w:spacing w:before="67" w:line="310" w:lineRule="exact"/>
              <w:ind w:left="1701"/>
              <w:rPr>
                <w:rFonts w:ascii="华文楷体" w:hAnsi="华文楷体" w:eastAsia="华文楷体" w:cs="华文楷体"/>
                <w:sz w:val="20"/>
                <w:szCs w:val="20"/>
              </w:rPr>
            </w:pPr>
            <w:r>
              <w:rPr>
                <w:rFonts w:ascii="宋体" w:hAnsi="宋体" w:eastAsia="宋体" w:cs="宋体"/>
                <w:b/>
                <w:bCs/>
                <w:spacing w:val="4"/>
                <w:position w:val="3"/>
                <w:sz w:val="20"/>
                <w:szCs w:val="20"/>
              </w:rPr>
              <w:t>三、机场</w:t>
            </w:r>
            <w:r>
              <w:rPr>
                <w:rFonts w:ascii="华文楷体" w:hAnsi="华文楷体" w:eastAsia="华文楷体" w:cs="华文楷体"/>
                <w:spacing w:val="4"/>
                <w:position w:val="3"/>
                <w:sz w:val="20"/>
                <w:szCs w:val="20"/>
              </w:rPr>
              <w:t>（注：</w:t>
            </w:r>
            <w:r>
              <w:rPr>
                <w:rFonts w:ascii="华文楷体" w:hAnsi="华文楷体" w:eastAsia="华文楷体" w:cs="华文楷体"/>
                <w:spacing w:val="-16"/>
                <w:position w:val="3"/>
                <w:sz w:val="20"/>
                <w:szCs w:val="20"/>
              </w:rPr>
              <w:t xml:space="preserve"> </w:t>
            </w:r>
            <w:r>
              <w:rPr>
                <w:rFonts w:ascii="华文楷体" w:hAnsi="华文楷体" w:eastAsia="华文楷体" w:cs="华文楷体"/>
                <w:spacing w:val="4"/>
                <w:position w:val="3"/>
                <w:sz w:val="20"/>
                <w:szCs w:val="20"/>
              </w:rPr>
              <w:t>统计不含规划研究项 目</w:t>
            </w:r>
            <w:r>
              <w:rPr>
                <w:rFonts w:ascii="华文楷体" w:hAnsi="华文楷体" w:eastAsia="华文楷体" w:cs="华文楷体"/>
                <w:spacing w:val="-21"/>
                <w:position w:val="3"/>
                <w:sz w:val="20"/>
                <w:szCs w:val="20"/>
              </w:rPr>
              <w:t xml:space="preserve"> </w:t>
            </w:r>
            <w:r>
              <w:rPr>
                <w:rFonts w:ascii="华文楷体" w:hAnsi="华文楷体" w:eastAsia="华文楷体" w:cs="华文楷体"/>
                <w:spacing w:val="4"/>
                <w:position w:val="3"/>
                <w:sz w:val="20"/>
                <w:szCs w:val="20"/>
              </w:rPr>
              <w:t>的里程及投资）</w:t>
            </w:r>
          </w:p>
        </w:tc>
        <w:tc>
          <w:tcPr>
            <w:tcW w:w="2204" w:type="dxa"/>
            <w:vAlign w:val="top"/>
          </w:tcPr>
          <w:p w14:paraId="2EA98111">
            <w:pPr>
              <w:rPr>
                <w:rFonts w:ascii="Arial"/>
                <w:sz w:val="21"/>
              </w:rPr>
            </w:pPr>
          </w:p>
        </w:tc>
        <w:tc>
          <w:tcPr>
            <w:tcW w:w="2066" w:type="dxa"/>
            <w:vAlign w:val="top"/>
          </w:tcPr>
          <w:p w14:paraId="55E9487E">
            <w:pPr>
              <w:rPr>
                <w:rFonts w:ascii="Arial"/>
                <w:sz w:val="21"/>
              </w:rPr>
            </w:pPr>
          </w:p>
        </w:tc>
        <w:tc>
          <w:tcPr>
            <w:tcW w:w="920" w:type="dxa"/>
            <w:vAlign w:val="top"/>
          </w:tcPr>
          <w:p w14:paraId="56C2D841">
            <w:pPr>
              <w:rPr>
                <w:rFonts w:ascii="Arial"/>
                <w:sz w:val="21"/>
              </w:rPr>
            </w:pPr>
          </w:p>
        </w:tc>
        <w:tc>
          <w:tcPr>
            <w:tcW w:w="963" w:type="dxa"/>
            <w:vAlign w:val="top"/>
          </w:tcPr>
          <w:p w14:paraId="31C85051">
            <w:pPr>
              <w:rPr>
                <w:rFonts w:ascii="Arial"/>
                <w:sz w:val="21"/>
              </w:rPr>
            </w:pPr>
          </w:p>
        </w:tc>
        <w:tc>
          <w:tcPr>
            <w:tcW w:w="1071" w:type="dxa"/>
            <w:vAlign w:val="top"/>
          </w:tcPr>
          <w:p w14:paraId="5C01342B">
            <w:pPr>
              <w:rPr>
                <w:rFonts w:ascii="Arial"/>
                <w:sz w:val="21"/>
              </w:rPr>
            </w:pPr>
          </w:p>
        </w:tc>
        <w:tc>
          <w:tcPr>
            <w:tcW w:w="1113" w:type="dxa"/>
            <w:vAlign w:val="top"/>
          </w:tcPr>
          <w:p w14:paraId="6317FCBE">
            <w:pPr>
              <w:rPr>
                <w:rFonts w:ascii="Arial"/>
                <w:sz w:val="21"/>
              </w:rPr>
            </w:pPr>
          </w:p>
        </w:tc>
        <w:tc>
          <w:tcPr>
            <w:tcW w:w="1028" w:type="dxa"/>
            <w:vAlign w:val="top"/>
          </w:tcPr>
          <w:p w14:paraId="700532F5">
            <w:pPr>
              <w:pStyle w:val="6"/>
              <w:spacing w:before="143" w:line="195" w:lineRule="auto"/>
              <w:ind w:left="286"/>
            </w:pPr>
            <w:r>
              <w:rPr>
                <w:b/>
                <w:bCs/>
                <w:spacing w:val="4"/>
              </w:rPr>
              <w:t>32.00</w:t>
            </w:r>
          </w:p>
        </w:tc>
        <w:tc>
          <w:tcPr>
            <w:tcW w:w="3175" w:type="dxa"/>
            <w:tcBorders>
              <w:right w:val="single" w:color="000000" w:sz="10" w:space="0"/>
            </w:tcBorders>
            <w:vAlign w:val="top"/>
          </w:tcPr>
          <w:p w14:paraId="7B1A27E3">
            <w:pPr>
              <w:rPr>
                <w:rFonts w:ascii="Arial"/>
                <w:sz w:val="21"/>
              </w:rPr>
            </w:pPr>
          </w:p>
        </w:tc>
      </w:tr>
      <w:tr w14:paraId="4DB38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808DB98">
            <w:pPr>
              <w:rPr>
                <w:rFonts w:ascii="Arial"/>
                <w:sz w:val="21"/>
              </w:rPr>
            </w:pPr>
          </w:p>
        </w:tc>
        <w:tc>
          <w:tcPr>
            <w:tcW w:w="7811" w:type="dxa"/>
            <w:gridSpan w:val="3"/>
            <w:vAlign w:val="top"/>
          </w:tcPr>
          <w:p w14:paraId="36FBBBD4">
            <w:pPr>
              <w:spacing w:before="106" w:line="228" w:lineRule="auto"/>
              <w:ind w:left="19"/>
              <w:rPr>
                <w:rFonts w:ascii="宋体" w:hAnsi="宋体" w:eastAsia="宋体" w:cs="宋体"/>
                <w:sz w:val="20"/>
                <w:szCs w:val="20"/>
              </w:rPr>
            </w:pPr>
            <w:r>
              <w:rPr>
                <w:rFonts w:ascii="宋体" w:hAnsi="宋体" w:eastAsia="宋体" w:cs="宋体"/>
                <w:b/>
                <w:bCs/>
                <w:spacing w:val="2"/>
                <w:sz w:val="20"/>
                <w:szCs w:val="20"/>
              </w:rPr>
              <w:t>（1）</w:t>
            </w:r>
            <w:r>
              <w:rPr>
                <w:rFonts w:ascii="宋体" w:hAnsi="宋体" w:eastAsia="宋体" w:cs="宋体"/>
                <w:spacing w:val="-74"/>
                <w:sz w:val="20"/>
                <w:szCs w:val="20"/>
              </w:rPr>
              <w:t xml:space="preserve"> </w:t>
            </w:r>
            <w:r>
              <w:rPr>
                <w:rFonts w:ascii="宋体" w:hAnsi="宋体" w:eastAsia="宋体" w:cs="宋体"/>
                <w:b/>
                <w:bCs/>
                <w:spacing w:val="2"/>
                <w:sz w:val="20"/>
                <w:szCs w:val="20"/>
              </w:rPr>
              <w:t>“十四五</w:t>
            </w:r>
            <w:r>
              <w:rPr>
                <w:rFonts w:ascii="宋体" w:hAnsi="宋体" w:eastAsia="宋体" w:cs="宋体"/>
                <w:spacing w:val="-70"/>
                <w:sz w:val="20"/>
                <w:szCs w:val="20"/>
              </w:rPr>
              <w:t xml:space="preserve"> </w:t>
            </w:r>
            <w:r>
              <w:rPr>
                <w:rFonts w:ascii="宋体" w:hAnsi="宋体" w:eastAsia="宋体" w:cs="宋体"/>
                <w:b/>
                <w:bCs/>
                <w:spacing w:val="2"/>
                <w:sz w:val="20"/>
                <w:szCs w:val="20"/>
              </w:rPr>
              <w:t>”新建项目&lt;1</w:t>
            </w:r>
            <w:r>
              <w:rPr>
                <w:rFonts w:ascii="宋体" w:hAnsi="宋体" w:eastAsia="宋体" w:cs="宋体"/>
                <w:spacing w:val="-38"/>
                <w:sz w:val="20"/>
                <w:szCs w:val="20"/>
              </w:rPr>
              <w:t xml:space="preserve"> </w:t>
            </w:r>
            <w:r>
              <w:rPr>
                <w:rFonts w:ascii="宋体" w:hAnsi="宋体" w:eastAsia="宋体" w:cs="宋体"/>
                <w:b/>
                <w:bCs/>
                <w:spacing w:val="2"/>
                <w:sz w:val="20"/>
                <w:szCs w:val="20"/>
              </w:rPr>
              <w:t>个&gt;</w:t>
            </w:r>
          </w:p>
        </w:tc>
        <w:tc>
          <w:tcPr>
            <w:tcW w:w="2204" w:type="dxa"/>
            <w:vAlign w:val="top"/>
          </w:tcPr>
          <w:p w14:paraId="3AE7E96E">
            <w:pPr>
              <w:rPr>
                <w:rFonts w:ascii="Arial"/>
                <w:sz w:val="21"/>
              </w:rPr>
            </w:pPr>
          </w:p>
        </w:tc>
        <w:tc>
          <w:tcPr>
            <w:tcW w:w="2066" w:type="dxa"/>
            <w:vAlign w:val="top"/>
          </w:tcPr>
          <w:p w14:paraId="103DE29A">
            <w:pPr>
              <w:rPr>
                <w:rFonts w:ascii="Arial"/>
                <w:sz w:val="21"/>
              </w:rPr>
            </w:pPr>
          </w:p>
        </w:tc>
        <w:tc>
          <w:tcPr>
            <w:tcW w:w="920" w:type="dxa"/>
            <w:vAlign w:val="top"/>
          </w:tcPr>
          <w:p w14:paraId="53CF093D">
            <w:pPr>
              <w:rPr>
                <w:rFonts w:ascii="Arial"/>
                <w:sz w:val="21"/>
              </w:rPr>
            </w:pPr>
          </w:p>
        </w:tc>
        <w:tc>
          <w:tcPr>
            <w:tcW w:w="963" w:type="dxa"/>
            <w:vAlign w:val="top"/>
          </w:tcPr>
          <w:p w14:paraId="56F22CCD">
            <w:pPr>
              <w:rPr>
                <w:rFonts w:ascii="Arial"/>
                <w:sz w:val="21"/>
              </w:rPr>
            </w:pPr>
          </w:p>
        </w:tc>
        <w:tc>
          <w:tcPr>
            <w:tcW w:w="1071" w:type="dxa"/>
            <w:vAlign w:val="top"/>
          </w:tcPr>
          <w:p w14:paraId="54229FFC">
            <w:pPr>
              <w:rPr>
                <w:rFonts w:ascii="Arial"/>
                <w:sz w:val="21"/>
              </w:rPr>
            </w:pPr>
          </w:p>
        </w:tc>
        <w:tc>
          <w:tcPr>
            <w:tcW w:w="1113" w:type="dxa"/>
            <w:vAlign w:val="top"/>
          </w:tcPr>
          <w:p w14:paraId="52FAC603">
            <w:pPr>
              <w:rPr>
                <w:rFonts w:ascii="Arial"/>
                <w:sz w:val="21"/>
              </w:rPr>
            </w:pPr>
          </w:p>
        </w:tc>
        <w:tc>
          <w:tcPr>
            <w:tcW w:w="1028" w:type="dxa"/>
            <w:vAlign w:val="top"/>
          </w:tcPr>
          <w:p w14:paraId="67F427E7">
            <w:pPr>
              <w:rPr>
                <w:rFonts w:ascii="Arial"/>
                <w:sz w:val="21"/>
              </w:rPr>
            </w:pPr>
          </w:p>
        </w:tc>
        <w:tc>
          <w:tcPr>
            <w:tcW w:w="3175" w:type="dxa"/>
            <w:tcBorders>
              <w:right w:val="single" w:color="000000" w:sz="10" w:space="0"/>
            </w:tcBorders>
            <w:vAlign w:val="top"/>
          </w:tcPr>
          <w:p w14:paraId="55FBC9FB">
            <w:pPr>
              <w:rPr>
                <w:rFonts w:ascii="Arial"/>
                <w:sz w:val="21"/>
              </w:rPr>
            </w:pPr>
          </w:p>
        </w:tc>
      </w:tr>
      <w:tr w14:paraId="0979E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5660C3E8">
            <w:pPr>
              <w:pStyle w:val="6"/>
              <w:spacing w:before="222" w:line="274" w:lineRule="exact"/>
              <w:ind w:left="272"/>
            </w:pPr>
            <w:r>
              <w:rPr>
                <w:position w:val="1"/>
              </w:rPr>
              <w:t>1</w:t>
            </w:r>
          </w:p>
        </w:tc>
        <w:tc>
          <w:tcPr>
            <w:tcW w:w="1412" w:type="dxa"/>
            <w:vAlign w:val="top"/>
          </w:tcPr>
          <w:p w14:paraId="5F2C655C">
            <w:pPr>
              <w:rPr>
                <w:rFonts w:ascii="Arial"/>
                <w:sz w:val="21"/>
              </w:rPr>
            </w:pPr>
          </w:p>
        </w:tc>
        <w:tc>
          <w:tcPr>
            <w:tcW w:w="3274" w:type="dxa"/>
            <w:vAlign w:val="top"/>
          </w:tcPr>
          <w:p w14:paraId="11EAB1A7">
            <w:pPr>
              <w:spacing w:before="252" w:line="228" w:lineRule="auto"/>
              <w:ind w:left="1007"/>
              <w:rPr>
                <w:rFonts w:ascii="宋体" w:hAnsi="宋体" w:eastAsia="宋体" w:cs="宋体"/>
                <w:sz w:val="20"/>
                <w:szCs w:val="20"/>
              </w:rPr>
            </w:pPr>
            <w:r>
              <w:rPr>
                <w:rFonts w:ascii="宋体" w:hAnsi="宋体" w:eastAsia="宋体" w:cs="宋体"/>
                <w:spacing w:val="7"/>
                <w:sz w:val="20"/>
                <w:szCs w:val="20"/>
              </w:rPr>
              <w:t>宣威永安机场</w:t>
            </w:r>
          </w:p>
        </w:tc>
        <w:tc>
          <w:tcPr>
            <w:tcW w:w="3125" w:type="dxa"/>
            <w:vAlign w:val="top"/>
          </w:tcPr>
          <w:p w14:paraId="10A3F21F">
            <w:pPr>
              <w:spacing w:before="252" w:line="228" w:lineRule="auto"/>
              <w:ind w:left="954"/>
              <w:rPr>
                <w:rFonts w:ascii="宋体" w:hAnsi="宋体" w:eastAsia="宋体" w:cs="宋体"/>
                <w:sz w:val="20"/>
                <w:szCs w:val="20"/>
              </w:rPr>
            </w:pPr>
            <w:r>
              <w:rPr>
                <w:rFonts w:ascii="宋体" w:hAnsi="宋体" w:eastAsia="宋体" w:cs="宋体"/>
                <w:spacing w:val="4"/>
                <w:sz w:val="20"/>
                <w:szCs w:val="20"/>
              </w:rPr>
              <w:t>民用运输机场</w:t>
            </w:r>
          </w:p>
        </w:tc>
        <w:tc>
          <w:tcPr>
            <w:tcW w:w="4270" w:type="dxa"/>
            <w:gridSpan w:val="2"/>
            <w:vAlign w:val="top"/>
          </w:tcPr>
          <w:p w14:paraId="22209427">
            <w:pPr>
              <w:spacing w:before="252" w:line="228" w:lineRule="auto"/>
              <w:ind w:left="1196"/>
              <w:rPr>
                <w:rFonts w:ascii="宋体" w:hAnsi="宋体" w:eastAsia="宋体" w:cs="宋体"/>
                <w:sz w:val="20"/>
                <w:szCs w:val="20"/>
              </w:rPr>
            </w:pPr>
            <w:r>
              <w:rPr>
                <w:rFonts w:ascii="宋体" w:hAnsi="宋体" w:eastAsia="宋体" w:cs="宋体"/>
                <w:spacing w:val="8"/>
                <w:sz w:val="20"/>
                <w:szCs w:val="20"/>
              </w:rPr>
              <w:t>板桥街道永安村北面</w:t>
            </w:r>
          </w:p>
        </w:tc>
        <w:tc>
          <w:tcPr>
            <w:tcW w:w="920" w:type="dxa"/>
            <w:vAlign w:val="top"/>
          </w:tcPr>
          <w:p w14:paraId="1A419C7E">
            <w:pPr>
              <w:spacing w:before="253"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12C0A265">
            <w:pPr>
              <w:pStyle w:val="6"/>
              <w:spacing w:before="58" w:line="280" w:lineRule="auto"/>
              <w:ind w:left="386" w:right="11" w:hanging="363"/>
              <w:rPr>
                <w:rFonts w:ascii="宋体" w:hAnsi="宋体" w:eastAsia="宋体" w:cs="宋体"/>
              </w:rPr>
            </w:pPr>
            <w:r>
              <w:rPr>
                <w:spacing w:val="5"/>
              </w:rPr>
              <w:t>4C</w:t>
            </w:r>
            <w:r>
              <w:rPr>
                <w:spacing w:val="13"/>
                <w:w w:val="101"/>
              </w:rPr>
              <w:t xml:space="preserve"> </w:t>
            </w:r>
            <w:r>
              <w:rPr>
                <w:rFonts w:ascii="宋体" w:hAnsi="宋体" w:eastAsia="宋体" w:cs="宋体"/>
                <w:spacing w:val="5"/>
              </w:rPr>
              <w:t>支线机</w:t>
            </w:r>
            <w:r>
              <w:rPr>
                <w:rFonts w:ascii="宋体" w:hAnsi="宋体" w:eastAsia="宋体" w:cs="宋体"/>
                <w:spacing w:val="1"/>
              </w:rPr>
              <w:t>场</w:t>
            </w:r>
          </w:p>
        </w:tc>
        <w:tc>
          <w:tcPr>
            <w:tcW w:w="1071" w:type="dxa"/>
            <w:vAlign w:val="top"/>
          </w:tcPr>
          <w:p w14:paraId="735358BA">
            <w:pPr>
              <w:rPr>
                <w:rFonts w:ascii="Arial"/>
                <w:sz w:val="21"/>
              </w:rPr>
            </w:pPr>
          </w:p>
        </w:tc>
        <w:tc>
          <w:tcPr>
            <w:tcW w:w="1113" w:type="dxa"/>
            <w:vAlign w:val="top"/>
          </w:tcPr>
          <w:p w14:paraId="77BDDA46">
            <w:pPr>
              <w:pStyle w:val="6"/>
              <w:spacing w:before="222" w:line="274" w:lineRule="exact"/>
              <w:ind w:left="111"/>
            </w:pPr>
            <w:r>
              <w:rPr>
                <w:spacing w:val="4"/>
                <w:position w:val="2"/>
              </w:rPr>
              <w:t>2021-2025</w:t>
            </w:r>
          </w:p>
        </w:tc>
        <w:tc>
          <w:tcPr>
            <w:tcW w:w="1028" w:type="dxa"/>
            <w:vAlign w:val="top"/>
          </w:tcPr>
          <w:p w14:paraId="2178552C">
            <w:pPr>
              <w:pStyle w:val="6"/>
              <w:spacing w:before="222" w:line="274" w:lineRule="exact"/>
              <w:ind w:left="291"/>
            </w:pPr>
            <w:r>
              <w:rPr>
                <w:spacing w:val="3"/>
                <w:position w:val="2"/>
              </w:rPr>
              <w:t>32.00</w:t>
            </w:r>
          </w:p>
        </w:tc>
        <w:tc>
          <w:tcPr>
            <w:tcW w:w="3175" w:type="dxa"/>
            <w:tcBorders>
              <w:right w:val="single" w:color="000000" w:sz="10" w:space="0"/>
            </w:tcBorders>
            <w:vAlign w:val="top"/>
          </w:tcPr>
          <w:p w14:paraId="1137243C">
            <w:pPr>
              <w:spacing w:before="88" w:line="266"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63E754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DD95EBF">
            <w:pPr>
              <w:rPr>
                <w:rFonts w:ascii="Arial"/>
                <w:sz w:val="21"/>
              </w:rPr>
            </w:pPr>
          </w:p>
        </w:tc>
        <w:tc>
          <w:tcPr>
            <w:tcW w:w="7811" w:type="dxa"/>
            <w:gridSpan w:val="3"/>
            <w:vAlign w:val="top"/>
          </w:tcPr>
          <w:p w14:paraId="71578AEE">
            <w:pPr>
              <w:spacing w:before="108" w:line="228" w:lineRule="auto"/>
              <w:ind w:left="19"/>
              <w:rPr>
                <w:rFonts w:ascii="宋体" w:hAnsi="宋体" w:eastAsia="宋体" w:cs="宋体"/>
                <w:sz w:val="20"/>
                <w:szCs w:val="20"/>
              </w:rPr>
            </w:pPr>
            <w:r>
              <w:rPr>
                <w:rFonts w:ascii="宋体" w:hAnsi="宋体" w:eastAsia="宋体" w:cs="宋体"/>
                <w:b/>
                <w:bCs/>
                <w:spacing w:val="6"/>
                <w:sz w:val="20"/>
                <w:szCs w:val="20"/>
              </w:rPr>
              <w:t>（2）推动前期，条件成熟适时启动建设项目&lt;2</w:t>
            </w:r>
            <w:r>
              <w:rPr>
                <w:rFonts w:ascii="宋体" w:hAnsi="宋体" w:eastAsia="宋体" w:cs="宋体"/>
                <w:spacing w:val="-23"/>
                <w:sz w:val="20"/>
                <w:szCs w:val="20"/>
              </w:rPr>
              <w:t xml:space="preserve"> </w:t>
            </w:r>
            <w:r>
              <w:rPr>
                <w:rFonts w:ascii="宋体" w:hAnsi="宋体" w:eastAsia="宋体" w:cs="宋体"/>
                <w:b/>
                <w:bCs/>
                <w:spacing w:val="6"/>
                <w:sz w:val="20"/>
                <w:szCs w:val="20"/>
              </w:rPr>
              <w:t>个&gt;</w:t>
            </w:r>
          </w:p>
        </w:tc>
        <w:tc>
          <w:tcPr>
            <w:tcW w:w="4270" w:type="dxa"/>
            <w:gridSpan w:val="2"/>
            <w:vAlign w:val="top"/>
          </w:tcPr>
          <w:p w14:paraId="135FE27E">
            <w:pPr>
              <w:rPr>
                <w:rFonts w:ascii="Arial"/>
                <w:sz w:val="21"/>
              </w:rPr>
            </w:pPr>
          </w:p>
        </w:tc>
        <w:tc>
          <w:tcPr>
            <w:tcW w:w="920" w:type="dxa"/>
            <w:vAlign w:val="top"/>
          </w:tcPr>
          <w:p w14:paraId="6670C930">
            <w:pPr>
              <w:rPr>
                <w:rFonts w:ascii="Arial"/>
                <w:sz w:val="21"/>
              </w:rPr>
            </w:pPr>
          </w:p>
        </w:tc>
        <w:tc>
          <w:tcPr>
            <w:tcW w:w="963" w:type="dxa"/>
            <w:vAlign w:val="top"/>
          </w:tcPr>
          <w:p w14:paraId="1CB363DA">
            <w:pPr>
              <w:rPr>
                <w:rFonts w:ascii="Arial"/>
                <w:sz w:val="21"/>
              </w:rPr>
            </w:pPr>
          </w:p>
        </w:tc>
        <w:tc>
          <w:tcPr>
            <w:tcW w:w="1071" w:type="dxa"/>
            <w:vAlign w:val="top"/>
          </w:tcPr>
          <w:p w14:paraId="6E6362E0">
            <w:pPr>
              <w:rPr>
                <w:rFonts w:ascii="Arial"/>
                <w:sz w:val="21"/>
              </w:rPr>
            </w:pPr>
          </w:p>
        </w:tc>
        <w:tc>
          <w:tcPr>
            <w:tcW w:w="1113" w:type="dxa"/>
            <w:vAlign w:val="top"/>
          </w:tcPr>
          <w:p w14:paraId="61C64727">
            <w:pPr>
              <w:rPr>
                <w:rFonts w:ascii="Arial"/>
                <w:sz w:val="21"/>
              </w:rPr>
            </w:pPr>
          </w:p>
        </w:tc>
        <w:tc>
          <w:tcPr>
            <w:tcW w:w="1028" w:type="dxa"/>
            <w:vAlign w:val="top"/>
          </w:tcPr>
          <w:p w14:paraId="4151A55E">
            <w:pPr>
              <w:rPr>
                <w:rFonts w:ascii="Arial"/>
                <w:sz w:val="21"/>
              </w:rPr>
            </w:pPr>
          </w:p>
        </w:tc>
        <w:tc>
          <w:tcPr>
            <w:tcW w:w="3175" w:type="dxa"/>
            <w:tcBorders>
              <w:right w:val="single" w:color="000000" w:sz="10" w:space="0"/>
            </w:tcBorders>
            <w:vAlign w:val="top"/>
          </w:tcPr>
          <w:p w14:paraId="431D896E">
            <w:pPr>
              <w:rPr>
                <w:rFonts w:ascii="Arial"/>
                <w:sz w:val="21"/>
              </w:rPr>
            </w:pPr>
          </w:p>
        </w:tc>
      </w:tr>
      <w:tr w14:paraId="7F961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30066059">
            <w:pPr>
              <w:pStyle w:val="6"/>
              <w:spacing w:before="224" w:line="274" w:lineRule="exact"/>
              <w:ind w:left="272"/>
            </w:pPr>
            <w:r>
              <w:rPr>
                <w:position w:val="1"/>
              </w:rPr>
              <w:t>1</w:t>
            </w:r>
          </w:p>
        </w:tc>
        <w:tc>
          <w:tcPr>
            <w:tcW w:w="1412" w:type="dxa"/>
            <w:vAlign w:val="top"/>
          </w:tcPr>
          <w:p w14:paraId="4470552E">
            <w:pPr>
              <w:rPr>
                <w:rFonts w:ascii="Arial"/>
                <w:sz w:val="21"/>
              </w:rPr>
            </w:pPr>
          </w:p>
        </w:tc>
        <w:tc>
          <w:tcPr>
            <w:tcW w:w="3274" w:type="dxa"/>
            <w:vAlign w:val="top"/>
          </w:tcPr>
          <w:p w14:paraId="08FB021A">
            <w:pPr>
              <w:spacing w:before="255" w:line="228" w:lineRule="auto"/>
              <w:ind w:left="1003"/>
              <w:rPr>
                <w:rFonts w:ascii="宋体" w:hAnsi="宋体" w:eastAsia="宋体" w:cs="宋体"/>
                <w:sz w:val="20"/>
                <w:szCs w:val="20"/>
              </w:rPr>
            </w:pPr>
            <w:r>
              <w:rPr>
                <w:rFonts w:ascii="宋体" w:hAnsi="宋体" w:eastAsia="宋体" w:cs="宋体"/>
                <w:spacing w:val="8"/>
                <w:sz w:val="20"/>
                <w:szCs w:val="20"/>
              </w:rPr>
              <w:t>会泽通用机场</w:t>
            </w:r>
          </w:p>
        </w:tc>
        <w:tc>
          <w:tcPr>
            <w:tcW w:w="3125" w:type="dxa"/>
            <w:vAlign w:val="top"/>
          </w:tcPr>
          <w:p w14:paraId="06498108">
            <w:pPr>
              <w:rPr>
                <w:rFonts w:ascii="Arial"/>
                <w:sz w:val="21"/>
              </w:rPr>
            </w:pPr>
          </w:p>
        </w:tc>
        <w:tc>
          <w:tcPr>
            <w:tcW w:w="4270" w:type="dxa"/>
            <w:gridSpan w:val="2"/>
            <w:vAlign w:val="top"/>
          </w:tcPr>
          <w:p w14:paraId="5BC3AF1E">
            <w:pPr>
              <w:rPr>
                <w:rFonts w:ascii="Arial"/>
                <w:sz w:val="21"/>
              </w:rPr>
            </w:pPr>
          </w:p>
        </w:tc>
        <w:tc>
          <w:tcPr>
            <w:tcW w:w="920" w:type="dxa"/>
            <w:vAlign w:val="top"/>
          </w:tcPr>
          <w:p w14:paraId="33DE7D92">
            <w:pPr>
              <w:spacing w:before="25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3AAD6FC">
            <w:pPr>
              <w:pStyle w:val="6"/>
              <w:spacing w:before="224" w:line="274" w:lineRule="exact"/>
              <w:ind w:left="227"/>
              <w:rPr>
                <w:rFonts w:ascii="宋体" w:hAnsi="宋体" w:eastAsia="宋体" w:cs="宋体"/>
              </w:rPr>
            </w:pPr>
            <w:r>
              <w:rPr>
                <w:spacing w:val="-6"/>
                <w:position w:val="1"/>
              </w:rPr>
              <w:t>A</w:t>
            </w:r>
            <w:r>
              <w:rPr>
                <w:spacing w:val="-24"/>
                <w:position w:val="1"/>
              </w:rPr>
              <w:t xml:space="preserve"> </w:t>
            </w:r>
            <w:r>
              <w:rPr>
                <w:spacing w:val="-6"/>
                <w:position w:val="1"/>
              </w:rPr>
              <w:t>1</w:t>
            </w:r>
            <w:r>
              <w:rPr>
                <w:spacing w:val="13"/>
                <w:w w:val="101"/>
                <w:position w:val="1"/>
              </w:rPr>
              <w:t xml:space="preserve"> </w:t>
            </w:r>
            <w:r>
              <w:rPr>
                <w:rFonts w:ascii="宋体" w:hAnsi="宋体" w:eastAsia="宋体" w:cs="宋体"/>
                <w:spacing w:val="-6"/>
                <w:position w:val="1"/>
              </w:rPr>
              <w:t>级</w:t>
            </w:r>
          </w:p>
        </w:tc>
        <w:tc>
          <w:tcPr>
            <w:tcW w:w="1071" w:type="dxa"/>
            <w:vAlign w:val="top"/>
          </w:tcPr>
          <w:p w14:paraId="1E24C9E3">
            <w:pPr>
              <w:rPr>
                <w:rFonts w:ascii="Arial"/>
                <w:sz w:val="21"/>
              </w:rPr>
            </w:pPr>
          </w:p>
        </w:tc>
        <w:tc>
          <w:tcPr>
            <w:tcW w:w="1113" w:type="dxa"/>
            <w:vAlign w:val="top"/>
          </w:tcPr>
          <w:p w14:paraId="0056C47B">
            <w:pPr>
              <w:spacing w:before="255"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Align w:val="top"/>
          </w:tcPr>
          <w:p w14:paraId="37E57D7E">
            <w:pPr>
              <w:pStyle w:val="6"/>
              <w:spacing w:before="224" w:line="274" w:lineRule="exact"/>
              <w:ind w:left="346"/>
            </w:pPr>
            <w:r>
              <w:rPr>
                <w:spacing w:val="2"/>
                <w:position w:val="2"/>
              </w:rPr>
              <w:t>5.00</w:t>
            </w:r>
          </w:p>
        </w:tc>
        <w:tc>
          <w:tcPr>
            <w:tcW w:w="3175" w:type="dxa"/>
            <w:tcBorders>
              <w:right w:val="single" w:color="000000" w:sz="10" w:space="0"/>
            </w:tcBorders>
            <w:vAlign w:val="top"/>
          </w:tcPr>
          <w:p w14:paraId="1847EBD5">
            <w:pPr>
              <w:spacing w:before="90" w:line="228" w:lineRule="auto"/>
              <w:jc w:val="right"/>
              <w:rPr>
                <w:rFonts w:ascii="宋体" w:hAnsi="宋体" w:eastAsia="宋体" w:cs="宋体"/>
                <w:sz w:val="20"/>
                <w:szCs w:val="20"/>
              </w:rPr>
            </w:pPr>
            <w:r>
              <w:rPr>
                <w:rFonts w:ascii="宋体" w:hAnsi="宋体" w:eastAsia="宋体" w:cs="宋体"/>
                <w:spacing w:val="-7"/>
                <w:sz w:val="20"/>
                <w:szCs w:val="20"/>
              </w:rPr>
              <w:t>《云南省民航“十四五</w:t>
            </w:r>
            <w:r>
              <w:rPr>
                <w:rFonts w:ascii="宋体" w:hAnsi="宋体" w:eastAsia="宋体" w:cs="宋体"/>
                <w:spacing w:val="-64"/>
                <w:sz w:val="20"/>
                <w:szCs w:val="20"/>
              </w:rPr>
              <w:t xml:space="preserve"> </w:t>
            </w:r>
            <w:r>
              <w:rPr>
                <w:rFonts w:ascii="宋体" w:hAnsi="宋体" w:eastAsia="宋体" w:cs="宋体"/>
                <w:spacing w:val="-7"/>
                <w:sz w:val="20"/>
                <w:szCs w:val="20"/>
              </w:rPr>
              <w:t>”发展规划》</w:t>
            </w:r>
          </w:p>
          <w:p w14:paraId="4547AA2E">
            <w:pPr>
              <w:spacing w:before="81" w:line="227" w:lineRule="auto"/>
              <w:ind w:left="1176"/>
              <w:rPr>
                <w:rFonts w:ascii="宋体" w:hAnsi="宋体" w:eastAsia="宋体" w:cs="宋体"/>
                <w:sz w:val="20"/>
                <w:szCs w:val="20"/>
              </w:rPr>
            </w:pPr>
            <w:r>
              <w:rPr>
                <w:rFonts w:ascii="宋体" w:hAnsi="宋体" w:eastAsia="宋体" w:cs="宋体"/>
                <w:spacing w:val="7"/>
                <w:sz w:val="20"/>
                <w:szCs w:val="20"/>
              </w:rPr>
              <w:t>新建项目</w:t>
            </w:r>
          </w:p>
        </w:tc>
      </w:tr>
      <w:tr w14:paraId="13C5B4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7F1CA772">
            <w:pPr>
              <w:pStyle w:val="6"/>
              <w:spacing w:before="226" w:line="274" w:lineRule="exact"/>
              <w:ind w:left="252"/>
            </w:pPr>
            <w:r>
              <w:rPr>
                <w:position w:val="1"/>
              </w:rPr>
              <w:t>2</w:t>
            </w:r>
          </w:p>
        </w:tc>
        <w:tc>
          <w:tcPr>
            <w:tcW w:w="1412" w:type="dxa"/>
            <w:vAlign w:val="top"/>
          </w:tcPr>
          <w:p w14:paraId="7F6FA22B">
            <w:pPr>
              <w:rPr>
                <w:rFonts w:ascii="Arial"/>
                <w:sz w:val="21"/>
              </w:rPr>
            </w:pPr>
          </w:p>
        </w:tc>
        <w:tc>
          <w:tcPr>
            <w:tcW w:w="3274" w:type="dxa"/>
            <w:vAlign w:val="top"/>
          </w:tcPr>
          <w:p w14:paraId="725430BA">
            <w:pPr>
              <w:spacing w:before="254" w:line="228" w:lineRule="auto"/>
              <w:ind w:left="1005"/>
              <w:rPr>
                <w:rFonts w:ascii="宋体" w:hAnsi="宋体" w:eastAsia="宋体" w:cs="宋体"/>
                <w:sz w:val="20"/>
                <w:szCs w:val="20"/>
              </w:rPr>
            </w:pPr>
            <w:r>
              <w:rPr>
                <w:rFonts w:ascii="宋体" w:hAnsi="宋体" w:eastAsia="宋体" w:cs="宋体"/>
                <w:spacing w:val="7"/>
                <w:sz w:val="20"/>
                <w:szCs w:val="20"/>
              </w:rPr>
              <w:t>罗平通用机场</w:t>
            </w:r>
          </w:p>
        </w:tc>
        <w:tc>
          <w:tcPr>
            <w:tcW w:w="3125" w:type="dxa"/>
            <w:vAlign w:val="top"/>
          </w:tcPr>
          <w:p w14:paraId="4123645E">
            <w:pPr>
              <w:rPr>
                <w:rFonts w:ascii="Arial"/>
                <w:sz w:val="21"/>
              </w:rPr>
            </w:pPr>
          </w:p>
        </w:tc>
        <w:tc>
          <w:tcPr>
            <w:tcW w:w="4270" w:type="dxa"/>
            <w:gridSpan w:val="2"/>
            <w:vAlign w:val="top"/>
          </w:tcPr>
          <w:p w14:paraId="6FA11D12">
            <w:pPr>
              <w:spacing w:before="254" w:line="230" w:lineRule="auto"/>
              <w:ind w:left="1617"/>
              <w:rPr>
                <w:rFonts w:ascii="宋体" w:hAnsi="宋体" w:eastAsia="宋体" w:cs="宋体"/>
                <w:sz w:val="20"/>
                <w:szCs w:val="20"/>
              </w:rPr>
            </w:pPr>
            <w:r>
              <w:rPr>
                <w:rFonts w:ascii="宋体" w:hAnsi="宋体" w:eastAsia="宋体" w:cs="宋体"/>
                <w:spacing w:val="7"/>
                <w:sz w:val="20"/>
                <w:szCs w:val="20"/>
              </w:rPr>
              <w:t>罗平县金鸡</w:t>
            </w:r>
          </w:p>
        </w:tc>
        <w:tc>
          <w:tcPr>
            <w:tcW w:w="920" w:type="dxa"/>
            <w:vAlign w:val="top"/>
          </w:tcPr>
          <w:p w14:paraId="5C29B501">
            <w:pPr>
              <w:spacing w:before="254"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7576377">
            <w:pPr>
              <w:pStyle w:val="6"/>
              <w:spacing w:before="226" w:line="274" w:lineRule="exact"/>
              <w:ind w:left="227"/>
              <w:rPr>
                <w:rFonts w:ascii="宋体" w:hAnsi="宋体" w:eastAsia="宋体" w:cs="宋体"/>
              </w:rPr>
            </w:pPr>
            <w:r>
              <w:rPr>
                <w:spacing w:val="-6"/>
                <w:position w:val="1"/>
              </w:rPr>
              <w:t>A</w:t>
            </w:r>
            <w:r>
              <w:rPr>
                <w:spacing w:val="-24"/>
                <w:position w:val="1"/>
              </w:rPr>
              <w:t xml:space="preserve"> </w:t>
            </w:r>
            <w:r>
              <w:rPr>
                <w:spacing w:val="-6"/>
                <w:position w:val="1"/>
              </w:rPr>
              <w:t>1</w:t>
            </w:r>
            <w:r>
              <w:rPr>
                <w:spacing w:val="13"/>
                <w:w w:val="101"/>
                <w:position w:val="1"/>
              </w:rPr>
              <w:t xml:space="preserve"> </w:t>
            </w:r>
            <w:r>
              <w:rPr>
                <w:rFonts w:ascii="宋体" w:hAnsi="宋体" w:eastAsia="宋体" w:cs="宋体"/>
                <w:spacing w:val="-6"/>
                <w:position w:val="1"/>
              </w:rPr>
              <w:t>级</w:t>
            </w:r>
          </w:p>
        </w:tc>
        <w:tc>
          <w:tcPr>
            <w:tcW w:w="1071" w:type="dxa"/>
            <w:vAlign w:val="top"/>
          </w:tcPr>
          <w:p w14:paraId="348E0B49">
            <w:pPr>
              <w:rPr>
                <w:rFonts w:ascii="Arial"/>
                <w:sz w:val="21"/>
              </w:rPr>
            </w:pPr>
          </w:p>
        </w:tc>
        <w:tc>
          <w:tcPr>
            <w:tcW w:w="1113" w:type="dxa"/>
            <w:vAlign w:val="top"/>
          </w:tcPr>
          <w:p w14:paraId="4A93E74C">
            <w:pPr>
              <w:spacing w:before="254"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Align w:val="top"/>
          </w:tcPr>
          <w:p w14:paraId="4BC3E849">
            <w:pPr>
              <w:pStyle w:val="6"/>
              <w:spacing w:before="226" w:line="274" w:lineRule="exact"/>
              <w:ind w:left="346"/>
            </w:pPr>
            <w:r>
              <w:rPr>
                <w:spacing w:val="2"/>
                <w:position w:val="2"/>
              </w:rPr>
              <w:t>5.00</w:t>
            </w:r>
          </w:p>
        </w:tc>
        <w:tc>
          <w:tcPr>
            <w:tcW w:w="3175" w:type="dxa"/>
            <w:tcBorders>
              <w:right w:val="single" w:color="000000" w:sz="10" w:space="0"/>
            </w:tcBorders>
            <w:vAlign w:val="top"/>
          </w:tcPr>
          <w:p w14:paraId="4C29F0F5">
            <w:pPr>
              <w:spacing w:before="91" w:line="228" w:lineRule="auto"/>
              <w:jc w:val="right"/>
              <w:rPr>
                <w:rFonts w:ascii="宋体" w:hAnsi="宋体" w:eastAsia="宋体" w:cs="宋体"/>
                <w:sz w:val="20"/>
                <w:szCs w:val="20"/>
              </w:rPr>
            </w:pPr>
            <w:r>
              <w:rPr>
                <w:rFonts w:ascii="宋体" w:hAnsi="宋体" w:eastAsia="宋体" w:cs="宋体"/>
                <w:spacing w:val="-7"/>
                <w:sz w:val="20"/>
                <w:szCs w:val="20"/>
              </w:rPr>
              <w:t>《云南省民航“十四五</w:t>
            </w:r>
            <w:r>
              <w:rPr>
                <w:rFonts w:ascii="宋体" w:hAnsi="宋体" w:eastAsia="宋体" w:cs="宋体"/>
                <w:spacing w:val="-64"/>
                <w:sz w:val="20"/>
                <w:szCs w:val="20"/>
              </w:rPr>
              <w:t xml:space="preserve"> </w:t>
            </w:r>
            <w:r>
              <w:rPr>
                <w:rFonts w:ascii="宋体" w:hAnsi="宋体" w:eastAsia="宋体" w:cs="宋体"/>
                <w:spacing w:val="-7"/>
                <w:sz w:val="20"/>
                <w:szCs w:val="20"/>
              </w:rPr>
              <w:t>”发展规划》</w:t>
            </w:r>
          </w:p>
          <w:p w14:paraId="471047F9">
            <w:pPr>
              <w:spacing w:before="81" w:line="226" w:lineRule="auto"/>
              <w:ind w:left="1176"/>
              <w:rPr>
                <w:rFonts w:ascii="宋体" w:hAnsi="宋体" w:eastAsia="宋体" w:cs="宋体"/>
                <w:sz w:val="20"/>
                <w:szCs w:val="20"/>
              </w:rPr>
            </w:pPr>
            <w:r>
              <w:rPr>
                <w:rFonts w:ascii="宋体" w:hAnsi="宋体" w:eastAsia="宋体" w:cs="宋体"/>
                <w:spacing w:val="7"/>
                <w:sz w:val="20"/>
                <w:szCs w:val="20"/>
              </w:rPr>
              <w:t>新建项目</w:t>
            </w:r>
          </w:p>
        </w:tc>
      </w:tr>
      <w:tr w14:paraId="02149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8450" w:type="dxa"/>
            <w:gridSpan w:val="4"/>
            <w:tcBorders>
              <w:left w:val="single" w:color="000000" w:sz="10" w:space="0"/>
            </w:tcBorders>
            <w:vAlign w:val="top"/>
          </w:tcPr>
          <w:p w14:paraId="66D1BF51">
            <w:pPr>
              <w:spacing w:before="111" w:line="228" w:lineRule="auto"/>
              <w:ind w:left="2980"/>
              <w:rPr>
                <w:rFonts w:ascii="宋体" w:hAnsi="宋体" w:eastAsia="宋体" w:cs="宋体"/>
                <w:sz w:val="20"/>
                <w:szCs w:val="20"/>
              </w:rPr>
            </w:pPr>
            <w:r>
              <w:rPr>
                <w:rFonts w:ascii="宋体" w:hAnsi="宋体" w:eastAsia="宋体" w:cs="宋体"/>
                <w:b/>
                <w:bCs/>
                <w:spacing w:val="5"/>
                <w:sz w:val="20"/>
                <w:szCs w:val="20"/>
              </w:rPr>
              <w:t>四、水运（规划研究项目）</w:t>
            </w:r>
          </w:p>
        </w:tc>
        <w:tc>
          <w:tcPr>
            <w:tcW w:w="4270" w:type="dxa"/>
            <w:gridSpan w:val="2"/>
            <w:vAlign w:val="top"/>
          </w:tcPr>
          <w:p w14:paraId="5EBD4FDE">
            <w:pPr>
              <w:rPr>
                <w:rFonts w:ascii="Arial"/>
                <w:sz w:val="21"/>
              </w:rPr>
            </w:pPr>
          </w:p>
        </w:tc>
        <w:tc>
          <w:tcPr>
            <w:tcW w:w="920" w:type="dxa"/>
            <w:vAlign w:val="top"/>
          </w:tcPr>
          <w:p w14:paraId="13086C45">
            <w:pPr>
              <w:rPr>
                <w:rFonts w:ascii="Arial"/>
                <w:sz w:val="21"/>
              </w:rPr>
            </w:pPr>
          </w:p>
        </w:tc>
        <w:tc>
          <w:tcPr>
            <w:tcW w:w="963" w:type="dxa"/>
            <w:vAlign w:val="top"/>
          </w:tcPr>
          <w:p w14:paraId="4339DEF9">
            <w:pPr>
              <w:rPr>
                <w:rFonts w:ascii="Arial"/>
                <w:sz w:val="21"/>
              </w:rPr>
            </w:pPr>
          </w:p>
        </w:tc>
        <w:tc>
          <w:tcPr>
            <w:tcW w:w="1071" w:type="dxa"/>
            <w:vAlign w:val="top"/>
          </w:tcPr>
          <w:p w14:paraId="7458887C">
            <w:pPr>
              <w:rPr>
                <w:rFonts w:ascii="Arial"/>
                <w:sz w:val="21"/>
              </w:rPr>
            </w:pPr>
          </w:p>
        </w:tc>
        <w:tc>
          <w:tcPr>
            <w:tcW w:w="1113" w:type="dxa"/>
            <w:vAlign w:val="top"/>
          </w:tcPr>
          <w:p w14:paraId="43892A30">
            <w:pPr>
              <w:rPr>
                <w:rFonts w:ascii="Arial"/>
                <w:sz w:val="21"/>
              </w:rPr>
            </w:pPr>
          </w:p>
        </w:tc>
        <w:tc>
          <w:tcPr>
            <w:tcW w:w="1028" w:type="dxa"/>
            <w:vAlign w:val="top"/>
          </w:tcPr>
          <w:p w14:paraId="48BF5C84">
            <w:pPr>
              <w:pStyle w:val="6"/>
              <w:spacing w:before="148" w:line="195" w:lineRule="auto"/>
              <w:ind w:left="296"/>
            </w:pPr>
            <w:r>
              <w:rPr>
                <w:b/>
                <w:bCs/>
                <w:spacing w:val="2"/>
              </w:rPr>
              <w:t>17.00</w:t>
            </w:r>
          </w:p>
        </w:tc>
        <w:tc>
          <w:tcPr>
            <w:tcW w:w="3175" w:type="dxa"/>
            <w:tcBorders>
              <w:right w:val="single" w:color="000000" w:sz="10" w:space="0"/>
            </w:tcBorders>
            <w:vAlign w:val="top"/>
          </w:tcPr>
          <w:p w14:paraId="62104267">
            <w:pPr>
              <w:rPr>
                <w:rFonts w:ascii="Arial"/>
                <w:sz w:val="21"/>
              </w:rPr>
            </w:pPr>
          </w:p>
        </w:tc>
      </w:tr>
      <w:tr w14:paraId="3A1B4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39" w:type="dxa"/>
            <w:tcBorders>
              <w:left w:val="single" w:color="000000" w:sz="10" w:space="0"/>
            </w:tcBorders>
            <w:vAlign w:val="top"/>
          </w:tcPr>
          <w:p w14:paraId="50C7A684">
            <w:pPr>
              <w:spacing w:line="332" w:lineRule="auto"/>
              <w:rPr>
                <w:rFonts w:ascii="Arial"/>
                <w:sz w:val="21"/>
              </w:rPr>
            </w:pPr>
          </w:p>
          <w:p w14:paraId="5276585A">
            <w:pPr>
              <w:pStyle w:val="6"/>
              <w:spacing w:before="57" w:line="274" w:lineRule="exact"/>
              <w:ind w:left="272"/>
            </w:pPr>
            <w:r>
              <w:rPr>
                <w:position w:val="1"/>
              </w:rPr>
              <w:t>1</w:t>
            </w:r>
          </w:p>
        </w:tc>
        <w:tc>
          <w:tcPr>
            <w:tcW w:w="1412" w:type="dxa"/>
            <w:vMerge w:val="restart"/>
            <w:tcBorders>
              <w:bottom w:val="nil"/>
            </w:tcBorders>
            <w:vAlign w:val="top"/>
          </w:tcPr>
          <w:p w14:paraId="777E9240">
            <w:pPr>
              <w:spacing w:line="313" w:lineRule="auto"/>
              <w:rPr>
                <w:rFonts w:ascii="Arial"/>
                <w:sz w:val="21"/>
              </w:rPr>
            </w:pPr>
          </w:p>
          <w:p w14:paraId="68E70A38">
            <w:pPr>
              <w:spacing w:line="314" w:lineRule="auto"/>
              <w:rPr>
                <w:rFonts w:ascii="Arial"/>
                <w:sz w:val="21"/>
              </w:rPr>
            </w:pPr>
          </w:p>
          <w:p w14:paraId="30DC867F">
            <w:pPr>
              <w:spacing w:line="314" w:lineRule="auto"/>
              <w:rPr>
                <w:rFonts w:ascii="Arial"/>
                <w:sz w:val="21"/>
              </w:rPr>
            </w:pPr>
          </w:p>
          <w:p w14:paraId="25CC585D">
            <w:pPr>
              <w:spacing w:before="65" w:line="228" w:lineRule="auto"/>
              <w:ind w:left="384"/>
              <w:rPr>
                <w:rFonts w:ascii="宋体" w:hAnsi="宋体" w:eastAsia="宋体" w:cs="宋体"/>
                <w:sz w:val="20"/>
                <w:szCs w:val="20"/>
              </w:rPr>
            </w:pPr>
            <w:r>
              <w:rPr>
                <w:rFonts w:ascii="宋体" w:hAnsi="宋体" w:eastAsia="宋体" w:cs="宋体"/>
                <w:spacing w:val="7"/>
                <w:sz w:val="20"/>
                <w:szCs w:val="20"/>
              </w:rPr>
              <w:t>会泽县</w:t>
            </w:r>
          </w:p>
        </w:tc>
        <w:tc>
          <w:tcPr>
            <w:tcW w:w="3274" w:type="dxa"/>
            <w:vAlign w:val="top"/>
          </w:tcPr>
          <w:p w14:paraId="5F7A2C91">
            <w:pPr>
              <w:spacing w:line="354" w:lineRule="auto"/>
              <w:rPr>
                <w:rFonts w:ascii="Arial"/>
                <w:sz w:val="21"/>
              </w:rPr>
            </w:pPr>
          </w:p>
          <w:p w14:paraId="6C345EC9">
            <w:pPr>
              <w:spacing w:before="65" w:line="228" w:lineRule="auto"/>
              <w:ind w:left="374"/>
              <w:rPr>
                <w:rFonts w:ascii="宋体" w:hAnsi="宋体" w:eastAsia="宋体" w:cs="宋体"/>
                <w:sz w:val="20"/>
                <w:szCs w:val="20"/>
              </w:rPr>
            </w:pPr>
            <w:r>
              <w:rPr>
                <w:rFonts w:ascii="宋体" w:hAnsi="宋体" w:eastAsia="宋体" w:cs="宋体"/>
                <w:spacing w:val="8"/>
                <w:sz w:val="20"/>
                <w:szCs w:val="20"/>
              </w:rPr>
              <w:t>会泽港（含会泽便民码头）</w:t>
            </w:r>
          </w:p>
        </w:tc>
        <w:tc>
          <w:tcPr>
            <w:tcW w:w="3125" w:type="dxa"/>
            <w:vAlign w:val="top"/>
          </w:tcPr>
          <w:p w14:paraId="587856DD">
            <w:pPr>
              <w:spacing w:line="355" w:lineRule="auto"/>
              <w:rPr>
                <w:rFonts w:ascii="Arial"/>
                <w:sz w:val="21"/>
              </w:rPr>
            </w:pPr>
          </w:p>
          <w:p w14:paraId="491F614C">
            <w:pPr>
              <w:spacing w:before="65" w:line="228" w:lineRule="auto"/>
              <w:ind w:left="1278"/>
              <w:rPr>
                <w:rFonts w:ascii="宋体" w:hAnsi="宋体" w:eastAsia="宋体" w:cs="宋体"/>
                <w:sz w:val="20"/>
                <w:szCs w:val="20"/>
              </w:rPr>
            </w:pPr>
            <w:r>
              <w:rPr>
                <w:rFonts w:ascii="宋体" w:hAnsi="宋体" w:eastAsia="宋体" w:cs="宋体"/>
                <w:spacing w:val="-4"/>
                <w:sz w:val="20"/>
                <w:szCs w:val="20"/>
              </w:rPr>
              <w:t>白鹤滩</w:t>
            </w:r>
          </w:p>
        </w:tc>
        <w:tc>
          <w:tcPr>
            <w:tcW w:w="4270" w:type="dxa"/>
            <w:gridSpan w:val="2"/>
            <w:vAlign w:val="top"/>
          </w:tcPr>
          <w:p w14:paraId="129CC3EE">
            <w:pPr>
              <w:pStyle w:val="6"/>
              <w:spacing w:before="62" w:line="286" w:lineRule="auto"/>
              <w:ind w:left="11" w:firstLine="12"/>
              <w:jc w:val="both"/>
              <w:rPr>
                <w:rFonts w:ascii="宋体" w:hAnsi="宋体" w:eastAsia="宋体" w:cs="宋体"/>
              </w:rPr>
            </w:pPr>
            <w:r>
              <w:rPr>
                <w:rFonts w:ascii="宋体" w:hAnsi="宋体" w:eastAsia="宋体" w:cs="宋体"/>
                <w:spacing w:val="2"/>
              </w:rPr>
              <w:t>货运滚装</w:t>
            </w:r>
            <w:r>
              <w:rPr>
                <w:rFonts w:ascii="宋体" w:hAnsi="宋体" w:eastAsia="宋体" w:cs="宋体"/>
                <w:spacing w:val="-32"/>
              </w:rPr>
              <w:t xml:space="preserve"> </w:t>
            </w:r>
            <w:r>
              <w:rPr>
                <w:spacing w:val="2"/>
              </w:rPr>
              <w:t xml:space="preserve">3000t/1 </w:t>
            </w:r>
            <w:r>
              <w:rPr>
                <w:rFonts w:ascii="宋体" w:hAnsi="宋体" w:eastAsia="宋体" w:cs="宋体"/>
                <w:spacing w:val="2"/>
              </w:rPr>
              <w:t>个、散货</w:t>
            </w:r>
            <w:r>
              <w:rPr>
                <w:rFonts w:ascii="宋体" w:hAnsi="宋体" w:eastAsia="宋体" w:cs="宋体"/>
                <w:spacing w:val="-22"/>
              </w:rPr>
              <w:t xml:space="preserve"> </w:t>
            </w:r>
            <w:r>
              <w:rPr>
                <w:spacing w:val="2"/>
              </w:rPr>
              <w:t>1000t</w:t>
            </w:r>
            <w:r>
              <w:rPr>
                <w:rFonts w:ascii="宋体" w:hAnsi="宋体" w:eastAsia="宋体" w:cs="宋体"/>
                <w:spacing w:val="2"/>
              </w:rPr>
              <w:t>（兼顾</w:t>
            </w:r>
            <w:r>
              <w:rPr>
                <w:rFonts w:ascii="宋体" w:hAnsi="宋体" w:eastAsia="宋体" w:cs="宋体"/>
                <w:spacing w:val="-39"/>
              </w:rPr>
              <w:t xml:space="preserve"> </w:t>
            </w:r>
            <w:r>
              <w:rPr>
                <w:spacing w:val="2"/>
              </w:rPr>
              <w:t>3000t</w:t>
            </w:r>
            <w:r>
              <w:rPr>
                <w:rFonts w:ascii="宋体" w:hAnsi="宋体" w:eastAsia="宋体" w:cs="宋体"/>
                <w:spacing w:val="2"/>
              </w:rPr>
              <w:t>）</w:t>
            </w:r>
            <w:r>
              <w:rPr>
                <w:rFonts w:ascii="宋体" w:hAnsi="宋体" w:eastAsia="宋体" w:cs="宋体"/>
              </w:rPr>
              <w:t xml:space="preserve"> </w:t>
            </w:r>
            <w:r>
              <w:rPr>
                <w:spacing w:val="4"/>
              </w:rPr>
              <w:t xml:space="preserve">/2 </w:t>
            </w:r>
            <w:r>
              <w:rPr>
                <w:rFonts w:ascii="宋体" w:hAnsi="宋体" w:eastAsia="宋体" w:cs="宋体"/>
                <w:spacing w:val="4"/>
              </w:rPr>
              <w:t>个、客运</w:t>
            </w:r>
            <w:r>
              <w:rPr>
                <w:rFonts w:ascii="宋体" w:hAnsi="宋体" w:eastAsia="宋体" w:cs="宋体"/>
                <w:spacing w:val="-42"/>
              </w:rPr>
              <w:t xml:space="preserve"> </w:t>
            </w:r>
            <w:r>
              <w:rPr>
                <w:spacing w:val="4"/>
              </w:rPr>
              <w:t xml:space="preserve">200 </w:t>
            </w:r>
            <w:r>
              <w:rPr>
                <w:rFonts w:ascii="宋体" w:hAnsi="宋体" w:eastAsia="宋体" w:cs="宋体"/>
                <w:spacing w:val="4"/>
              </w:rPr>
              <w:t>客</w:t>
            </w:r>
            <w:r>
              <w:rPr>
                <w:spacing w:val="4"/>
              </w:rPr>
              <w:t xml:space="preserve">/2 </w:t>
            </w:r>
            <w:r>
              <w:rPr>
                <w:rFonts w:ascii="宋体" w:hAnsi="宋体" w:eastAsia="宋体" w:cs="宋体"/>
                <w:spacing w:val="4"/>
              </w:rPr>
              <w:t>个、海事</w:t>
            </w:r>
            <w:r>
              <w:rPr>
                <w:rFonts w:ascii="宋体" w:hAnsi="宋体" w:eastAsia="宋体" w:cs="宋体"/>
                <w:spacing w:val="3"/>
              </w:rPr>
              <w:t>泊位</w:t>
            </w:r>
            <w:r>
              <w:rPr>
                <w:rFonts w:ascii="宋体" w:hAnsi="宋体" w:eastAsia="宋体" w:cs="宋体"/>
                <w:spacing w:val="-21"/>
              </w:rPr>
              <w:t xml:space="preserve"> </w:t>
            </w:r>
            <w:r>
              <w:rPr>
                <w:spacing w:val="3"/>
              </w:rPr>
              <w:t>1</w:t>
            </w:r>
            <w:r>
              <w:rPr>
                <w:spacing w:val="9"/>
              </w:rPr>
              <w:t xml:space="preserve"> </w:t>
            </w:r>
            <w:r>
              <w:rPr>
                <w:rFonts w:ascii="宋体" w:hAnsi="宋体" w:eastAsia="宋体" w:cs="宋体"/>
                <w:spacing w:val="3"/>
              </w:rPr>
              <w:t>个、连接</w:t>
            </w:r>
            <w:r>
              <w:rPr>
                <w:rFonts w:ascii="宋体" w:hAnsi="宋体" w:eastAsia="宋体" w:cs="宋体"/>
              </w:rPr>
              <w:t>道路</w:t>
            </w:r>
            <w:r>
              <w:rPr>
                <w:rFonts w:ascii="宋体" w:hAnsi="宋体" w:eastAsia="宋体" w:cs="宋体"/>
                <w:spacing w:val="-24"/>
              </w:rPr>
              <w:t xml:space="preserve"> </w:t>
            </w:r>
            <w:r>
              <w:t>1.43</w:t>
            </w:r>
            <w:r>
              <w:rPr>
                <w:spacing w:val="15"/>
              </w:rPr>
              <w:t xml:space="preserve"> </w:t>
            </w:r>
            <w:r>
              <w:rPr>
                <w:rFonts w:ascii="宋体" w:hAnsi="宋体" w:eastAsia="宋体" w:cs="宋体"/>
              </w:rPr>
              <w:t>公里</w:t>
            </w:r>
          </w:p>
        </w:tc>
        <w:tc>
          <w:tcPr>
            <w:tcW w:w="920" w:type="dxa"/>
            <w:vAlign w:val="top"/>
          </w:tcPr>
          <w:p w14:paraId="572BED2A">
            <w:pPr>
              <w:spacing w:line="355" w:lineRule="auto"/>
              <w:rPr>
                <w:rFonts w:ascii="Arial"/>
                <w:sz w:val="21"/>
              </w:rPr>
            </w:pPr>
          </w:p>
          <w:p w14:paraId="0B6DD81C">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7B40453A">
            <w:pPr>
              <w:rPr>
                <w:rFonts w:ascii="Arial"/>
                <w:sz w:val="21"/>
              </w:rPr>
            </w:pPr>
          </w:p>
        </w:tc>
        <w:tc>
          <w:tcPr>
            <w:tcW w:w="1071" w:type="dxa"/>
            <w:vAlign w:val="top"/>
          </w:tcPr>
          <w:p w14:paraId="6405B3D3">
            <w:pPr>
              <w:rPr>
                <w:rFonts w:ascii="Arial"/>
                <w:sz w:val="21"/>
              </w:rPr>
            </w:pPr>
          </w:p>
        </w:tc>
        <w:tc>
          <w:tcPr>
            <w:tcW w:w="1113" w:type="dxa"/>
            <w:vAlign w:val="top"/>
          </w:tcPr>
          <w:p w14:paraId="5B59D545">
            <w:pPr>
              <w:spacing w:line="354" w:lineRule="auto"/>
              <w:rPr>
                <w:rFonts w:ascii="Arial"/>
                <w:sz w:val="21"/>
              </w:rPr>
            </w:pPr>
          </w:p>
          <w:p w14:paraId="421C9963">
            <w:pPr>
              <w:spacing w:before="65"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restart"/>
            <w:tcBorders>
              <w:bottom w:val="nil"/>
            </w:tcBorders>
            <w:vAlign w:val="top"/>
          </w:tcPr>
          <w:p w14:paraId="15D65CCC">
            <w:pPr>
              <w:spacing w:line="306" w:lineRule="auto"/>
              <w:rPr>
                <w:rFonts w:ascii="Arial"/>
                <w:sz w:val="21"/>
              </w:rPr>
            </w:pPr>
          </w:p>
          <w:p w14:paraId="4234A6A5">
            <w:pPr>
              <w:spacing w:line="306" w:lineRule="auto"/>
              <w:rPr>
                <w:rFonts w:ascii="Arial"/>
                <w:sz w:val="21"/>
              </w:rPr>
            </w:pPr>
          </w:p>
          <w:p w14:paraId="580C022D">
            <w:pPr>
              <w:spacing w:line="306" w:lineRule="auto"/>
              <w:rPr>
                <w:rFonts w:ascii="Arial"/>
                <w:sz w:val="21"/>
              </w:rPr>
            </w:pPr>
          </w:p>
          <w:p w14:paraId="2F98F11F">
            <w:pPr>
              <w:pStyle w:val="6"/>
              <w:spacing w:before="58" w:line="274" w:lineRule="exact"/>
              <w:ind w:left="307"/>
            </w:pPr>
            <w:r>
              <w:rPr>
                <w:spacing w:val="-1"/>
                <w:position w:val="2"/>
              </w:rPr>
              <w:t>12.80</w:t>
            </w:r>
          </w:p>
        </w:tc>
        <w:tc>
          <w:tcPr>
            <w:tcW w:w="3175" w:type="dxa"/>
            <w:tcBorders>
              <w:right w:val="single" w:color="000000" w:sz="10" w:space="0"/>
            </w:tcBorders>
            <w:vAlign w:val="top"/>
          </w:tcPr>
          <w:p w14:paraId="1FFA58EB">
            <w:pPr>
              <w:spacing w:before="94" w:line="228" w:lineRule="auto"/>
              <w:ind w:left="34"/>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p>
          <w:p w14:paraId="3B396FC8">
            <w:pPr>
              <w:spacing w:before="81" w:line="228" w:lineRule="auto"/>
              <w:ind w:right="4"/>
              <w:jc w:val="right"/>
              <w:rPr>
                <w:rFonts w:ascii="宋体" w:hAnsi="宋体" w:eastAsia="宋体" w:cs="宋体"/>
                <w:sz w:val="20"/>
                <w:szCs w:val="20"/>
              </w:rPr>
            </w:pPr>
            <w:r>
              <w:rPr>
                <w:rFonts w:ascii="宋体" w:hAnsi="宋体" w:eastAsia="宋体" w:cs="宋体"/>
                <w:spacing w:val="8"/>
                <w:sz w:val="20"/>
                <w:szCs w:val="20"/>
              </w:rPr>
              <w:t>发展规划》规划研究项目；预计总</w:t>
            </w:r>
          </w:p>
          <w:p w14:paraId="1FABCD33">
            <w:pPr>
              <w:spacing w:before="80" w:line="224" w:lineRule="auto"/>
              <w:ind w:left="1022"/>
              <w:rPr>
                <w:rFonts w:ascii="宋体" w:hAnsi="宋体" w:eastAsia="宋体" w:cs="宋体"/>
                <w:sz w:val="20"/>
                <w:szCs w:val="20"/>
              </w:rPr>
            </w:pPr>
            <w:r>
              <w:rPr>
                <w:rFonts w:ascii="宋体" w:hAnsi="宋体" w:eastAsia="宋体" w:cs="宋体"/>
                <w:sz w:val="20"/>
                <w:szCs w:val="20"/>
              </w:rPr>
              <w:t>投资</w:t>
            </w:r>
            <w:r>
              <w:rPr>
                <w:rFonts w:ascii="宋体" w:hAnsi="宋体" w:eastAsia="宋体" w:cs="宋体"/>
                <w:spacing w:val="-23"/>
                <w:sz w:val="20"/>
                <w:szCs w:val="20"/>
              </w:rPr>
              <w:t xml:space="preserve"> </w:t>
            </w:r>
            <w:r>
              <w:rPr>
                <w:rFonts w:ascii="宋体" w:hAnsi="宋体" w:eastAsia="宋体" w:cs="宋体"/>
                <w:sz w:val="20"/>
                <w:szCs w:val="20"/>
              </w:rPr>
              <w:t>10</w:t>
            </w:r>
            <w:r>
              <w:rPr>
                <w:rFonts w:ascii="宋体" w:hAnsi="宋体" w:eastAsia="宋体" w:cs="宋体"/>
                <w:spacing w:val="-37"/>
                <w:sz w:val="20"/>
                <w:szCs w:val="20"/>
              </w:rPr>
              <w:t xml:space="preserve"> </w:t>
            </w:r>
            <w:r>
              <w:rPr>
                <w:rFonts w:ascii="宋体" w:hAnsi="宋体" w:eastAsia="宋体" w:cs="宋体"/>
                <w:sz w:val="20"/>
                <w:szCs w:val="20"/>
              </w:rPr>
              <w:t>亿元</w:t>
            </w:r>
          </w:p>
        </w:tc>
      </w:tr>
      <w:tr w14:paraId="210A1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7F06E943">
            <w:pPr>
              <w:pStyle w:val="6"/>
              <w:spacing w:before="85" w:line="274" w:lineRule="exact"/>
              <w:ind w:left="252"/>
            </w:pPr>
            <w:r>
              <w:rPr>
                <w:position w:val="1"/>
              </w:rPr>
              <w:t>2</w:t>
            </w:r>
          </w:p>
        </w:tc>
        <w:tc>
          <w:tcPr>
            <w:tcW w:w="1412" w:type="dxa"/>
            <w:vMerge w:val="continue"/>
            <w:tcBorders>
              <w:top w:val="nil"/>
              <w:bottom w:val="nil"/>
            </w:tcBorders>
            <w:vAlign w:val="top"/>
          </w:tcPr>
          <w:p w14:paraId="2B3EBCC6">
            <w:pPr>
              <w:rPr>
                <w:rFonts w:ascii="Arial"/>
                <w:sz w:val="21"/>
              </w:rPr>
            </w:pPr>
          </w:p>
        </w:tc>
        <w:tc>
          <w:tcPr>
            <w:tcW w:w="3274" w:type="dxa"/>
            <w:vAlign w:val="top"/>
          </w:tcPr>
          <w:p w14:paraId="10BB5562">
            <w:pPr>
              <w:spacing w:before="115" w:line="228" w:lineRule="auto"/>
              <w:ind w:left="585"/>
              <w:rPr>
                <w:rFonts w:ascii="宋体" w:hAnsi="宋体" w:eastAsia="宋体" w:cs="宋体"/>
                <w:sz w:val="20"/>
                <w:szCs w:val="20"/>
              </w:rPr>
            </w:pPr>
            <w:r>
              <w:rPr>
                <w:rFonts w:ascii="宋体" w:hAnsi="宋体" w:eastAsia="宋体" w:cs="宋体"/>
                <w:spacing w:val="8"/>
                <w:sz w:val="20"/>
                <w:szCs w:val="20"/>
              </w:rPr>
              <w:t>金朝村、马桑河停靠点</w:t>
            </w:r>
          </w:p>
        </w:tc>
        <w:tc>
          <w:tcPr>
            <w:tcW w:w="3125" w:type="dxa"/>
            <w:vAlign w:val="top"/>
          </w:tcPr>
          <w:p w14:paraId="29806962">
            <w:pPr>
              <w:spacing w:before="116" w:line="228" w:lineRule="auto"/>
              <w:ind w:left="1143"/>
              <w:rPr>
                <w:rFonts w:ascii="宋体" w:hAnsi="宋体" w:eastAsia="宋体" w:cs="宋体"/>
                <w:sz w:val="20"/>
                <w:szCs w:val="20"/>
              </w:rPr>
            </w:pPr>
            <w:r>
              <w:rPr>
                <w:rFonts w:ascii="宋体" w:hAnsi="宋体" w:eastAsia="宋体" w:cs="宋体"/>
                <w:spacing w:val="7"/>
                <w:sz w:val="20"/>
                <w:szCs w:val="20"/>
              </w:rPr>
              <w:t>德泽水库</w:t>
            </w:r>
          </w:p>
        </w:tc>
        <w:tc>
          <w:tcPr>
            <w:tcW w:w="2204" w:type="dxa"/>
            <w:vAlign w:val="top"/>
          </w:tcPr>
          <w:p w14:paraId="4DADF9B6">
            <w:pPr>
              <w:rPr>
                <w:rFonts w:ascii="Arial"/>
                <w:sz w:val="21"/>
              </w:rPr>
            </w:pPr>
          </w:p>
        </w:tc>
        <w:tc>
          <w:tcPr>
            <w:tcW w:w="2066" w:type="dxa"/>
            <w:vAlign w:val="top"/>
          </w:tcPr>
          <w:p w14:paraId="2EC54025">
            <w:pPr>
              <w:rPr>
                <w:rFonts w:ascii="Arial"/>
                <w:sz w:val="21"/>
              </w:rPr>
            </w:pPr>
          </w:p>
        </w:tc>
        <w:tc>
          <w:tcPr>
            <w:tcW w:w="920" w:type="dxa"/>
            <w:vAlign w:val="top"/>
          </w:tcPr>
          <w:p w14:paraId="7E6D8750">
            <w:pPr>
              <w:spacing w:before="116"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32534FD0">
            <w:pPr>
              <w:pStyle w:val="6"/>
              <w:spacing w:before="85" w:line="274" w:lineRule="exact"/>
              <w:ind w:left="152"/>
              <w:rPr>
                <w:rFonts w:ascii="宋体" w:hAnsi="宋体" w:eastAsia="宋体" w:cs="宋体"/>
              </w:rPr>
            </w:pPr>
            <w:r>
              <w:rPr>
                <w:spacing w:val="2"/>
                <w:position w:val="1"/>
              </w:rPr>
              <w:t>50</w:t>
            </w:r>
            <w:r>
              <w:rPr>
                <w:spacing w:val="13"/>
                <w:w w:val="101"/>
                <w:position w:val="1"/>
              </w:rPr>
              <w:t xml:space="preserve"> </w:t>
            </w:r>
            <w:r>
              <w:rPr>
                <w:rFonts w:ascii="宋体" w:hAnsi="宋体" w:eastAsia="宋体" w:cs="宋体"/>
                <w:spacing w:val="2"/>
                <w:position w:val="1"/>
              </w:rPr>
              <w:t>客座</w:t>
            </w:r>
          </w:p>
        </w:tc>
        <w:tc>
          <w:tcPr>
            <w:tcW w:w="1071" w:type="dxa"/>
            <w:vAlign w:val="top"/>
          </w:tcPr>
          <w:p w14:paraId="3DAF797F">
            <w:pPr>
              <w:rPr>
                <w:rFonts w:ascii="Arial"/>
                <w:sz w:val="21"/>
              </w:rPr>
            </w:pPr>
          </w:p>
        </w:tc>
        <w:tc>
          <w:tcPr>
            <w:tcW w:w="1113" w:type="dxa"/>
            <w:vAlign w:val="top"/>
          </w:tcPr>
          <w:p w14:paraId="3A5650CE">
            <w:pPr>
              <w:spacing w:before="115"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7271529C">
            <w:pPr>
              <w:rPr>
                <w:rFonts w:ascii="Arial"/>
                <w:sz w:val="21"/>
              </w:rPr>
            </w:pPr>
          </w:p>
        </w:tc>
        <w:tc>
          <w:tcPr>
            <w:tcW w:w="3175" w:type="dxa"/>
            <w:tcBorders>
              <w:right w:val="single" w:color="000000" w:sz="10" w:space="0"/>
            </w:tcBorders>
            <w:vAlign w:val="top"/>
          </w:tcPr>
          <w:p w14:paraId="7C4D4628">
            <w:pPr>
              <w:rPr>
                <w:rFonts w:ascii="Arial"/>
                <w:sz w:val="21"/>
              </w:rPr>
            </w:pPr>
          </w:p>
        </w:tc>
      </w:tr>
      <w:tr w14:paraId="103DD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B56A2E2">
            <w:pPr>
              <w:pStyle w:val="6"/>
              <w:spacing w:before="86" w:line="274" w:lineRule="exact"/>
              <w:ind w:left="256"/>
            </w:pPr>
            <w:r>
              <w:rPr>
                <w:position w:val="2"/>
              </w:rPr>
              <w:t>3</w:t>
            </w:r>
          </w:p>
        </w:tc>
        <w:tc>
          <w:tcPr>
            <w:tcW w:w="1412" w:type="dxa"/>
            <w:vMerge w:val="continue"/>
            <w:tcBorders>
              <w:top w:val="nil"/>
              <w:bottom w:val="nil"/>
            </w:tcBorders>
            <w:vAlign w:val="top"/>
          </w:tcPr>
          <w:p w14:paraId="1141CCCB">
            <w:pPr>
              <w:rPr>
                <w:rFonts w:ascii="Arial"/>
                <w:sz w:val="21"/>
              </w:rPr>
            </w:pPr>
          </w:p>
        </w:tc>
        <w:tc>
          <w:tcPr>
            <w:tcW w:w="3274" w:type="dxa"/>
            <w:vAlign w:val="top"/>
          </w:tcPr>
          <w:p w14:paraId="7B3F5C46">
            <w:pPr>
              <w:pStyle w:val="6"/>
              <w:spacing w:before="117" w:line="226" w:lineRule="auto"/>
              <w:ind w:left="865"/>
              <w:rPr>
                <w:rFonts w:ascii="宋体" w:hAnsi="宋体" w:eastAsia="宋体" w:cs="宋体"/>
              </w:rPr>
            </w:pPr>
            <w:r>
              <w:rPr>
                <w:rFonts w:ascii="宋体" w:hAnsi="宋体" w:eastAsia="宋体" w:cs="宋体"/>
                <w:spacing w:val="7"/>
              </w:rPr>
              <w:t>德泽①</w:t>
            </w:r>
            <w:r>
              <w:rPr>
                <w:spacing w:val="7"/>
              </w:rPr>
              <w:t>-</w:t>
            </w:r>
            <w:r>
              <w:rPr>
                <w:rFonts w:ascii="宋体" w:hAnsi="宋体" w:eastAsia="宋体" w:cs="宋体"/>
                <w:spacing w:val="7"/>
              </w:rPr>
              <w:t>④停靠点</w:t>
            </w:r>
          </w:p>
        </w:tc>
        <w:tc>
          <w:tcPr>
            <w:tcW w:w="3125" w:type="dxa"/>
            <w:vAlign w:val="top"/>
          </w:tcPr>
          <w:p w14:paraId="0E010327">
            <w:pPr>
              <w:spacing w:before="117" w:line="228" w:lineRule="auto"/>
              <w:ind w:left="1143"/>
              <w:rPr>
                <w:rFonts w:ascii="宋体" w:hAnsi="宋体" w:eastAsia="宋体" w:cs="宋体"/>
                <w:sz w:val="20"/>
                <w:szCs w:val="20"/>
              </w:rPr>
            </w:pPr>
            <w:r>
              <w:rPr>
                <w:rFonts w:ascii="宋体" w:hAnsi="宋体" w:eastAsia="宋体" w:cs="宋体"/>
                <w:spacing w:val="7"/>
                <w:sz w:val="20"/>
                <w:szCs w:val="20"/>
              </w:rPr>
              <w:t>德泽水库</w:t>
            </w:r>
          </w:p>
        </w:tc>
        <w:tc>
          <w:tcPr>
            <w:tcW w:w="2204" w:type="dxa"/>
            <w:vAlign w:val="top"/>
          </w:tcPr>
          <w:p w14:paraId="37FCDF9D">
            <w:pPr>
              <w:rPr>
                <w:rFonts w:ascii="Arial"/>
                <w:sz w:val="21"/>
              </w:rPr>
            </w:pPr>
          </w:p>
        </w:tc>
        <w:tc>
          <w:tcPr>
            <w:tcW w:w="2066" w:type="dxa"/>
            <w:vAlign w:val="top"/>
          </w:tcPr>
          <w:p w14:paraId="0D36458B">
            <w:pPr>
              <w:rPr>
                <w:rFonts w:ascii="Arial"/>
                <w:sz w:val="21"/>
              </w:rPr>
            </w:pPr>
          </w:p>
        </w:tc>
        <w:tc>
          <w:tcPr>
            <w:tcW w:w="920" w:type="dxa"/>
            <w:vAlign w:val="top"/>
          </w:tcPr>
          <w:p w14:paraId="64514075">
            <w:pPr>
              <w:spacing w:before="117"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637BA0E6">
            <w:pPr>
              <w:pStyle w:val="6"/>
              <w:spacing w:before="86" w:line="274" w:lineRule="exact"/>
              <w:ind w:left="152"/>
              <w:rPr>
                <w:rFonts w:ascii="宋体" w:hAnsi="宋体" w:eastAsia="宋体" w:cs="宋体"/>
              </w:rPr>
            </w:pPr>
            <w:r>
              <w:rPr>
                <w:spacing w:val="2"/>
                <w:position w:val="1"/>
              </w:rPr>
              <w:t>50</w:t>
            </w:r>
            <w:r>
              <w:rPr>
                <w:spacing w:val="13"/>
                <w:w w:val="101"/>
                <w:position w:val="1"/>
              </w:rPr>
              <w:t xml:space="preserve"> </w:t>
            </w:r>
            <w:r>
              <w:rPr>
                <w:rFonts w:ascii="宋体" w:hAnsi="宋体" w:eastAsia="宋体" w:cs="宋体"/>
                <w:spacing w:val="2"/>
                <w:position w:val="1"/>
              </w:rPr>
              <w:t>客座</w:t>
            </w:r>
          </w:p>
        </w:tc>
        <w:tc>
          <w:tcPr>
            <w:tcW w:w="1071" w:type="dxa"/>
            <w:vAlign w:val="top"/>
          </w:tcPr>
          <w:p w14:paraId="6C71B698">
            <w:pPr>
              <w:rPr>
                <w:rFonts w:ascii="Arial"/>
                <w:sz w:val="21"/>
              </w:rPr>
            </w:pPr>
          </w:p>
        </w:tc>
        <w:tc>
          <w:tcPr>
            <w:tcW w:w="1113" w:type="dxa"/>
            <w:vAlign w:val="top"/>
          </w:tcPr>
          <w:p w14:paraId="028D7761">
            <w:pPr>
              <w:spacing w:before="116"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657C9628">
            <w:pPr>
              <w:rPr>
                <w:rFonts w:ascii="Arial"/>
                <w:sz w:val="21"/>
              </w:rPr>
            </w:pPr>
          </w:p>
        </w:tc>
        <w:tc>
          <w:tcPr>
            <w:tcW w:w="3175" w:type="dxa"/>
            <w:tcBorders>
              <w:right w:val="single" w:color="000000" w:sz="10" w:space="0"/>
            </w:tcBorders>
            <w:vAlign w:val="top"/>
          </w:tcPr>
          <w:p w14:paraId="1B77DAEA">
            <w:pPr>
              <w:rPr>
                <w:rFonts w:ascii="Arial"/>
                <w:sz w:val="21"/>
              </w:rPr>
            </w:pPr>
          </w:p>
        </w:tc>
      </w:tr>
      <w:tr w14:paraId="33D35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C47EF11">
            <w:pPr>
              <w:pStyle w:val="6"/>
              <w:spacing w:before="86" w:line="274" w:lineRule="exact"/>
              <w:ind w:left="251"/>
            </w:pPr>
            <w:r>
              <w:rPr>
                <w:spacing w:val="1"/>
                <w:position w:val="1"/>
              </w:rPr>
              <w:t>4</w:t>
            </w:r>
          </w:p>
        </w:tc>
        <w:tc>
          <w:tcPr>
            <w:tcW w:w="1412" w:type="dxa"/>
            <w:vMerge w:val="continue"/>
            <w:tcBorders>
              <w:top w:val="nil"/>
            </w:tcBorders>
            <w:vAlign w:val="top"/>
          </w:tcPr>
          <w:p w14:paraId="11C19BC2">
            <w:pPr>
              <w:rPr>
                <w:rFonts w:ascii="Arial"/>
                <w:sz w:val="21"/>
              </w:rPr>
            </w:pPr>
          </w:p>
        </w:tc>
        <w:tc>
          <w:tcPr>
            <w:tcW w:w="3274" w:type="dxa"/>
            <w:vAlign w:val="top"/>
          </w:tcPr>
          <w:p w14:paraId="4218864F">
            <w:pPr>
              <w:spacing w:before="117" w:line="229" w:lineRule="auto"/>
              <w:ind w:left="903"/>
              <w:rPr>
                <w:rFonts w:ascii="宋体" w:hAnsi="宋体" w:eastAsia="宋体" w:cs="宋体"/>
                <w:sz w:val="20"/>
                <w:szCs w:val="20"/>
              </w:rPr>
            </w:pPr>
            <w:r>
              <w:rPr>
                <w:rFonts w:ascii="宋体" w:hAnsi="宋体" w:eastAsia="宋体" w:cs="宋体"/>
                <w:spacing w:val="7"/>
                <w:sz w:val="20"/>
                <w:szCs w:val="20"/>
              </w:rPr>
              <w:t>牛栏江航道整治</w:t>
            </w:r>
          </w:p>
        </w:tc>
        <w:tc>
          <w:tcPr>
            <w:tcW w:w="3125" w:type="dxa"/>
            <w:vAlign w:val="top"/>
          </w:tcPr>
          <w:p w14:paraId="1B5F9F8D">
            <w:pPr>
              <w:rPr>
                <w:rFonts w:ascii="Arial"/>
                <w:sz w:val="21"/>
              </w:rPr>
            </w:pPr>
          </w:p>
        </w:tc>
        <w:tc>
          <w:tcPr>
            <w:tcW w:w="2204" w:type="dxa"/>
            <w:vAlign w:val="top"/>
          </w:tcPr>
          <w:p w14:paraId="533DF4F9">
            <w:pPr>
              <w:rPr>
                <w:rFonts w:ascii="Arial"/>
                <w:sz w:val="21"/>
              </w:rPr>
            </w:pPr>
          </w:p>
        </w:tc>
        <w:tc>
          <w:tcPr>
            <w:tcW w:w="2066" w:type="dxa"/>
            <w:vAlign w:val="top"/>
          </w:tcPr>
          <w:p w14:paraId="520B7081">
            <w:pPr>
              <w:rPr>
                <w:rFonts w:ascii="Arial"/>
                <w:sz w:val="21"/>
              </w:rPr>
            </w:pPr>
          </w:p>
        </w:tc>
        <w:tc>
          <w:tcPr>
            <w:tcW w:w="920" w:type="dxa"/>
            <w:vAlign w:val="top"/>
          </w:tcPr>
          <w:p w14:paraId="232C6BDB">
            <w:pPr>
              <w:spacing w:before="117"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5F2F086E">
            <w:pPr>
              <w:spacing w:before="117" w:line="228" w:lineRule="auto"/>
              <w:ind w:left="75"/>
              <w:rPr>
                <w:rFonts w:ascii="宋体" w:hAnsi="宋体" w:eastAsia="宋体" w:cs="宋体"/>
                <w:sz w:val="20"/>
                <w:szCs w:val="20"/>
              </w:rPr>
            </w:pPr>
            <w:r>
              <w:rPr>
                <w:rFonts w:ascii="宋体" w:hAnsi="宋体" w:eastAsia="宋体" w:cs="宋体"/>
                <w:spacing w:val="6"/>
                <w:sz w:val="20"/>
                <w:szCs w:val="20"/>
              </w:rPr>
              <w:t>等外级Ⅷ</w:t>
            </w:r>
          </w:p>
        </w:tc>
        <w:tc>
          <w:tcPr>
            <w:tcW w:w="1071" w:type="dxa"/>
            <w:vAlign w:val="top"/>
          </w:tcPr>
          <w:p w14:paraId="487619EA">
            <w:pPr>
              <w:pStyle w:val="6"/>
              <w:spacing w:before="86" w:line="274" w:lineRule="exact"/>
              <w:ind w:left="379"/>
            </w:pPr>
            <w:r>
              <w:rPr>
                <w:spacing w:val="-2"/>
                <w:position w:val="2"/>
              </w:rPr>
              <w:t>11.3</w:t>
            </w:r>
          </w:p>
        </w:tc>
        <w:tc>
          <w:tcPr>
            <w:tcW w:w="1113" w:type="dxa"/>
            <w:vAlign w:val="top"/>
          </w:tcPr>
          <w:p w14:paraId="2E8EE532">
            <w:pPr>
              <w:spacing w:before="117"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tcBorders>
            <w:vAlign w:val="top"/>
          </w:tcPr>
          <w:p w14:paraId="4E347009">
            <w:pPr>
              <w:rPr>
                <w:rFonts w:ascii="Arial"/>
                <w:sz w:val="21"/>
              </w:rPr>
            </w:pPr>
          </w:p>
        </w:tc>
        <w:tc>
          <w:tcPr>
            <w:tcW w:w="3175" w:type="dxa"/>
            <w:tcBorders>
              <w:right w:val="single" w:color="000000" w:sz="10" w:space="0"/>
            </w:tcBorders>
            <w:vAlign w:val="top"/>
          </w:tcPr>
          <w:p w14:paraId="4E9DEFF6">
            <w:pPr>
              <w:rPr>
                <w:rFonts w:ascii="Arial"/>
                <w:sz w:val="21"/>
              </w:rPr>
            </w:pPr>
          </w:p>
        </w:tc>
      </w:tr>
      <w:tr w14:paraId="371A5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5E465F12">
            <w:pPr>
              <w:pStyle w:val="6"/>
              <w:spacing w:before="159" w:line="192" w:lineRule="auto"/>
              <w:ind w:left="258"/>
            </w:pPr>
            <w:r>
              <w:t>5</w:t>
            </w:r>
          </w:p>
        </w:tc>
        <w:tc>
          <w:tcPr>
            <w:tcW w:w="1412" w:type="dxa"/>
            <w:vMerge w:val="restart"/>
            <w:tcBorders>
              <w:bottom w:val="nil"/>
            </w:tcBorders>
            <w:vAlign w:val="top"/>
          </w:tcPr>
          <w:p w14:paraId="7D6269B1">
            <w:pPr>
              <w:spacing w:line="443" w:lineRule="auto"/>
              <w:rPr>
                <w:rFonts w:ascii="Arial"/>
                <w:sz w:val="21"/>
              </w:rPr>
            </w:pPr>
          </w:p>
          <w:p w14:paraId="4A5B962E">
            <w:pPr>
              <w:spacing w:before="65" w:line="232" w:lineRule="auto"/>
              <w:ind w:left="387"/>
              <w:rPr>
                <w:rFonts w:ascii="宋体" w:hAnsi="宋体" w:eastAsia="宋体" w:cs="宋体"/>
                <w:sz w:val="20"/>
                <w:szCs w:val="20"/>
              </w:rPr>
            </w:pPr>
            <w:r>
              <w:rPr>
                <w:rFonts w:ascii="宋体" w:hAnsi="宋体" w:eastAsia="宋体" w:cs="宋体"/>
                <w:spacing w:val="6"/>
                <w:sz w:val="20"/>
                <w:szCs w:val="20"/>
              </w:rPr>
              <w:t>罗平县</w:t>
            </w:r>
          </w:p>
        </w:tc>
        <w:tc>
          <w:tcPr>
            <w:tcW w:w="3274" w:type="dxa"/>
            <w:vAlign w:val="top"/>
          </w:tcPr>
          <w:p w14:paraId="651DC032">
            <w:pPr>
              <w:spacing w:before="118" w:line="228" w:lineRule="auto"/>
              <w:ind w:left="1113"/>
              <w:rPr>
                <w:rFonts w:ascii="宋体" w:hAnsi="宋体" w:eastAsia="宋体" w:cs="宋体"/>
                <w:sz w:val="20"/>
                <w:szCs w:val="20"/>
              </w:rPr>
            </w:pPr>
            <w:r>
              <w:rPr>
                <w:rFonts w:ascii="宋体" w:hAnsi="宋体" w:eastAsia="宋体" w:cs="宋体"/>
                <w:spacing w:val="7"/>
                <w:sz w:val="20"/>
                <w:szCs w:val="20"/>
              </w:rPr>
              <w:t>八大河码头</w:t>
            </w:r>
          </w:p>
        </w:tc>
        <w:tc>
          <w:tcPr>
            <w:tcW w:w="3125" w:type="dxa"/>
            <w:vAlign w:val="top"/>
          </w:tcPr>
          <w:p w14:paraId="05DF5B62">
            <w:pPr>
              <w:spacing w:before="118"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6763C0CA">
            <w:pPr>
              <w:rPr>
                <w:rFonts w:ascii="Arial"/>
                <w:sz w:val="21"/>
              </w:rPr>
            </w:pPr>
          </w:p>
        </w:tc>
        <w:tc>
          <w:tcPr>
            <w:tcW w:w="2066" w:type="dxa"/>
            <w:vAlign w:val="top"/>
          </w:tcPr>
          <w:p w14:paraId="59043B02">
            <w:pPr>
              <w:rPr>
                <w:rFonts w:ascii="Arial"/>
                <w:sz w:val="21"/>
              </w:rPr>
            </w:pPr>
          </w:p>
        </w:tc>
        <w:tc>
          <w:tcPr>
            <w:tcW w:w="920" w:type="dxa"/>
            <w:vAlign w:val="top"/>
          </w:tcPr>
          <w:p w14:paraId="414086DD">
            <w:pPr>
              <w:spacing w:before="118"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6B0E4E32">
            <w:pPr>
              <w:rPr>
                <w:rFonts w:ascii="Arial"/>
                <w:sz w:val="21"/>
              </w:rPr>
            </w:pPr>
          </w:p>
        </w:tc>
        <w:tc>
          <w:tcPr>
            <w:tcW w:w="1071" w:type="dxa"/>
            <w:vAlign w:val="top"/>
          </w:tcPr>
          <w:p w14:paraId="069F278C">
            <w:pPr>
              <w:rPr>
                <w:rFonts w:ascii="Arial"/>
                <w:sz w:val="21"/>
              </w:rPr>
            </w:pPr>
          </w:p>
        </w:tc>
        <w:tc>
          <w:tcPr>
            <w:tcW w:w="1113" w:type="dxa"/>
            <w:vAlign w:val="top"/>
          </w:tcPr>
          <w:p w14:paraId="24196992">
            <w:pPr>
              <w:spacing w:before="117"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restart"/>
            <w:tcBorders>
              <w:bottom w:val="nil"/>
            </w:tcBorders>
            <w:vAlign w:val="top"/>
          </w:tcPr>
          <w:p w14:paraId="538383DC">
            <w:pPr>
              <w:spacing w:line="423" w:lineRule="auto"/>
              <w:rPr>
                <w:rFonts w:ascii="Arial"/>
                <w:sz w:val="21"/>
              </w:rPr>
            </w:pPr>
          </w:p>
          <w:p w14:paraId="034568E7">
            <w:pPr>
              <w:pStyle w:val="6"/>
              <w:spacing w:before="57" w:line="274" w:lineRule="exact"/>
              <w:ind w:left="344"/>
            </w:pPr>
            <w:r>
              <w:rPr>
                <w:spacing w:val="2"/>
                <w:position w:val="2"/>
              </w:rPr>
              <w:t>3.10</w:t>
            </w:r>
          </w:p>
        </w:tc>
        <w:tc>
          <w:tcPr>
            <w:tcW w:w="3175" w:type="dxa"/>
            <w:tcBorders>
              <w:right w:val="single" w:color="000000" w:sz="10" w:space="0"/>
            </w:tcBorders>
            <w:vAlign w:val="top"/>
          </w:tcPr>
          <w:p w14:paraId="074357B1">
            <w:pPr>
              <w:rPr>
                <w:rFonts w:ascii="Arial"/>
                <w:sz w:val="21"/>
              </w:rPr>
            </w:pPr>
          </w:p>
        </w:tc>
      </w:tr>
      <w:tr w14:paraId="255DE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583284DF">
            <w:pPr>
              <w:pStyle w:val="6"/>
              <w:spacing w:before="89" w:line="274" w:lineRule="exact"/>
              <w:ind w:left="257"/>
            </w:pPr>
            <w:r>
              <w:rPr>
                <w:position w:val="2"/>
              </w:rPr>
              <w:t>6</w:t>
            </w:r>
          </w:p>
        </w:tc>
        <w:tc>
          <w:tcPr>
            <w:tcW w:w="1412" w:type="dxa"/>
            <w:vMerge w:val="continue"/>
            <w:tcBorders>
              <w:top w:val="nil"/>
              <w:bottom w:val="nil"/>
            </w:tcBorders>
            <w:vAlign w:val="top"/>
          </w:tcPr>
          <w:p w14:paraId="6B8452EF">
            <w:pPr>
              <w:rPr>
                <w:rFonts w:ascii="Arial"/>
                <w:sz w:val="21"/>
              </w:rPr>
            </w:pPr>
          </w:p>
        </w:tc>
        <w:tc>
          <w:tcPr>
            <w:tcW w:w="3274" w:type="dxa"/>
            <w:vAlign w:val="top"/>
          </w:tcPr>
          <w:p w14:paraId="0111D657">
            <w:pPr>
              <w:spacing w:before="118" w:line="228" w:lineRule="auto"/>
              <w:ind w:left="901"/>
              <w:rPr>
                <w:rFonts w:ascii="宋体" w:hAnsi="宋体" w:eastAsia="宋体" w:cs="宋体"/>
                <w:sz w:val="20"/>
                <w:szCs w:val="20"/>
              </w:rPr>
            </w:pPr>
            <w:r>
              <w:rPr>
                <w:rFonts w:ascii="宋体" w:hAnsi="宋体" w:eastAsia="宋体" w:cs="宋体"/>
                <w:spacing w:val="8"/>
                <w:sz w:val="20"/>
                <w:szCs w:val="20"/>
              </w:rPr>
              <w:t>八大河进港道路</w:t>
            </w:r>
          </w:p>
        </w:tc>
        <w:tc>
          <w:tcPr>
            <w:tcW w:w="3125" w:type="dxa"/>
            <w:vAlign w:val="top"/>
          </w:tcPr>
          <w:p w14:paraId="725CD698">
            <w:pPr>
              <w:spacing w:before="118"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15E7D15F">
            <w:pPr>
              <w:rPr>
                <w:rFonts w:ascii="Arial"/>
                <w:sz w:val="21"/>
              </w:rPr>
            </w:pPr>
          </w:p>
        </w:tc>
        <w:tc>
          <w:tcPr>
            <w:tcW w:w="2066" w:type="dxa"/>
            <w:vAlign w:val="top"/>
          </w:tcPr>
          <w:p w14:paraId="7A594806">
            <w:pPr>
              <w:rPr>
                <w:rFonts w:ascii="Arial"/>
                <w:sz w:val="21"/>
              </w:rPr>
            </w:pPr>
          </w:p>
        </w:tc>
        <w:tc>
          <w:tcPr>
            <w:tcW w:w="920" w:type="dxa"/>
            <w:vAlign w:val="top"/>
          </w:tcPr>
          <w:p w14:paraId="0C31C24E">
            <w:pPr>
              <w:spacing w:before="118"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4D4A9295">
            <w:pPr>
              <w:rPr>
                <w:rFonts w:ascii="Arial"/>
                <w:sz w:val="21"/>
              </w:rPr>
            </w:pPr>
          </w:p>
        </w:tc>
        <w:tc>
          <w:tcPr>
            <w:tcW w:w="1071" w:type="dxa"/>
            <w:vAlign w:val="top"/>
          </w:tcPr>
          <w:p w14:paraId="6B8CCE47">
            <w:pPr>
              <w:pStyle w:val="6"/>
              <w:spacing w:before="89" w:line="274" w:lineRule="exact"/>
              <w:ind w:left="326"/>
            </w:pPr>
            <w:r>
              <w:rPr>
                <w:spacing w:val="-1"/>
                <w:position w:val="2"/>
              </w:rPr>
              <w:t>15.17</w:t>
            </w:r>
          </w:p>
        </w:tc>
        <w:tc>
          <w:tcPr>
            <w:tcW w:w="1113" w:type="dxa"/>
            <w:vAlign w:val="top"/>
          </w:tcPr>
          <w:p w14:paraId="1290A7CC">
            <w:pPr>
              <w:spacing w:before="117"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2FB6D03A">
            <w:pPr>
              <w:rPr>
                <w:rFonts w:ascii="Arial"/>
                <w:sz w:val="21"/>
              </w:rPr>
            </w:pPr>
          </w:p>
        </w:tc>
        <w:tc>
          <w:tcPr>
            <w:tcW w:w="3175" w:type="dxa"/>
            <w:tcBorders>
              <w:right w:val="single" w:color="000000" w:sz="10" w:space="0"/>
            </w:tcBorders>
            <w:vAlign w:val="top"/>
          </w:tcPr>
          <w:p w14:paraId="13B85BC1">
            <w:pPr>
              <w:rPr>
                <w:rFonts w:ascii="Arial"/>
                <w:sz w:val="21"/>
              </w:rPr>
            </w:pPr>
          </w:p>
        </w:tc>
      </w:tr>
      <w:tr w14:paraId="37167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39" w:type="dxa"/>
            <w:tcBorders>
              <w:left w:val="single" w:color="000000" w:sz="10" w:space="0"/>
              <w:bottom w:val="single" w:color="000000" w:sz="10" w:space="0"/>
            </w:tcBorders>
            <w:vAlign w:val="top"/>
          </w:tcPr>
          <w:p w14:paraId="5EA9499B">
            <w:pPr>
              <w:pStyle w:val="6"/>
              <w:spacing w:before="159" w:line="192" w:lineRule="auto"/>
              <w:ind w:left="255"/>
            </w:pPr>
            <w:r>
              <w:t>7</w:t>
            </w:r>
          </w:p>
        </w:tc>
        <w:tc>
          <w:tcPr>
            <w:tcW w:w="1412" w:type="dxa"/>
            <w:vMerge w:val="continue"/>
            <w:tcBorders>
              <w:top w:val="nil"/>
              <w:bottom w:val="single" w:color="000000" w:sz="10" w:space="0"/>
            </w:tcBorders>
            <w:vAlign w:val="top"/>
          </w:tcPr>
          <w:p w14:paraId="6A0344EB">
            <w:pPr>
              <w:rPr>
                <w:rFonts w:ascii="Arial"/>
                <w:sz w:val="21"/>
              </w:rPr>
            </w:pPr>
          </w:p>
        </w:tc>
        <w:tc>
          <w:tcPr>
            <w:tcW w:w="3274" w:type="dxa"/>
            <w:tcBorders>
              <w:bottom w:val="single" w:color="000000" w:sz="10" w:space="0"/>
            </w:tcBorders>
            <w:vAlign w:val="top"/>
          </w:tcPr>
          <w:p w14:paraId="1B423762">
            <w:pPr>
              <w:spacing w:before="118" w:line="229" w:lineRule="auto"/>
              <w:ind w:left="898"/>
              <w:rPr>
                <w:rFonts w:ascii="宋体" w:hAnsi="宋体" w:eastAsia="宋体" w:cs="宋体"/>
                <w:sz w:val="20"/>
                <w:szCs w:val="20"/>
              </w:rPr>
            </w:pPr>
            <w:r>
              <w:rPr>
                <w:rFonts w:ascii="宋体" w:hAnsi="宋体" w:eastAsia="宋体" w:cs="宋体"/>
                <w:spacing w:val="8"/>
                <w:sz w:val="20"/>
                <w:szCs w:val="20"/>
              </w:rPr>
              <w:t>三江口客运泊位</w:t>
            </w:r>
          </w:p>
        </w:tc>
        <w:tc>
          <w:tcPr>
            <w:tcW w:w="3125" w:type="dxa"/>
            <w:tcBorders>
              <w:bottom w:val="single" w:color="000000" w:sz="10" w:space="0"/>
            </w:tcBorders>
            <w:vAlign w:val="top"/>
          </w:tcPr>
          <w:p w14:paraId="3216EB33">
            <w:pPr>
              <w:spacing w:before="99"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tcBorders>
              <w:bottom w:val="single" w:color="000000" w:sz="10" w:space="0"/>
            </w:tcBorders>
            <w:vAlign w:val="top"/>
          </w:tcPr>
          <w:p w14:paraId="4FD8994B">
            <w:pPr>
              <w:rPr>
                <w:rFonts w:ascii="Arial"/>
                <w:sz w:val="21"/>
              </w:rPr>
            </w:pPr>
          </w:p>
        </w:tc>
        <w:tc>
          <w:tcPr>
            <w:tcW w:w="2066" w:type="dxa"/>
            <w:tcBorders>
              <w:bottom w:val="single" w:color="000000" w:sz="10" w:space="0"/>
            </w:tcBorders>
            <w:vAlign w:val="top"/>
          </w:tcPr>
          <w:p w14:paraId="6C4E3BED">
            <w:pPr>
              <w:rPr>
                <w:rFonts w:ascii="Arial"/>
                <w:sz w:val="21"/>
              </w:rPr>
            </w:pPr>
          </w:p>
        </w:tc>
        <w:tc>
          <w:tcPr>
            <w:tcW w:w="920" w:type="dxa"/>
            <w:tcBorders>
              <w:bottom w:val="single" w:color="000000" w:sz="10" w:space="0"/>
            </w:tcBorders>
            <w:vAlign w:val="top"/>
          </w:tcPr>
          <w:p w14:paraId="0520534C">
            <w:pPr>
              <w:spacing w:before="118"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tcBorders>
              <w:bottom w:val="single" w:color="000000" w:sz="10" w:space="0"/>
            </w:tcBorders>
            <w:vAlign w:val="top"/>
          </w:tcPr>
          <w:p w14:paraId="70125065">
            <w:pPr>
              <w:rPr>
                <w:rFonts w:ascii="Arial"/>
                <w:sz w:val="21"/>
              </w:rPr>
            </w:pPr>
          </w:p>
        </w:tc>
        <w:tc>
          <w:tcPr>
            <w:tcW w:w="1071" w:type="dxa"/>
            <w:tcBorders>
              <w:bottom w:val="single" w:color="000000" w:sz="10" w:space="0"/>
            </w:tcBorders>
            <w:vAlign w:val="top"/>
          </w:tcPr>
          <w:p w14:paraId="55F6C370">
            <w:pPr>
              <w:rPr>
                <w:rFonts w:ascii="Arial"/>
                <w:sz w:val="21"/>
              </w:rPr>
            </w:pPr>
          </w:p>
        </w:tc>
        <w:tc>
          <w:tcPr>
            <w:tcW w:w="1113" w:type="dxa"/>
            <w:tcBorders>
              <w:bottom w:val="single" w:color="000000" w:sz="10" w:space="0"/>
            </w:tcBorders>
            <w:vAlign w:val="top"/>
          </w:tcPr>
          <w:p w14:paraId="067BECC9">
            <w:pPr>
              <w:spacing w:before="117"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single" w:color="000000" w:sz="10" w:space="0"/>
            </w:tcBorders>
            <w:vAlign w:val="top"/>
          </w:tcPr>
          <w:p w14:paraId="51205D15">
            <w:pPr>
              <w:rPr>
                <w:rFonts w:ascii="Arial"/>
                <w:sz w:val="21"/>
              </w:rPr>
            </w:pPr>
          </w:p>
        </w:tc>
        <w:tc>
          <w:tcPr>
            <w:tcW w:w="3175" w:type="dxa"/>
            <w:tcBorders>
              <w:bottom w:val="single" w:color="000000" w:sz="10" w:space="0"/>
              <w:right w:val="single" w:color="000000" w:sz="10" w:space="0"/>
            </w:tcBorders>
            <w:vAlign w:val="top"/>
          </w:tcPr>
          <w:p w14:paraId="5FF7D2B1">
            <w:pPr>
              <w:rPr>
                <w:rFonts w:ascii="Arial"/>
                <w:sz w:val="21"/>
              </w:rPr>
            </w:pPr>
          </w:p>
        </w:tc>
      </w:tr>
    </w:tbl>
    <w:p w14:paraId="61777BE5">
      <w:pPr>
        <w:pStyle w:val="2"/>
        <w:spacing w:line="220" w:lineRule="exact"/>
        <w:rPr>
          <w:sz w:val="19"/>
        </w:rPr>
      </w:pPr>
    </w:p>
    <w:p w14:paraId="5044C0D9">
      <w:pPr>
        <w:spacing w:line="220" w:lineRule="exact"/>
        <w:rPr>
          <w:sz w:val="19"/>
          <w:szCs w:val="19"/>
        </w:rPr>
        <w:sectPr>
          <w:headerReference r:id="rId153" w:type="default"/>
          <w:footerReference r:id="rId154" w:type="default"/>
          <w:pgSz w:w="23812" w:h="16839"/>
          <w:pgMar w:top="1222" w:right="1407" w:bottom="1007" w:left="1387" w:header="885" w:footer="771" w:gutter="0"/>
          <w:cols w:space="720" w:num="1"/>
        </w:sectPr>
      </w:pPr>
    </w:p>
    <w:p w14:paraId="3D207DC2">
      <w:pPr>
        <w:spacing w:before="122"/>
      </w:pPr>
    </w:p>
    <w:tbl>
      <w:tblPr>
        <w:tblStyle w:val="5"/>
        <w:tblW w:w="209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9"/>
        <w:gridCol w:w="1412"/>
        <w:gridCol w:w="3274"/>
        <w:gridCol w:w="3125"/>
        <w:gridCol w:w="2204"/>
        <w:gridCol w:w="2066"/>
        <w:gridCol w:w="920"/>
        <w:gridCol w:w="963"/>
        <w:gridCol w:w="1071"/>
        <w:gridCol w:w="1113"/>
        <w:gridCol w:w="1028"/>
        <w:gridCol w:w="3175"/>
      </w:tblGrid>
      <w:tr w14:paraId="4E06E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639" w:type="dxa"/>
            <w:tcBorders>
              <w:top w:val="single" w:color="000000" w:sz="10" w:space="0"/>
              <w:left w:val="single" w:color="000000" w:sz="10" w:space="0"/>
            </w:tcBorders>
            <w:vAlign w:val="top"/>
          </w:tcPr>
          <w:p w14:paraId="1627D387">
            <w:pPr>
              <w:pStyle w:val="6"/>
              <w:spacing w:before="69" w:line="275" w:lineRule="exact"/>
              <w:ind w:left="260"/>
            </w:pPr>
            <w:r>
              <w:rPr>
                <w:position w:val="2"/>
              </w:rPr>
              <w:t>8</w:t>
            </w:r>
          </w:p>
        </w:tc>
        <w:tc>
          <w:tcPr>
            <w:tcW w:w="1412" w:type="dxa"/>
            <w:vMerge w:val="restart"/>
            <w:tcBorders>
              <w:top w:val="single" w:color="000000" w:sz="10" w:space="0"/>
              <w:bottom w:val="nil"/>
            </w:tcBorders>
            <w:vAlign w:val="top"/>
          </w:tcPr>
          <w:p w14:paraId="1EB804C0">
            <w:pPr>
              <w:rPr>
                <w:rFonts w:ascii="Arial"/>
                <w:sz w:val="21"/>
              </w:rPr>
            </w:pPr>
          </w:p>
        </w:tc>
        <w:tc>
          <w:tcPr>
            <w:tcW w:w="3274" w:type="dxa"/>
            <w:tcBorders>
              <w:top w:val="single" w:color="000000" w:sz="10" w:space="0"/>
            </w:tcBorders>
            <w:vAlign w:val="top"/>
          </w:tcPr>
          <w:p w14:paraId="5258DA28">
            <w:pPr>
              <w:spacing w:before="98" w:line="228" w:lineRule="auto"/>
              <w:ind w:left="1109"/>
              <w:rPr>
                <w:rFonts w:ascii="宋体" w:hAnsi="宋体" w:eastAsia="宋体" w:cs="宋体"/>
                <w:sz w:val="20"/>
                <w:szCs w:val="20"/>
              </w:rPr>
            </w:pPr>
            <w:r>
              <w:rPr>
                <w:rFonts w:ascii="宋体" w:hAnsi="宋体" w:eastAsia="宋体" w:cs="宋体"/>
                <w:spacing w:val="8"/>
                <w:sz w:val="20"/>
                <w:szCs w:val="20"/>
              </w:rPr>
              <w:t>三江口码头</w:t>
            </w:r>
          </w:p>
        </w:tc>
        <w:tc>
          <w:tcPr>
            <w:tcW w:w="3125" w:type="dxa"/>
            <w:tcBorders>
              <w:top w:val="single" w:color="000000" w:sz="10" w:space="0"/>
            </w:tcBorders>
            <w:vAlign w:val="top"/>
          </w:tcPr>
          <w:p w14:paraId="74B62043">
            <w:pPr>
              <w:spacing w:before="79"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tcBorders>
              <w:top w:val="single" w:color="000000" w:sz="10" w:space="0"/>
            </w:tcBorders>
            <w:vAlign w:val="top"/>
          </w:tcPr>
          <w:p w14:paraId="2F85DDA2">
            <w:pPr>
              <w:rPr>
                <w:rFonts w:ascii="Arial"/>
                <w:sz w:val="21"/>
              </w:rPr>
            </w:pPr>
          </w:p>
        </w:tc>
        <w:tc>
          <w:tcPr>
            <w:tcW w:w="2066" w:type="dxa"/>
            <w:tcBorders>
              <w:top w:val="single" w:color="000000" w:sz="10" w:space="0"/>
            </w:tcBorders>
            <w:vAlign w:val="top"/>
          </w:tcPr>
          <w:p w14:paraId="040E6B87">
            <w:pPr>
              <w:rPr>
                <w:rFonts w:ascii="Arial"/>
                <w:sz w:val="21"/>
              </w:rPr>
            </w:pPr>
          </w:p>
        </w:tc>
        <w:tc>
          <w:tcPr>
            <w:tcW w:w="920" w:type="dxa"/>
            <w:tcBorders>
              <w:top w:val="single" w:color="000000" w:sz="10" w:space="0"/>
            </w:tcBorders>
            <w:vAlign w:val="top"/>
          </w:tcPr>
          <w:p w14:paraId="07863EB5">
            <w:pPr>
              <w:spacing w:before="98"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tcBorders>
              <w:top w:val="single" w:color="000000" w:sz="10" w:space="0"/>
            </w:tcBorders>
            <w:vAlign w:val="top"/>
          </w:tcPr>
          <w:p w14:paraId="01F9AA30">
            <w:pPr>
              <w:rPr>
                <w:rFonts w:ascii="Arial"/>
                <w:sz w:val="21"/>
              </w:rPr>
            </w:pPr>
          </w:p>
        </w:tc>
        <w:tc>
          <w:tcPr>
            <w:tcW w:w="1071" w:type="dxa"/>
            <w:tcBorders>
              <w:top w:val="single" w:color="000000" w:sz="10" w:space="0"/>
            </w:tcBorders>
            <w:vAlign w:val="top"/>
          </w:tcPr>
          <w:p w14:paraId="59D89ECD">
            <w:pPr>
              <w:rPr>
                <w:rFonts w:ascii="Arial"/>
                <w:sz w:val="21"/>
              </w:rPr>
            </w:pPr>
          </w:p>
        </w:tc>
        <w:tc>
          <w:tcPr>
            <w:tcW w:w="1113" w:type="dxa"/>
            <w:tcBorders>
              <w:top w:val="single" w:color="000000" w:sz="10" w:space="0"/>
            </w:tcBorders>
            <w:vAlign w:val="top"/>
          </w:tcPr>
          <w:p w14:paraId="20185DF5">
            <w:pPr>
              <w:spacing w:before="97"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restart"/>
            <w:tcBorders>
              <w:top w:val="single" w:color="000000" w:sz="10" w:space="0"/>
              <w:bottom w:val="nil"/>
            </w:tcBorders>
            <w:vAlign w:val="top"/>
          </w:tcPr>
          <w:p w14:paraId="1203BBD0">
            <w:pPr>
              <w:rPr>
                <w:rFonts w:ascii="Arial"/>
                <w:sz w:val="21"/>
              </w:rPr>
            </w:pPr>
          </w:p>
        </w:tc>
        <w:tc>
          <w:tcPr>
            <w:tcW w:w="3175" w:type="dxa"/>
            <w:tcBorders>
              <w:top w:val="single" w:color="000000" w:sz="10" w:space="0"/>
              <w:right w:val="single" w:color="000000" w:sz="10" w:space="0"/>
            </w:tcBorders>
            <w:vAlign w:val="top"/>
          </w:tcPr>
          <w:p w14:paraId="5A0F4A0F">
            <w:pPr>
              <w:rPr>
                <w:rFonts w:ascii="Arial"/>
                <w:sz w:val="21"/>
              </w:rPr>
            </w:pPr>
          </w:p>
        </w:tc>
      </w:tr>
      <w:tr w14:paraId="41B66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D6CA26F">
            <w:pPr>
              <w:pStyle w:val="6"/>
              <w:spacing w:before="65" w:line="274" w:lineRule="exact"/>
              <w:ind w:left="256"/>
            </w:pPr>
            <w:r>
              <w:rPr>
                <w:position w:val="2"/>
              </w:rPr>
              <w:t>9</w:t>
            </w:r>
          </w:p>
        </w:tc>
        <w:tc>
          <w:tcPr>
            <w:tcW w:w="1412" w:type="dxa"/>
            <w:vMerge w:val="continue"/>
            <w:tcBorders>
              <w:top w:val="nil"/>
              <w:bottom w:val="nil"/>
            </w:tcBorders>
            <w:vAlign w:val="top"/>
          </w:tcPr>
          <w:p w14:paraId="1B770139">
            <w:pPr>
              <w:rPr>
                <w:rFonts w:ascii="Arial"/>
                <w:sz w:val="21"/>
              </w:rPr>
            </w:pPr>
          </w:p>
        </w:tc>
        <w:tc>
          <w:tcPr>
            <w:tcW w:w="3274" w:type="dxa"/>
            <w:vAlign w:val="top"/>
          </w:tcPr>
          <w:p w14:paraId="721B8E28">
            <w:pPr>
              <w:spacing w:before="96" w:line="228" w:lineRule="auto"/>
              <w:ind w:left="1109"/>
              <w:rPr>
                <w:rFonts w:ascii="宋体" w:hAnsi="宋体" w:eastAsia="宋体" w:cs="宋体"/>
                <w:sz w:val="20"/>
                <w:szCs w:val="20"/>
              </w:rPr>
            </w:pPr>
            <w:r>
              <w:rPr>
                <w:rFonts w:ascii="宋体" w:hAnsi="宋体" w:eastAsia="宋体" w:cs="宋体"/>
                <w:spacing w:val="8"/>
                <w:sz w:val="20"/>
                <w:szCs w:val="20"/>
              </w:rPr>
              <w:t>三江港道路</w:t>
            </w:r>
          </w:p>
        </w:tc>
        <w:tc>
          <w:tcPr>
            <w:tcW w:w="3125" w:type="dxa"/>
            <w:vAlign w:val="top"/>
          </w:tcPr>
          <w:p w14:paraId="46EDF9FA">
            <w:pPr>
              <w:spacing w:before="75"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348B2FDB">
            <w:pPr>
              <w:rPr>
                <w:rFonts w:ascii="Arial"/>
                <w:sz w:val="21"/>
              </w:rPr>
            </w:pPr>
          </w:p>
        </w:tc>
        <w:tc>
          <w:tcPr>
            <w:tcW w:w="2066" w:type="dxa"/>
            <w:vAlign w:val="top"/>
          </w:tcPr>
          <w:p w14:paraId="721F2666">
            <w:pPr>
              <w:rPr>
                <w:rFonts w:ascii="Arial"/>
                <w:sz w:val="21"/>
              </w:rPr>
            </w:pPr>
          </w:p>
        </w:tc>
        <w:tc>
          <w:tcPr>
            <w:tcW w:w="920" w:type="dxa"/>
            <w:vAlign w:val="top"/>
          </w:tcPr>
          <w:p w14:paraId="1601160E">
            <w:pPr>
              <w:spacing w:before="96"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6D8D5AB8">
            <w:pPr>
              <w:rPr>
                <w:rFonts w:ascii="Arial"/>
                <w:sz w:val="21"/>
              </w:rPr>
            </w:pPr>
          </w:p>
        </w:tc>
        <w:tc>
          <w:tcPr>
            <w:tcW w:w="1071" w:type="dxa"/>
            <w:vAlign w:val="top"/>
          </w:tcPr>
          <w:p w14:paraId="251C682C">
            <w:pPr>
              <w:pStyle w:val="6"/>
              <w:spacing w:before="65" w:line="274" w:lineRule="exact"/>
              <w:ind w:left="458"/>
            </w:pPr>
            <w:r>
              <w:rPr>
                <w:spacing w:val="-8"/>
                <w:position w:val="1"/>
              </w:rPr>
              <w:t>14</w:t>
            </w:r>
          </w:p>
        </w:tc>
        <w:tc>
          <w:tcPr>
            <w:tcW w:w="1113" w:type="dxa"/>
            <w:vAlign w:val="top"/>
          </w:tcPr>
          <w:p w14:paraId="4DC8C4D0">
            <w:pPr>
              <w:spacing w:before="95"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082C7FFE">
            <w:pPr>
              <w:rPr>
                <w:rFonts w:ascii="Arial"/>
                <w:sz w:val="21"/>
              </w:rPr>
            </w:pPr>
          </w:p>
        </w:tc>
        <w:tc>
          <w:tcPr>
            <w:tcW w:w="3175" w:type="dxa"/>
            <w:tcBorders>
              <w:right w:val="single" w:color="000000" w:sz="10" w:space="0"/>
            </w:tcBorders>
            <w:vAlign w:val="top"/>
          </w:tcPr>
          <w:p w14:paraId="6989E74C">
            <w:pPr>
              <w:rPr>
                <w:rFonts w:ascii="Arial"/>
                <w:sz w:val="21"/>
              </w:rPr>
            </w:pPr>
          </w:p>
        </w:tc>
      </w:tr>
      <w:tr w14:paraId="0B457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DD688B5">
            <w:pPr>
              <w:pStyle w:val="6"/>
              <w:spacing w:before="66" w:line="274" w:lineRule="exact"/>
              <w:ind w:left="219"/>
            </w:pPr>
            <w:r>
              <w:rPr>
                <w:spacing w:val="-8"/>
                <w:position w:val="2"/>
              </w:rPr>
              <w:t>10</w:t>
            </w:r>
          </w:p>
        </w:tc>
        <w:tc>
          <w:tcPr>
            <w:tcW w:w="1412" w:type="dxa"/>
            <w:vMerge w:val="continue"/>
            <w:tcBorders>
              <w:top w:val="nil"/>
              <w:bottom w:val="nil"/>
            </w:tcBorders>
            <w:vAlign w:val="top"/>
          </w:tcPr>
          <w:p w14:paraId="39411967">
            <w:pPr>
              <w:rPr>
                <w:rFonts w:ascii="Arial"/>
                <w:sz w:val="21"/>
              </w:rPr>
            </w:pPr>
          </w:p>
        </w:tc>
        <w:tc>
          <w:tcPr>
            <w:tcW w:w="3274" w:type="dxa"/>
            <w:vAlign w:val="top"/>
          </w:tcPr>
          <w:p w14:paraId="24C53285">
            <w:pPr>
              <w:spacing w:before="96" w:line="228" w:lineRule="auto"/>
              <w:ind w:left="899"/>
              <w:rPr>
                <w:rFonts w:ascii="宋体" w:hAnsi="宋体" w:eastAsia="宋体" w:cs="宋体"/>
                <w:sz w:val="20"/>
                <w:szCs w:val="20"/>
              </w:rPr>
            </w:pPr>
            <w:r>
              <w:rPr>
                <w:rFonts w:ascii="宋体" w:hAnsi="宋体" w:eastAsia="宋体" w:cs="宋体"/>
                <w:spacing w:val="8"/>
                <w:sz w:val="20"/>
                <w:szCs w:val="20"/>
              </w:rPr>
              <w:t>鲁布革货运码头</w:t>
            </w:r>
          </w:p>
        </w:tc>
        <w:tc>
          <w:tcPr>
            <w:tcW w:w="3125" w:type="dxa"/>
            <w:vAlign w:val="top"/>
          </w:tcPr>
          <w:p w14:paraId="3FC2C84D">
            <w:pPr>
              <w:spacing w:before="75"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7AAFE73E">
            <w:pPr>
              <w:rPr>
                <w:rFonts w:ascii="Arial"/>
                <w:sz w:val="21"/>
              </w:rPr>
            </w:pPr>
          </w:p>
        </w:tc>
        <w:tc>
          <w:tcPr>
            <w:tcW w:w="2066" w:type="dxa"/>
            <w:vAlign w:val="top"/>
          </w:tcPr>
          <w:p w14:paraId="48FB4179">
            <w:pPr>
              <w:rPr>
                <w:rFonts w:ascii="Arial"/>
                <w:sz w:val="21"/>
              </w:rPr>
            </w:pPr>
          </w:p>
        </w:tc>
        <w:tc>
          <w:tcPr>
            <w:tcW w:w="920" w:type="dxa"/>
            <w:vAlign w:val="top"/>
          </w:tcPr>
          <w:p w14:paraId="68F951BD">
            <w:pPr>
              <w:spacing w:before="97"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4BBDBF46">
            <w:pPr>
              <w:rPr>
                <w:rFonts w:ascii="Arial"/>
                <w:sz w:val="21"/>
              </w:rPr>
            </w:pPr>
          </w:p>
        </w:tc>
        <w:tc>
          <w:tcPr>
            <w:tcW w:w="1071" w:type="dxa"/>
            <w:vAlign w:val="top"/>
          </w:tcPr>
          <w:p w14:paraId="79DB6F5C">
            <w:pPr>
              <w:rPr>
                <w:rFonts w:ascii="Arial"/>
                <w:sz w:val="21"/>
              </w:rPr>
            </w:pPr>
          </w:p>
        </w:tc>
        <w:tc>
          <w:tcPr>
            <w:tcW w:w="1113" w:type="dxa"/>
            <w:vAlign w:val="top"/>
          </w:tcPr>
          <w:p w14:paraId="476119EE">
            <w:pPr>
              <w:spacing w:before="96"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16928A0C">
            <w:pPr>
              <w:rPr>
                <w:rFonts w:ascii="Arial"/>
                <w:sz w:val="21"/>
              </w:rPr>
            </w:pPr>
          </w:p>
        </w:tc>
        <w:tc>
          <w:tcPr>
            <w:tcW w:w="3175" w:type="dxa"/>
            <w:tcBorders>
              <w:right w:val="single" w:color="000000" w:sz="10" w:space="0"/>
            </w:tcBorders>
            <w:vAlign w:val="top"/>
          </w:tcPr>
          <w:p w14:paraId="1EBB1852">
            <w:pPr>
              <w:rPr>
                <w:rFonts w:ascii="Arial"/>
                <w:sz w:val="21"/>
              </w:rPr>
            </w:pPr>
          </w:p>
        </w:tc>
      </w:tr>
      <w:tr w14:paraId="372B3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2BD768BB">
            <w:pPr>
              <w:pStyle w:val="6"/>
              <w:spacing w:before="66" w:line="274" w:lineRule="exact"/>
              <w:ind w:left="219"/>
            </w:pPr>
            <w:r>
              <w:rPr>
                <w:spacing w:val="-8"/>
                <w:position w:val="1"/>
              </w:rPr>
              <w:t>11</w:t>
            </w:r>
          </w:p>
        </w:tc>
        <w:tc>
          <w:tcPr>
            <w:tcW w:w="1412" w:type="dxa"/>
            <w:vMerge w:val="continue"/>
            <w:tcBorders>
              <w:top w:val="nil"/>
              <w:bottom w:val="nil"/>
            </w:tcBorders>
            <w:vAlign w:val="top"/>
          </w:tcPr>
          <w:p w14:paraId="14C83959">
            <w:pPr>
              <w:rPr>
                <w:rFonts w:ascii="Arial"/>
                <w:sz w:val="21"/>
              </w:rPr>
            </w:pPr>
          </w:p>
        </w:tc>
        <w:tc>
          <w:tcPr>
            <w:tcW w:w="3274" w:type="dxa"/>
            <w:vAlign w:val="top"/>
          </w:tcPr>
          <w:p w14:paraId="6BC6F286">
            <w:pPr>
              <w:spacing w:before="97" w:line="228" w:lineRule="auto"/>
              <w:ind w:left="693"/>
              <w:rPr>
                <w:rFonts w:ascii="宋体" w:hAnsi="宋体" w:eastAsia="宋体" w:cs="宋体"/>
                <w:sz w:val="20"/>
                <w:szCs w:val="20"/>
              </w:rPr>
            </w:pPr>
            <w:r>
              <w:rPr>
                <w:rFonts w:ascii="宋体" w:hAnsi="宋体" w:eastAsia="宋体" w:cs="宋体"/>
                <w:spacing w:val="8"/>
                <w:sz w:val="20"/>
                <w:szCs w:val="20"/>
              </w:rPr>
              <w:t>天生桥航道维护码头</w:t>
            </w:r>
          </w:p>
        </w:tc>
        <w:tc>
          <w:tcPr>
            <w:tcW w:w="3125" w:type="dxa"/>
            <w:vAlign w:val="top"/>
          </w:tcPr>
          <w:p w14:paraId="78BA8C36">
            <w:pPr>
              <w:spacing w:before="78"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3DB7774C">
            <w:pPr>
              <w:rPr>
                <w:rFonts w:ascii="Arial"/>
                <w:sz w:val="21"/>
              </w:rPr>
            </w:pPr>
          </w:p>
        </w:tc>
        <w:tc>
          <w:tcPr>
            <w:tcW w:w="2066" w:type="dxa"/>
            <w:vAlign w:val="top"/>
          </w:tcPr>
          <w:p w14:paraId="42CE9AA7">
            <w:pPr>
              <w:rPr>
                <w:rFonts w:ascii="Arial"/>
                <w:sz w:val="21"/>
              </w:rPr>
            </w:pPr>
          </w:p>
        </w:tc>
        <w:tc>
          <w:tcPr>
            <w:tcW w:w="920" w:type="dxa"/>
            <w:vAlign w:val="top"/>
          </w:tcPr>
          <w:p w14:paraId="02E99AD8">
            <w:pPr>
              <w:spacing w:before="97"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1DDAB167">
            <w:pPr>
              <w:rPr>
                <w:rFonts w:ascii="Arial"/>
                <w:sz w:val="21"/>
              </w:rPr>
            </w:pPr>
          </w:p>
        </w:tc>
        <w:tc>
          <w:tcPr>
            <w:tcW w:w="1071" w:type="dxa"/>
            <w:vAlign w:val="top"/>
          </w:tcPr>
          <w:p w14:paraId="5946AD92">
            <w:pPr>
              <w:rPr>
                <w:rFonts w:ascii="Arial"/>
                <w:sz w:val="21"/>
              </w:rPr>
            </w:pPr>
          </w:p>
        </w:tc>
        <w:tc>
          <w:tcPr>
            <w:tcW w:w="1113" w:type="dxa"/>
            <w:vAlign w:val="top"/>
          </w:tcPr>
          <w:p w14:paraId="15CE38DA">
            <w:pPr>
              <w:spacing w:before="97"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363F9706">
            <w:pPr>
              <w:rPr>
                <w:rFonts w:ascii="Arial"/>
                <w:sz w:val="21"/>
              </w:rPr>
            </w:pPr>
          </w:p>
        </w:tc>
        <w:tc>
          <w:tcPr>
            <w:tcW w:w="3175" w:type="dxa"/>
            <w:tcBorders>
              <w:right w:val="single" w:color="000000" w:sz="10" w:space="0"/>
            </w:tcBorders>
            <w:vAlign w:val="top"/>
          </w:tcPr>
          <w:p w14:paraId="75749B9F">
            <w:pPr>
              <w:rPr>
                <w:rFonts w:ascii="Arial"/>
                <w:sz w:val="21"/>
              </w:rPr>
            </w:pPr>
          </w:p>
        </w:tc>
      </w:tr>
      <w:tr w14:paraId="14ADC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14078E92">
            <w:pPr>
              <w:pStyle w:val="6"/>
              <w:spacing w:before="69" w:line="274" w:lineRule="exact"/>
              <w:ind w:left="219"/>
            </w:pPr>
            <w:r>
              <w:rPr>
                <w:spacing w:val="-8"/>
                <w:position w:val="1"/>
              </w:rPr>
              <w:t>12</w:t>
            </w:r>
          </w:p>
        </w:tc>
        <w:tc>
          <w:tcPr>
            <w:tcW w:w="1412" w:type="dxa"/>
            <w:vMerge w:val="continue"/>
            <w:tcBorders>
              <w:top w:val="nil"/>
              <w:bottom w:val="nil"/>
            </w:tcBorders>
            <w:vAlign w:val="top"/>
          </w:tcPr>
          <w:p w14:paraId="02019141">
            <w:pPr>
              <w:rPr>
                <w:rFonts w:ascii="Arial"/>
                <w:sz w:val="21"/>
              </w:rPr>
            </w:pPr>
          </w:p>
        </w:tc>
        <w:tc>
          <w:tcPr>
            <w:tcW w:w="3274" w:type="dxa"/>
            <w:vAlign w:val="top"/>
          </w:tcPr>
          <w:p w14:paraId="5860D989">
            <w:pPr>
              <w:spacing w:before="97" w:line="228" w:lineRule="auto"/>
              <w:ind w:left="899"/>
              <w:rPr>
                <w:rFonts w:ascii="宋体" w:hAnsi="宋体" w:eastAsia="宋体" w:cs="宋体"/>
                <w:sz w:val="20"/>
                <w:szCs w:val="20"/>
              </w:rPr>
            </w:pPr>
            <w:r>
              <w:rPr>
                <w:rFonts w:ascii="宋体" w:hAnsi="宋体" w:eastAsia="宋体" w:cs="宋体"/>
                <w:spacing w:val="8"/>
                <w:sz w:val="20"/>
                <w:szCs w:val="20"/>
              </w:rPr>
              <w:t>鲁布革进港道路</w:t>
            </w:r>
          </w:p>
        </w:tc>
        <w:tc>
          <w:tcPr>
            <w:tcW w:w="3125" w:type="dxa"/>
            <w:vAlign w:val="top"/>
          </w:tcPr>
          <w:p w14:paraId="3E8EF929">
            <w:pPr>
              <w:spacing w:before="79"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011678E2">
            <w:pPr>
              <w:rPr>
                <w:rFonts w:ascii="Arial"/>
                <w:sz w:val="21"/>
              </w:rPr>
            </w:pPr>
          </w:p>
        </w:tc>
        <w:tc>
          <w:tcPr>
            <w:tcW w:w="2066" w:type="dxa"/>
            <w:vAlign w:val="top"/>
          </w:tcPr>
          <w:p w14:paraId="047A493D">
            <w:pPr>
              <w:rPr>
                <w:rFonts w:ascii="Arial"/>
                <w:sz w:val="21"/>
              </w:rPr>
            </w:pPr>
          </w:p>
        </w:tc>
        <w:tc>
          <w:tcPr>
            <w:tcW w:w="920" w:type="dxa"/>
            <w:vAlign w:val="top"/>
          </w:tcPr>
          <w:p w14:paraId="74F7CD90">
            <w:pPr>
              <w:spacing w:before="98"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5CD6D29B">
            <w:pPr>
              <w:rPr>
                <w:rFonts w:ascii="Arial"/>
                <w:sz w:val="21"/>
              </w:rPr>
            </w:pPr>
          </w:p>
        </w:tc>
        <w:tc>
          <w:tcPr>
            <w:tcW w:w="1071" w:type="dxa"/>
            <w:vAlign w:val="top"/>
          </w:tcPr>
          <w:p w14:paraId="0185F4C7">
            <w:pPr>
              <w:pStyle w:val="6"/>
              <w:spacing w:before="69" w:line="274" w:lineRule="exact"/>
              <w:ind w:left="379"/>
            </w:pPr>
            <w:r>
              <w:rPr>
                <w:spacing w:val="-2"/>
                <w:position w:val="2"/>
              </w:rPr>
              <w:t>10.5</w:t>
            </w:r>
          </w:p>
        </w:tc>
        <w:tc>
          <w:tcPr>
            <w:tcW w:w="1113" w:type="dxa"/>
            <w:vAlign w:val="top"/>
          </w:tcPr>
          <w:p w14:paraId="54E9DA60">
            <w:pPr>
              <w:spacing w:before="97"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7A20FDF8">
            <w:pPr>
              <w:rPr>
                <w:rFonts w:ascii="Arial"/>
                <w:sz w:val="21"/>
              </w:rPr>
            </w:pPr>
          </w:p>
        </w:tc>
        <w:tc>
          <w:tcPr>
            <w:tcW w:w="3175" w:type="dxa"/>
            <w:tcBorders>
              <w:right w:val="single" w:color="000000" w:sz="10" w:space="0"/>
            </w:tcBorders>
            <w:vAlign w:val="top"/>
          </w:tcPr>
          <w:p w14:paraId="7E337A98">
            <w:pPr>
              <w:rPr>
                <w:rFonts w:ascii="Arial"/>
                <w:sz w:val="21"/>
              </w:rPr>
            </w:pPr>
          </w:p>
        </w:tc>
      </w:tr>
      <w:tr w14:paraId="67316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39" w:type="dxa"/>
            <w:tcBorders>
              <w:left w:val="single" w:color="000000" w:sz="10" w:space="0"/>
            </w:tcBorders>
            <w:vAlign w:val="top"/>
          </w:tcPr>
          <w:p w14:paraId="3238265B">
            <w:pPr>
              <w:spacing w:line="318" w:lineRule="auto"/>
              <w:rPr>
                <w:rFonts w:ascii="Arial"/>
                <w:sz w:val="21"/>
              </w:rPr>
            </w:pPr>
          </w:p>
          <w:p w14:paraId="2630FFC2">
            <w:pPr>
              <w:pStyle w:val="6"/>
              <w:spacing w:before="57" w:line="274" w:lineRule="exact"/>
              <w:ind w:left="219"/>
            </w:pPr>
            <w:r>
              <w:rPr>
                <w:spacing w:val="-8"/>
                <w:position w:val="2"/>
              </w:rPr>
              <w:t>13</w:t>
            </w:r>
          </w:p>
        </w:tc>
        <w:tc>
          <w:tcPr>
            <w:tcW w:w="1412" w:type="dxa"/>
            <w:vMerge w:val="continue"/>
            <w:tcBorders>
              <w:top w:val="nil"/>
              <w:bottom w:val="nil"/>
            </w:tcBorders>
            <w:vAlign w:val="top"/>
          </w:tcPr>
          <w:p w14:paraId="3277D3B1">
            <w:pPr>
              <w:rPr>
                <w:rFonts w:ascii="Arial"/>
                <w:sz w:val="21"/>
              </w:rPr>
            </w:pPr>
          </w:p>
        </w:tc>
        <w:tc>
          <w:tcPr>
            <w:tcW w:w="3274" w:type="dxa"/>
            <w:vAlign w:val="top"/>
          </w:tcPr>
          <w:p w14:paraId="117C8390">
            <w:pPr>
              <w:pStyle w:val="6"/>
              <w:spacing w:before="48" w:line="274" w:lineRule="exact"/>
              <w:jc w:val="right"/>
              <w:rPr>
                <w:rFonts w:ascii="宋体" w:hAnsi="宋体" w:eastAsia="宋体" w:cs="宋体"/>
              </w:rPr>
            </w:pPr>
            <w:r>
              <w:rPr>
                <w:spacing w:val="-1"/>
                <w:position w:val="1"/>
              </w:rPr>
              <w:t xml:space="preserve">10 </w:t>
            </w:r>
            <w:r>
              <w:rPr>
                <w:rFonts w:ascii="宋体" w:hAnsi="宋体" w:eastAsia="宋体" w:cs="宋体"/>
                <w:spacing w:val="-1"/>
                <w:position w:val="1"/>
              </w:rPr>
              <w:t>个停靠点（大红斑、当别、干河、</w:t>
            </w:r>
          </w:p>
          <w:p w14:paraId="6B2EF1AC">
            <w:pPr>
              <w:spacing w:before="85" w:line="228" w:lineRule="auto"/>
              <w:ind w:left="64"/>
              <w:rPr>
                <w:rFonts w:ascii="宋体" w:hAnsi="宋体" w:eastAsia="宋体" w:cs="宋体"/>
                <w:sz w:val="20"/>
                <w:szCs w:val="20"/>
              </w:rPr>
            </w:pPr>
            <w:r>
              <w:rPr>
                <w:rFonts w:ascii="宋体" w:hAnsi="宋体" w:eastAsia="宋体" w:cs="宋体"/>
                <w:spacing w:val="9"/>
                <w:sz w:val="20"/>
                <w:szCs w:val="20"/>
              </w:rPr>
              <w:t>高寨、更邓、小马哈、小舍王、新</w:t>
            </w:r>
          </w:p>
          <w:p w14:paraId="6CFBBC81">
            <w:pPr>
              <w:spacing w:before="79" w:line="228" w:lineRule="auto"/>
              <w:ind w:left="795"/>
              <w:rPr>
                <w:rFonts w:ascii="宋体" w:hAnsi="宋体" w:eastAsia="宋体" w:cs="宋体"/>
                <w:sz w:val="20"/>
                <w:szCs w:val="20"/>
              </w:rPr>
            </w:pPr>
            <w:r>
              <w:rPr>
                <w:rFonts w:ascii="宋体" w:hAnsi="宋体" w:eastAsia="宋体" w:cs="宋体"/>
                <w:spacing w:val="7"/>
                <w:sz w:val="20"/>
                <w:szCs w:val="20"/>
              </w:rPr>
              <w:t>寨、俄党、舍坡）</w:t>
            </w:r>
          </w:p>
        </w:tc>
        <w:tc>
          <w:tcPr>
            <w:tcW w:w="3125" w:type="dxa"/>
            <w:vAlign w:val="top"/>
          </w:tcPr>
          <w:p w14:paraId="3158646A">
            <w:pPr>
              <w:spacing w:before="79"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0509AF00">
            <w:pPr>
              <w:rPr>
                <w:rFonts w:ascii="Arial"/>
                <w:sz w:val="21"/>
              </w:rPr>
            </w:pPr>
          </w:p>
        </w:tc>
        <w:tc>
          <w:tcPr>
            <w:tcW w:w="2066" w:type="dxa"/>
            <w:vAlign w:val="top"/>
          </w:tcPr>
          <w:p w14:paraId="78F31CDE">
            <w:pPr>
              <w:rPr>
                <w:rFonts w:ascii="Arial"/>
                <w:sz w:val="21"/>
              </w:rPr>
            </w:pPr>
          </w:p>
        </w:tc>
        <w:tc>
          <w:tcPr>
            <w:tcW w:w="920" w:type="dxa"/>
            <w:vAlign w:val="top"/>
          </w:tcPr>
          <w:p w14:paraId="4E968FBD">
            <w:pPr>
              <w:spacing w:line="341" w:lineRule="auto"/>
              <w:rPr>
                <w:rFonts w:ascii="Arial"/>
                <w:sz w:val="21"/>
              </w:rPr>
            </w:pPr>
          </w:p>
          <w:p w14:paraId="19228C51">
            <w:pPr>
              <w:spacing w:before="65"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14D0B937">
            <w:pPr>
              <w:rPr>
                <w:rFonts w:ascii="Arial"/>
                <w:sz w:val="21"/>
              </w:rPr>
            </w:pPr>
          </w:p>
        </w:tc>
        <w:tc>
          <w:tcPr>
            <w:tcW w:w="1071" w:type="dxa"/>
            <w:vAlign w:val="top"/>
          </w:tcPr>
          <w:p w14:paraId="38F9E130">
            <w:pPr>
              <w:rPr>
                <w:rFonts w:ascii="Arial"/>
                <w:sz w:val="21"/>
              </w:rPr>
            </w:pPr>
          </w:p>
        </w:tc>
        <w:tc>
          <w:tcPr>
            <w:tcW w:w="1113" w:type="dxa"/>
            <w:vAlign w:val="top"/>
          </w:tcPr>
          <w:p w14:paraId="3D0FA012">
            <w:pPr>
              <w:spacing w:line="340" w:lineRule="auto"/>
              <w:rPr>
                <w:rFonts w:ascii="Arial"/>
                <w:sz w:val="21"/>
              </w:rPr>
            </w:pPr>
          </w:p>
          <w:p w14:paraId="7415E088">
            <w:pPr>
              <w:spacing w:before="65"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1495C648">
            <w:pPr>
              <w:rPr>
                <w:rFonts w:ascii="Arial"/>
                <w:sz w:val="21"/>
              </w:rPr>
            </w:pPr>
          </w:p>
        </w:tc>
        <w:tc>
          <w:tcPr>
            <w:tcW w:w="3175" w:type="dxa"/>
            <w:tcBorders>
              <w:right w:val="single" w:color="000000" w:sz="10" w:space="0"/>
            </w:tcBorders>
            <w:vAlign w:val="top"/>
          </w:tcPr>
          <w:p w14:paraId="43B4277E">
            <w:pPr>
              <w:rPr>
                <w:rFonts w:ascii="Arial"/>
                <w:sz w:val="21"/>
              </w:rPr>
            </w:pPr>
          </w:p>
        </w:tc>
      </w:tr>
      <w:tr w14:paraId="13241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45796E54">
            <w:pPr>
              <w:pStyle w:val="6"/>
              <w:spacing w:before="71" w:line="274" w:lineRule="exact"/>
              <w:ind w:left="219"/>
            </w:pPr>
            <w:r>
              <w:rPr>
                <w:spacing w:val="-8"/>
                <w:position w:val="1"/>
              </w:rPr>
              <w:t>14</w:t>
            </w:r>
          </w:p>
        </w:tc>
        <w:tc>
          <w:tcPr>
            <w:tcW w:w="1412" w:type="dxa"/>
            <w:vMerge w:val="continue"/>
            <w:tcBorders>
              <w:top w:val="nil"/>
              <w:bottom w:val="nil"/>
            </w:tcBorders>
            <w:vAlign w:val="top"/>
          </w:tcPr>
          <w:p w14:paraId="57639BDD">
            <w:pPr>
              <w:rPr>
                <w:rFonts w:ascii="Arial"/>
                <w:sz w:val="21"/>
              </w:rPr>
            </w:pPr>
          </w:p>
        </w:tc>
        <w:tc>
          <w:tcPr>
            <w:tcW w:w="3274" w:type="dxa"/>
            <w:vAlign w:val="top"/>
          </w:tcPr>
          <w:p w14:paraId="36189085">
            <w:pPr>
              <w:spacing w:before="102" w:line="228" w:lineRule="auto"/>
              <w:ind w:left="1006"/>
              <w:rPr>
                <w:rFonts w:ascii="宋体" w:hAnsi="宋体" w:eastAsia="宋体" w:cs="宋体"/>
                <w:sz w:val="20"/>
                <w:szCs w:val="20"/>
              </w:rPr>
            </w:pPr>
            <w:r>
              <w:rPr>
                <w:rFonts w:ascii="宋体" w:hAnsi="宋体" w:eastAsia="宋体" w:cs="宋体"/>
                <w:spacing w:val="7"/>
                <w:sz w:val="20"/>
                <w:szCs w:val="20"/>
              </w:rPr>
              <w:t>综合管理用房</w:t>
            </w:r>
          </w:p>
        </w:tc>
        <w:tc>
          <w:tcPr>
            <w:tcW w:w="3125" w:type="dxa"/>
            <w:vAlign w:val="top"/>
          </w:tcPr>
          <w:p w14:paraId="61F9DEDA">
            <w:pPr>
              <w:spacing w:before="80" w:line="228" w:lineRule="auto"/>
              <w:ind w:left="829"/>
              <w:rPr>
                <w:rFonts w:ascii="宋体" w:hAnsi="宋体" w:eastAsia="宋体" w:cs="宋体"/>
                <w:sz w:val="20"/>
                <w:szCs w:val="20"/>
              </w:rPr>
            </w:pPr>
            <w:r>
              <w:rPr>
                <w:rFonts w:ascii="宋体" w:hAnsi="宋体" w:eastAsia="宋体" w:cs="宋体"/>
                <w:spacing w:val="8"/>
                <w:sz w:val="20"/>
                <w:szCs w:val="20"/>
              </w:rPr>
              <w:t>鲁布革电站库区</w:t>
            </w:r>
          </w:p>
        </w:tc>
        <w:tc>
          <w:tcPr>
            <w:tcW w:w="2204" w:type="dxa"/>
            <w:vAlign w:val="top"/>
          </w:tcPr>
          <w:p w14:paraId="28AF760B">
            <w:pPr>
              <w:rPr>
                <w:rFonts w:ascii="Arial"/>
                <w:sz w:val="21"/>
              </w:rPr>
            </w:pPr>
          </w:p>
        </w:tc>
        <w:tc>
          <w:tcPr>
            <w:tcW w:w="2066" w:type="dxa"/>
            <w:vAlign w:val="top"/>
          </w:tcPr>
          <w:p w14:paraId="7B8C57C7">
            <w:pPr>
              <w:rPr>
                <w:rFonts w:ascii="Arial"/>
                <w:sz w:val="21"/>
              </w:rPr>
            </w:pPr>
          </w:p>
        </w:tc>
        <w:tc>
          <w:tcPr>
            <w:tcW w:w="920" w:type="dxa"/>
            <w:vAlign w:val="top"/>
          </w:tcPr>
          <w:p w14:paraId="0D77D774">
            <w:pPr>
              <w:spacing w:before="102"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A36EC6C">
            <w:pPr>
              <w:rPr>
                <w:rFonts w:ascii="Arial"/>
                <w:sz w:val="21"/>
              </w:rPr>
            </w:pPr>
          </w:p>
        </w:tc>
        <w:tc>
          <w:tcPr>
            <w:tcW w:w="1071" w:type="dxa"/>
            <w:vAlign w:val="top"/>
          </w:tcPr>
          <w:p w14:paraId="5A1ACA0B">
            <w:pPr>
              <w:rPr>
                <w:rFonts w:ascii="Arial"/>
                <w:sz w:val="21"/>
              </w:rPr>
            </w:pPr>
          </w:p>
        </w:tc>
        <w:tc>
          <w:tcPr>
            <w:tcW w:w="1113" w:type="dxa"/>
            <w:vAlign w:val="top"/>
          </w:tcPr>
          <w:p w14:paraId="4958DFC6">
            <w:pPr>
              <w:spacing w:before="101"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6AB01502">
            <w:pPr>
              <w:rPr>
                <w:rFonts w:ascii="Arial"/>
                <w:sz w:val="21"/>
              </w:rPr>
            </w:pPr>
          </w:p>
        </w:tc>
        <w:tc>
          <w:tcPr>
            <w:tcW w:w="3175" w:type="dxa"/>
            <w:tcBorders>
              <w:right w:val="single" w:color="000000" w:sz="10" w:space="0"/>
            </w:tcBorders>
            <w:vAlign w:val="top"/>
          </w:tcPr>
          <w:p w14:paraId="09489229">
            <w:pPr>
              <w:rPr>
                <w:rFonts w:ascii="Arial"/>
                <w:sz w:val="21"/>
              </w:rPr>
            </w:pPr>
          </w:p>
        </w:tc>
      </w:tr>
      <w:tr w14:paraId="7A6329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5EE9B57D">
            <w:pPr>
              <w:pStyle w:val="6"/>
              <w:spacing w:before="71" w:line="275" w:lineRule="exact"/>
              <w:ind w:left="219"/>
            </w:pPr>
            <w:r>
              <w:rPr>
                <w:spacing w:val="-8"/>
                <w:position w:val="2"/>
              </w:rPr>
              <w:t>15</w:t>
            </w:r>
          </w:p>
        </w:tc>
        <w:tc>
          <w:tcPr>
            <w:tcW w:w="1412" w:type="dxa"/>
            <w:vMerge w:val="continue"/>
            <w:tcBorders>
              <w:top w:val="nil"/>
              <w:bottom w:val="nil"/>
            </w:tcBorders>
            <w:vAlign w:val="top"/>
          </w:tcPr>
          <w:p w14:paraId="1111BBF2">
            <w:pPr>
              <w:rPr>
                <w:rFonts w:ascii="Arial"/>
                <w:sz w:val="21"/>
              </w:rPr>
            </w:pPr>
          </w:p>
        </w:tc>
        <w:tc>
          <w:tcPr>
            <w:tcW w:w="3274" w:type="dxa"/>
            <w:vAlign w:val="top"/>
          </w:tcPr>
          <w:p w14:paraId="160877A5">
            <w:pPr>
              <w:spacing w:before="102" w:line="228" w:lineRule="auto"/>
              <w:ind w:left="801"/>
              <w:rPr>
                <w:rFonts w:ascii="宋体" w:hAnsi="宋体" w:eastAsia="宋体" w:cs="宋体"/>
                <w:sz w:val="20"/>
                <w:szCs w:val="20"/>
              </w:rPr>
            </w:pPr>
            <w:r>
              <w:rPr>
                <w:rFonts w:ascii="宋体" w:hAnsi="宋体" w:eastAsia="宋体" w:cs="宋体"/>
                <w:spacing w:val="7"/>
                <w:sz w:val="20"/>
                <w:szCs w:val="20"/>
              </w:rPr>
              <w:t>飞龙瀑布码头建设</w:t>
            </w:r>
          </w:p>
        </w:tc>
        <w:tc>
          <w:tcPr>
            <w:tcW w:w="3125" w:type="dxa"/>
            <w:vAlign w:val="top"/>
          </w:tcPr>
          <w:p w14:paraId="2ADBB733">
            <w:pPr>
              <w:spacing w:before="83" w:line="228" w:lineRule="auto"/>
              <w:ind w:left="829"/>
              <w:rPr>
                <w:rFonts w:ascii="宋体" w:hAnsi="宋体" w:eastAsia="宋体" w:cs="宋体"/>
                <w:sz w:val="20"/>
                <w:szCs w:val="20"/>
              </w:rPr>
            </w:pPr>
            <w:r>
              <w:rPr>
                <w:rFonts w:ascii="宋体" w:hAnsi="宋体" w:eastAsia="宋体" w:cs="宋体"/>
                <w:spacing w:val="8"/>
                <w:sz w:val="20"/>
                <w:szCs w:val="20"/>
              </w:rPr>
              <w:t>鲁布革电站库区</w:t>
            </w:r>
          </w:p>
        </w:tc>
        <w:tc>
          <w:tcPr>
            <w:tcW w:w="2204" w:type="dxa"/>
            <w:vAlign w:val="top"/>
          </w:tcPr>
          <w:p w14:paraId="4B126332">
            <w:pPr>
              <w:rPr>
                <w:rFonts w:ascii="Arial"/>
                <w:sz w:val="21"/>
              </w:rPr>
            </w:pPr>
          </w:p>
        </w:tc>
        <w:tc>
          <w:tcPr>
            <w:tcW w:w="2066" w:type="dxa"/>
            <w:vAlign w:val="top"/>
          </w:tcPr>
          <w:p w14:paraId="08D961D3">
            <w:pPr>
              <w:rPr>
                <w:rFonts w:ascii="Arial"/>
                <w:sz w:val="21"/>
              </w:rPr>
            </w:pPr>
          </w:p>
        </w:tc>
        <w:tc>
          <w:tcPr>
            <w:tcW w:w="920" w:type="dxa"/>
            <w:vAlign w:val="top"/>
          </w:tcPr>
          <w:p w14:paraId="4730504B">
            <w:pPr>
              <w:spacing w:before="102"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A89AFE8">
            <w:pPr>
              <w:rPr>
                <w:rFonts w:ascii="Arial"/>
                <w:sz w:val="21"/>
              </w:rPr>
            </w:pPr>
          </w:p>
        </w:tc>
        <w:tc>
          <w:tcPr>
            <w:tcW w:w="1071" w:type="dxa"/>
            <w:vAlign w:val="top"/>
          </w:tcPr>
          <w:p w14:paraId="6EDC9E52">
            <w:pPr>
              <w:rPr>
                <w:rFonts w:ascii="Arial"/>
                <w:sz w:val="21"/>
              </w:rPr>
            </w:pPr>
          </w:p>
        </w:tc>
        <w:tc>
          <w:tcPr>
            <w:tcW w:w="1113" w:type="dxa"/>
            <w:vAlign w:val="top"/>
          </w:tcPr>
          <w:p w14:paraId="7FEBA3E0">
            <w:pPr>
              <w:spacing w:before="102"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11AF1A82">
            <w:pPr>
              <w:rPr>
                <w:rFonts w:ascii="Arial"/>
                <w:sz w:val="21"/>
              </w:rPr>
            </w:pPr>
          </w:p>
        </w:tc>
        <w:tc>
          <w:tcPr>
            <w:tcW w:w="3175" w:type="dxa"/>
            <w:tcBorders>
              <w:right w:val="single" w:color="000000" w:sz="10" w:space="0"/>
            </w:tcBorders>
            <w:vAlign w:val="top"/>
          </w:tcPr>
          <w:p w14:paraId="6E25EA71">
            <w:pPr>
              <w:rPr>
                <w:rFonts w:ascii="Arial"/>
                <w:sz w:val="21"/>
              </w:rPr>
            </w:pPr>
          </w:p>
        </w:tc>
      </w:tr>
      <w:tr w14:paraId="04BBE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78F5B840">
            <w:pPr>
              <w:pStyle w:val="6"/>
              <w:spacing w:before="216" w:line="274" w:lineRule="exact"/>
              <w:ind w:left="219"/>
            </w:pPr>
            <w:r>
              <w:rPr>
                <w:spacing w:val="-8"/>
                <w:position w:val="2"/>
              </w:rPr>
              <w:t>16</w:t>
            </w:r>
          </w:p>
        </w:tc>
        <w:tc>
          <w:tcPr>
            <w:tcW w:w="1412" w:type="dxa"/>
            <w:vMerge w:val="continue"/>
            <w:tcBorders>
              <w:top w:val="nil"/>
            </w:tcBorders>
            <w:vAlign w:val="top"/>
          </w:tcPr>
          <w:p w14:paraId="38F80FBC">
            <w:pPr>
              <w:rPr>
                <w:rFonts w:ascii="Arial"/>
                <w:sz w:val="21"/>
              </w:rPr>
            </w:pPr>
          </w:p>
        </w:tc>
        <w:tc>
          <w:tcPr>
            <w:tcW w:w="3274" w:type="dxa"/>
            <w:vAlign w:val="top"/>
          </w:tcPr>
          <w:p w14:paraId="0C8314AE">
            <w:pPr>
              <w:pStyle w:val="6"/>
              <w:spacing w:before="83" w:line="228" w:lineRule="auto"/>
              <w:jc w:val="right"/>
              <w:rPr>
                <w:rFonts w:ascii="宋体" w:hAnsi="宋体" w:eastAsia="宋体" w:cs="宋体"/>
              </w:rPr>
            </w:pPr>
            <w:r>
              <w:rPr>
                <w:spacing w:val="-6"/>
              </w:rPr>
              <w:t xml:space="preserve">7 </w:t>
            </w:r>
            <w:r>
              <w:rPr>
                <w:rFonts w:ascii="宋体" w:hAnsi="宋体" w:eastAsia="宋体" w:cs="宋体"/>
                <w:spacing w:val="-6"/>
              </w:rPr>
              <w:t>个停靠点（松树林、中寨、石岩脚、</w:t>
            </w:r>
          </w:p>
          <w:p w14:paraId="4B0DA3DC">
            <w:pPr>
              <w:spacing w:before="80" w:line="228" w:lineRule="auto"/>
              <w:ind w:left="273"/>
              <w:rPr>
                <w:rFonts w:ascii="宋体" w:hAnsi="宋体" w:eastAsia="宋体" w:cs="宋体"/>
                <w:sz w:val="20"/>
                <w:szCs w:val="20"/>
              </w:rPr>
            </w:pPr>
            <w:r>
              <w:rPr>
                <w:rFonts w:ascii="宋体" w:hAnsi="宋体" w:eastAsia="宋体" w:cs="宋体"/>
                <w:spacing w:val="8"/>
                <w:sz w:val="20"/>
                <w:szCs w:val="20"/>
              </w:rPr>
              <w:t>乍拉、罗多克、鲁邑、妥者）</w:t>
            </w:r>
          </w:p>
        </w:tc>
        <w:tc>
          <w:tcPr>
            <w:tcW w:w="3125" w:type="dxa"/>
            <w:vAlign w:val="top"/>
          </w:tcPr>
          <w:p w14:paraId="6CEC7F95">
            <w:pPr>
              <w:spacing w:before="83" w:line="228" w:lineRule="auto"/>
              <w:ind w:left="829"/>
              <w:rPr>
                <w:rFonts w:ascii="宋体" w:hAnsi="宋体" w:eastAsia="宋体" w:cs="宋体"/>
                <w:sz w:val="20"/>
                <w:szCs w:val="20"/>
              </w:rPr>
            </w:pPr>
            <w:r>
              <w:rPr>
                <w:rFonts w:ascii="宋体" w:hAnsi="宋体" w:eastAsia="宋体" w:cs="宋体"/>
                <w:spacing w:val="8"/>
                <w:sz w:val="20"/>
                <w:szCs w:val="20"/>
              </w:rPr>
              <w:t>鲁布革电站库区</w:t>
            </w:r>
          </w:p>
        </w:tc>
        <w:tc>
          <w:tcPr>
            <w:tcW w:w="2204" w:type="dxa"/>
            <w:vAlign w:val="top"/>
          </w:tcPr>
          <w:p w14:paraId="2263B09E">
            <w:pPr>
              <w:rPr>
                <w:rFonts w:ascii="Arial"/>
                <w:sz w:val="21"/>
              </w:rPr>
            </w:pPr>
          </w:p>
        </w:tc>
        <w:tc>
          <w:tcPr>
            <w:tcW w:w="2066" w:type="dxa"/>
            <w:vAlign w:val="top"/>
          </w:tcPr>
          <w:p w14:paraId="39193DE9">
            <w:pPr>
              <w:rPr>
                <w:rFonts w:ascii="Arial"/>
                <w:sz w:val="21"/>
              </w:rPr>
            </w:pPr>
          </w:p>
        </w:tc>
        <w:tc>
          <w:tcPr>
            <w:tcW w:w="920" w:type="dxa"/>
            <w:vAlign w:val="top"/>
          </w:tcPr>
          <w:p w14:paraId="71F1CE94">
            <w:pPr>
              <w:spacing w:before="247"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EA62D08">
            <w:pPr>
              <w:rPr>
                <w:rFonts w:ascii="Arial"/>
                <w:sz w:val="21"/>
              </w:rPr>
            </w:pPr>
          </w:p>
        </w:tc>
        <w:tc>
          <w:tcPr>
            <w:tcW w:w="1071" w:type="dxa"/>
            <w:vAlign w:val="top"/>
          </w:tcPr>
          <w:p w14:paraId="6967D169">
            <w:pPr>
              <w:rPr>
                <w:rFonts w:ascii="Arial"/>
                <w:sz w:val="21"/>
              </w:rPr>
            </w:pPr>
          </w:p>
        </w:tc>
        <w:tc>
          <w:tcPr>
            <w:tcW w:w="1113" w:type="dxa"/>
            <w:vAlign w:val="top"/>
          </w:tcPr>
          <w:p w14:paraId="7C63A6A2">
            <w:pPr>
              <w:spacing w:before="246"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tcBorders>
            <w:vAlign w:val="top"/>
          </w:tcPr>
          <w:p w14:paraId="3C5AB2A7">
            <w:pPr>
              <w:rPr>
                <w:rFonts w:ascii="Arial"/>
                <w:sz w:val="21"/>
              </w:rPr>
            </w:pPr>
          </w:p>
        </w:tc>
        <w:tc>
          <w:tcPr>
            <w:tcW w:w="3175" w:type="dxa"/>
            <w:tcBorders>
              <w:right w:val="single" w:color="000000" w:sz="10" w:space="0"/>
            </w:tcBorders>
            <w:vAlign w:val="top"/>
          </w:tcPr>
          <w:p w14:paraId="354F3D98">
            <w:pPr>
              <w:rPr>
                <w:rFonts w:ascii="Arial"/>
                <w:sz w:val="21"/>
              </w:rPr>
            </w:pPr>
          </w:p>
        </w:tc>
      </w:tr>
      <w:tr w14:paraId="23829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FE2E56D">
            <w:pPr>
              <w:pStyle w:val="6"/>
              <w:spacing w:before="74" w:line="274" w:lineRule="exact"/>
              <w:ind w:left="219"/>
            </w:pPr>
            <w:r>
              <w:rPr>
                <w:spacing w:val="-8"/>
                <w:position w:val="2"/>
              </w:rPr>
              <w:t>17</w:t>
            </w:r>
          </w:p>
        </w:tc>
        <w:tc>
          <w:tcPr>
            <w:tcW w:w="1412" w:type="dxa"/>
            <w:vMerge w:val="restart"/>
            <w:tcBorders>
              <w:bottom w:val="nil"/>
            </w:tcBorders>
            <w:vAlign w:val="top"/>
          </w:tcPr>
          <w:p w14:paraId="6C39579C">
            <w:pPr>
              <w:spacing w:line="310" w:lineRule="auto"/>
              <w:rPr>
                <w:rFonts w:ascii="Arial"/>
                <w:sz w:val="21"/>
              </w:rPr>
            </w:pPr>
          </w:p>
          <w:p w14:paraId="0BA332FA">
            <w:pPr>
              <w:spacing w:line="311" w:lineRule="auto"/>
              <w:rPr>
                <w:rFonts w:ascii="Arial"/>
                <w:sz w:val="21"/>
              </w:rPr>
            </w:pPr>
          </w:p>
          <w:p w14:paraId="2E90E79A">
            <w:pPr>
              <w:spacing w:line="311" w:lineRule="auto"/>
              <w:rPr>
                <w:rFonts w:ascii="Arial"/>
                <w:sz w:val="21"/>
              </w:rPr>
            </w:pPr>
          </w:p>
          <w:p w14:paraId="6751E5C4">
            <w:pPr>
              <w:spacing w:before="65" w:line="228" w:lineRule="auto"/>
              <w:ind w:left="389"/>
              <w:rPr>
                <w:rFonts w:ascii="宋体" w:hAnsi="宋体" w:eastAsia="宋体" w:cs="宋体"/>
                <w:sz w:val="20"/>
                <w:szCs w:val="20"/>
              </w:rPr>
            </w:pPr>
            <w:r>
              <w:rPr>
                <w:rFonts w:ascii="宋体" w:hAnsi="宋体" w:eastAsia="宋体" w:cs="宋体"/>
                <w:spacing w:val="5"/>
                <w:sz w:val="20"/>
                <w:szCs w:val="20"/>
              </w:rPr>
              <w:t>师宗县</w:t>
            </w:r>
          </w:p>
        </w:tc>
        <w:tc>
          <w:tcPr>
            <w:tcW w:w="3274" w:type="dxa"/>
            <w:vAlign w:val="top"/>
          </w:tcPr>
          <w:p w14:paraId="7F3C93A3">
            <w:pPr>
              <w:spacing w:before="104" w:line="228" w:lineRule="auto"/>
              <w:ind w:left="1216"/>
              <w:rPr>
                <w:rFonts w:ascii="宋体" w:hAnsi="宋体" w:eastAsia="宋体" w:cs="宋体"/>
                <w:sz w:val="20"/>
                <w:szCs w:val="20"/>
              </w:rPr>
            </w:pPr>
            <w:r>
              <w:rPr>
                <w:rFonts w:ascii="宋体" w:hAnsi="宋体" w:eastAsia="宋体" w:cs="宋体"/>
                <w:spacing w:val="7"/>
                <w:sz w:val="20"/>
                <w:szCs w:val="20"/>
              </w:rPr>
              <w:t>戈勒码头</w:t>
            </w:r>
          </w:p>
        </w:tc>
        <w:tc>
          <w:tcPr>
            <w:tcW w:w="3125" w:type="dxa"/>
            <w:vAlign w:val="top"/>
          </w:tcPr>
          <w:p w14:paraId="0D68B9E8">
            <w:pPr>
              <w:spacing w:before="83"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11CAE272">
            <w:pPr>
              <w:rPr>
                <w:rFonts w:ascii="Arial"/>
                <w:sz w:val="21"/>
              </w:rPr>
            </w:pPr>
          </w:p>
        </w:tc>
        <w:tc>
          <w:tcPr>
            <w:tcW w:w="2066" w:type="dxa"/>
            <w:vAlign w:val="top"/>
          </w:tcPr>
          <w:p w14:paraId="72908A80">
            <w:pPr>
              <w:rPr>
                <w:rFonts w:ascii="Arial"/>
                <w:sz w:val="21"/>
              </w:rPr>
            </w:pPr>
          </w:p>
        </w:tc>
        <w:tc>
          <w:tcPr>
            <w:tcW w:w="920" w:type="dxa"/>
            <w:vAlign w:val="top"/>
          </w:tcPr>
          <w:p w14:paraId="3C41C9D8">
            <w:pPr>
              <w:spacing w:before="105"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5C808DCA">
            <w:pPr>
              <w:rPr>
                <w:rFonts w:ascii="Arial"/>
                <w:sz w:val="21"/>
              </w:rPr>
            </w:pPr>
          </w:p>
        </w:tc>
        <w:tc>
          <w:tcPr>
            <w:tcW w:w="1071" w:type="dxa"/>
            <w:vAlign w:val="top"/>
          </w:tcPr>
          <w:p w14:paraId="5BE2887E">
            <w:pPr>
              <w:rPr>
                <w:rFonts w:ascii="Arial"/>
                <w:sz w:val="21"/>
              </w:rPr>
            </w:pPr>
          </w:p>
        </w:tc>
        <w:tc>
          <w:tcPr>
            <w:tcW w:w="1113" w:type="dxa"/>
            <w:vAlign w:val="top"/>
          </w:tcPr>
          <w:p w14:paraId="2EA202E6">
            <w:pPr>
              <w:spacing w:before="104"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restart"/>
            <w:tcBorders>
              <w:bottom w:val="nil"/>
            </w:tcBorders>
            <w:vAlign w:val="top"/>
          </w:tcPr>
          <w:p w14:paraId="644F08E8">
            <w:pPr>
              <w:spacing w:line="303" w:lineRule="auto"/>
              <w:rPr>
                <w:rFonts w:ascii="Arial"/>
                <w:sz w:val="21"/>
              </w:rPr>
            </w:pPr>
          </w:p>
          <w:p w14:paraId="7FCC2CA0">
            <w:pPr>
              <w:spacing w:line="304" w:lineRule="auto"/>
              <w:rPr>
                <w:rFonts w:ascii="Arial"/>
                <w:sz w:val="21"/>
              </w:rPr>
            </w:pPr>
          </w:p>
          <w:p w14:paraId="53210B68">
            <w:pPr>
              <w:spacing w:line="304" w:lineRule="auto"/>
              <w:rPr>
                <w:rFonts w:ascii="Arial"/>
                <w:sz w:val="21"/>
              </w:rPr>
            </w:pPr>
          </w:p>
          <w:p w14:paraId="3CCEBC14">
            <w:pPr>
              <w:pStyle w:val="6"/>
              <w:spacing w:before="57" w:line="274" w:lineRule="exact"/>
              <w:ind w:left="360"/>
            </w:pPr>
            <w:r>
              <w:rPr>
                <w:spacing w:val="-2"/>
                <w:position w:val="2"/>
              </w:rPr>
              <w:t>1.10</w:t>
            </w:r>
          </w:p>
        </w:tc>
        <w:tc>
          <w:tcPr>
            <w:tcW w:w="3175" w:type="dxa"/>
            <w:tcBorders>
              <w:right w:val="single" w:color="000000" w:sz="10" w:space="0"/>
            </w:tcBorders>
            <w:vAlign w:val="top"/>
          </w:tcPr>
          <w:p w14:paraId="233911A5">
            <w:pPr>
              <w:rPr>
                <w:rFonts w:ascii="Arial"/>
                <w:sz w:val="21"/>
              </w:rPr>
            </w:pPr>
          </w:p>
        </w:tc>
      </w:tr>
      <w:tr w14:paraId="5215F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639" w:type="dxa"/>
            <w:tcBorders>
              <w:left w:val="single" w:color="000000" w:sz="10" w:space="0"/>
            </w:tcBorders>
            <w:vAlign w:val="top"/>
          </w:tcPr>
          <w:p w14:paraId="77517FEA">
            <w:pPr>
              <w:spacing w:line="324" w:lineRule="auto"/>
              <w:rPr>
                <w:rFonts w:ascii="Arial"/>
                <w:sz w:val="21"/>
              </w:rPr>
            </w:pPr>
          </w:p>
          <w:p w14:paraId="5B9BD6A9">
            <w:pPr>
              <w:pStyle w:val="6"/>
              <w:spacing w:before="58" w:line="274" w:lineRule="exact"/>
              <w:ind w:left="219"/>
            </w:pPr>
            <w:r>
              <w:rPr>
                <w:spacing w:val="-8"/>
                <w:position w:val="2"/>
              </w:rPr>
              <w:t>18</w:t>
            </w:r>
          </w:p>
        </w:tc>
        <w:tc>
          <w:tcPr>
            <w:tcW w:w="1412" w:type="dxa"/>
            <w:vMerge w:val="continue"/>
            <w:tcBorders>
              <w:top w:val="nil"/>
              <w:bottom w:val="nil"/>
            </w:tcBorders>
            <w:vAlign w:val="top"/>
          </w:tcPr>
          <w:p w14:paraId="21902F83">
            <w:pPr>
              <w:rPr>
                <w:rFonts w:ascii="Arial"/>
                <w:sz w:val="21"/>
              </w:rPr>
            </w:pPr>
          </w:p>
        </w:tc>
        <w:tc>
          <w:tcPr>
            <w:tcW w:w="3274" w:type="dxa"/>
            <w:vAlign w:val="top"/>
          </w:tcPr>
          <w:p w14:paraId="355A1799">
            <w:pPr>
              <w:pStyle w:val="6"/>
              <w:spacing w:before="55" w:line="274" w:lineRule="exact"/>
              <w:ind w:left="50"/>
              <w:rPr>
                <w:rFonts w:ascii="宋体" w:hAnsi="宋体" w:eastAsia="宋体" w:cs="宋体"/>
              </w:rPr>
            </w:pPr>
            <w:r>
              <w:rPr>
                <w:spacing w:val="6"/>
                <w:position w:val="1"/>
              </w:rPr>
              <w:t xml:space="preserve">10 </w:t>
            </w:r>
            <w:r>
              <w:rPr>
                <w:rFonts w:ascii="宋体" w:hAnsi="宋体" w:eastAsia="宋体" w:cs="宋体"/>
                <w:spacing w:val="6"/>
                <w:position w:val="1"/>
              </w:rPr>
              <w:t>个停靠点（便柳、坝泥、纳吉、</w:t>
            </w:r>
          </w:p>
          <w:p w14:paraId="2AD50513">
            <w:pPr>
              <w:spacing w:before="83" w:line="228" w:lineRule="auto"/>
              <w:ind w:left="57"/>
              <w:rPr>
                <w:rFonts w:ascii="宋体" w:hAnsi="宋体" w:eastAsia="宋体" w:cs="宋体"/>
                <w:sz w:val="20"/>
                <w:szCs w:val="20"/>
              </w:rPr>
            </w:pPr>
            <w:r>
              <w:rPr>
                <w:rFonts w:ascii="宋体" w:hAnsi="宋体" w:eastAsia="宋体" w:cs="宋体"/>
                <w:spacing w:val="9"/>
                <w:sz w:val="20"/>
                <w:szCs w:val="20"/>
              </w:rPr>
              <w:t>坝达、便别、纳厦、下窝德、阿那</w:t>
            </w:r>
          </w:p>
          <w:p w14:paraId="1D98670C">
            <w:pPr>
              <w:spacing w:before="81" w:line="228" w:lineRule="auto"/>
              <w:ind w:left="800"/>
              <w:rPr>
                <w:rFonts w:ascii="宋体" w:hAnsi="宋体" w:eastAsia="宋体" w:cs="宋体"/>
                <w:sz w:val="20"/>
                <w:szCs w:val="20"/>
              </w:rPr>
            </w:pPr>
            <w:r>
              <w:rPr>
                <w:rFonts w:ascii="宋体" w:hAnsi="宋体" w:eastAsia="宋体" w:cs="宋体"/>
                <w:spacing w:val="6"/>
                <w:sz w:val="20"/>
                <w:szCs w:val="20"/>
              </w:rPr>
              <w:t>黑、拐村、洞拉）</w:t>
            </w:r>
          </w:p>
        </w:tc>
        <w:tc>
          <w:tcPr>
            <w:tcW w:w="3125" w:type="dxa"/>
            <w:vAlign w:val="top"/>
          </w:tcPr>
          <w:p w14:paraId="132F8C05">
            <w:pPr>
              <w:spacing w:before="86"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07BE8DB3">
            <w:pPr>
              <w:rPr>
                <w:rFonts w:ascii="Arial"/>
                <w:sz w:val="21"/>
              </w:rPr>
            </w:pPr>
          </w:p>
        </w:tc>
        <w:tc>
          <w:tcPr>
            <w:tcW w:w="2066" w:type="dxa"/>
            <w:vAlign w:val="top"/>
          </w:tcPr>
          <w:p w14:paraId="75B6A34A">
            <w:pPr>
              <w:rPr>
                <w:rFonts w:ascii="Arial"/>
                <w:sz w:val="21"/>
              </w:rPr>
            </w:pPr>
          </w:p>
        </w:tc>
        <w:tc>
          <w:tcPr>
            <w:tcW w:w="920" w:type="dxa"/>
            <w:vAlign w:val="top"/>
          </w:tcPr>
          <w:p w14:paraId="3481B6F3">
            <w:pPr>
              <w:spacing w:line="345" w:lineRule="auto"/>
              <w:rPr>
                <w:rFonts w:ascii="Arial"/>
                <w:sz w:val="21"/>
              </w:rPr>
            </w:pPr>
          </w:p>
          <w:p w14:paraId="624554C5">
            <w:pPr>
              <w:spacing w:before="65"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085447B1">
            <w:pPr>
              <w:rPr>
                <w:rFonts w:ascii="Arial"/>
                <w:sz w:val="21"/>
              </w:rPr>
            </w:pPr>
          </w:p>
        </w:tc>
        <w:tc>
          <w:tcPr>
            <w:tcW w:w="1071" w:type="dxa"/>
            <w:vAlign w:val="top"/>
          </w:tcPr>
          <w:p w14:paraId="712FE980">
            <w:pPr>
              <w:rPr>
                <w:rFonts w:ascii="Arial"/>
                <w:sz w:val="21"/>
              </w:rPr>
            </w:pPr>
          </w:p>
        </w:tc>
        <w:tc>
          <w:tcPr>
            <w:tcW w:w="1113" w:type="dxa"/>
            <w:vAlign w:val="top"/>
          </w:tcPr>
          <w:p w14:paraId="1A8614D3">
            <w:pPr>
              <w:spacing w:line="345" w:lineRule="auto"/>
              <w:rPr>
                <w:rFonts w:ascii="Arial"/>
                <w:sz w:val="21"/>
              </w:rPr>
            </w:pPr>
          </w:p>
          <w:p w14:paraId="314D2D02">
            <w:pPr>
              <w:spacing w:before="65"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55C40C17">
            <w:pPr>
              <w:rPr>
                <w:rFonts w:ascii="Arial"/>
                <w:sz w:val="21"/>
              </w:rPr>
            </w:pPr>
          </w:p>
        </w:tc>
        <w:tc>
          <w:tcPr>
            <w:tcW w:w="3175" w:type="dxa"/>
            <w:tcBorders>
              <w:right w:val="single" w:color="000000" w:sz="10" w:space="0"/>
            </w:tcBorders>
            <w:vAlign w:val="top"/>
          </w:tcPr>
          <w:p w14:paraId="42FD8908">
            <w:pPr>
              <w:rPr>
                <w:rFonts w:ascii="Arial"/>
                <w:sz w:val="21"/>
              </w:rPr>
            </w:pPr>
          </w:p>
        </w:tc>
      </w:tr>
      <w:tr w14:paraId="6AA0A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9781F19">
            <w:pPr>
              <w:pStyle w:val="6"/>
              <w:spacing w:before="78" w:line="274" w:lineRule="exact"/>
              <w:ind w:left="219"/>
            </w:pPr>
            <w:r>
              <w:rPr>
                <w:spacing w:val="-8"/>
                <w:position w:val="2"/>
              </w:rPr>
              <w:t>19</w:t>
            </w:r>
          </w:p>
        </w:tc>
        <w:tc>
          <w:tcPr>
            <w:tcW w:w="1412" w:type="dxa"/>
            <w:vMerge w:val="continue"/>
            <w:tcBorders>
              <w:top w:val="nil"/>
              <w:bottom w:val="nil"/>
            </w:tcBorders>
            <w:vAlign w:val="top"/>
          </w:tcPr>
          <w:p w14:paraId="3CEF2679">
            <w:pPr>
              <w:rPr>
                <w:rFonts w:ascii="Arial"/>
                <w:sz w:val="21"/>
              </w:rPr>
            </w:pPr>
          </w:p>
        </w:tc>
        <w:tc>
          <w:tcPr>
            <w:tcW w:w="3274" w:type="dxa"/>
            <w:vAlign w:val="top"/>
          </w:tcPr>
          <w:p w14:paraId="226D7771">
            <w:pPr>
              <w:pStyle w:val="6"/>
              <w:spacing w:before="78" w:line="274" w:lineRule="exact"/>
              <w:ind w:left="376"/>
              <w:rPr>
                <w:rFonts w:ascii="宋体" w:hAnsi="宋体" w:eastAsia="宋体" w:cs="宋体"/>
              </w:rPr>
            </w:pPr>
            <w:r>
              <w:rPr>
                <w:rFonts w:ascii="宋体" w:hAnsi="宋体" w:eastAsia="宋体" w:cs="宋体"/>
                <w:spacing w:val="7"/>
                <w:position w:val="1"/>
              </w:rPr>
              <w:t>法蒙、梭峰等</w:t>
            </w:r>
            <w:r>
              <w:rPr>
                <w:rFonts w:ascii="宋体" w:hAnsi="宋体" w:eastAsia="宋体" w:cs="宋体"/>
                <w:spacing w:val="-34"/>
                <w:position w:val="1"/>
              </w:rPr>
              <w:t xml:space="preserve"> </w:t>
            </w:r>
            <w:r>
              <w:rPr>
                <w:spacing w:val="7"/>
                <w:position w:val="1"/>
              </w:rPr>
              <w:t xml:space="preserve">2 </w:t>
            </w:r>
            <w:r>
              <w:rPr>
                <w:rFonts w:ascii="宋体" w:hAnsi="宋体" w:eastAsia="宋体" w:cs="宋体"/>
                <w:spacing w:val="7"/>
                <w:position w:val="1"/>
              </w:rPr>
              <w:t>个车渡码头</w:t>
            </w:r>
          </w:p>
        </w:tc>
        <w:tc>
          <w:tcPr>
            <w:tcW w:w="3125" w:type="dxa"/>
            <w:vAlign w:val="top"/>
          </w:tcPr>
          <w:p w14:paraId="5B84E352">
            <w:pPr>
              <w:spacing w:before="87" w:line="228" w:lineRule="auto"/>
              <w:ind w:left="1038"/>
              <w:rPr>
                <w:rFonts w:ascii="宋体" w:hAnsi="宋体" w:eastAsia="宋体" w:cs="宋体"/>
                <w:sz w:val="20"/>
                <w:szCs w:val="20"/>
              </w:rPr>
            </w:pPr>
            <w:r>
              <w:rPr>
                <w:rFonts w:ascii="宋体" w:hAnsi="宋体" w:eastAsia="宋体" w:cs="宋体"/>
                <w:spacing w:val="7"/>
                <w:sz w:val="20"/>
                <w:szCs w:val="20"/>
              </w:rPr>
              <w:t>凤凰谷库区</w:t>
            </w:r>
          </w:p>
        </w:tc>
        <w:tc>
          <w:tcPr>
            <w:tcW w:w="2204" w:type="dxa"/>
            <w:vAlign w:val="top"/>
          </w:tcPr>
          <w:p w14:paraId="3575D42E">
            <w:pPr>
              <w:rPr>
                <w:rFonts w:ascii="Arial"/>
                <w:sz w:val="21"/>
              </w:rPr>
            </w:pPr>
          </w:p>
        </w:tc>
        <w:tc>
          <w:tcPr>
            <w:tcW w:w="2066" w:type="dxa"/>
            <w:vAlign w:val="top"/>
          </w:tcPr>
          <w:p w14:paraId="12EC65C4">
            <w:pPr>
              <w:rPr>
                <w:rFonts w:ascii="Arial"/>
                <w:sz w:val="21"/>
              </w:rPr>
            </w:pPr>
          </w:p>
        </w:tc>
        <w:tc>
          <w:tcPr>
            <w:tcW w:w="920" w:type="dxa"/>
            <w:vAlign w:val="top"/>
          </w:tcPr>
          <w:p w14:paraId="5B00067C">
            <w:pPr>
              <w:spacing w:before="106"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46F7ABE1">
            <w:pPr>
              <w:rPr>
                <w:rFonts w:ascii="Arial"/>
                <w:sz w:val="21"/>
              </w:rPr>
            </w:pPr>
          </w:p>
        </w:tc>
        <w:tc>
          <w:tcPr>
            <w:tcW w:w="1071" w:type="dxa"/>
            <w:vAlign w:val="top"/>
          </w:tcPr>
          <w:p w14:paraId="6DE2AB6A">
            <w:pPr>
              <w:rPr>
                <w:rFonts w:ascii="Arial"/>
                <w:sz w:val="21"/>
              </w:rPr>
            </w:pPr>
          </w:p>
        </w:tc>
        <w:tc>
          <w:tcPr>
            <w:tcW w:w="1113" w:type="dxa"/>
            <w:vAlign w:val="top"/>
          </w:tcPr>
          <w:p w14:paraId="6C529299">
            <w:pPr>
              <w:spacing w:before="106"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bottom w:val="nil"/>
            </w:tcBorders>
            <w:vAlign w:val="top"/>
          </w:tcPr>
          <w:p w14:paraId="75516552">
            <w:pPr>
              <w:rPr>
                <w:rFonts w:ascii="Arial"/>
                <w:sz w:val="21"/>
              </w:rPr>
            </w:pPr>
          </w:p>
        </w:tc>
        <w:tc>
          <w:tcPr>
            <w:tcW w:w="3175" w:type="dxa"/>
            <w:tcBorders>
              <w:right w:val="single" w:color="000000" w:sz="10" w:space="0"/>
            </w:tcBorders>
            <w:vAlign w:val="top"/>
          </w:tcPr>
          <w:p w14:paraId="3403001A">
            <w:pPr>
              <w:rPr>
                <w:rFonts w:ascii="Arial"/>
                <w:sz w:val="21"/>
              </w:rPr>
            </w:pPr>
          </w:p>
        </w:tc>
      </w:tr>
      <w:tr w14:paraId="04C96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3CB2056B">
            <w:pPr>
              <w:pStyle w:val="6"/>
              <w:spacing w:before="78" w:line="274" w:lineRule="exact"/>
              <w:ind w:left="199"/>
            </w:pPr>
            <w:r>
              <w:rPr>
                <w:spacing w:val="2"/>
                <w:position w:val="2"/>
              </w:rPr>
              <w:t>20</w:t>
            </w:r>
          </w:p>
        </w:tc>
        <w:tc>
          <w:tcPr>
            <w:tcW w:w="1412" w:type="dxa"/>
            <w:vMerge w:val="continue"/>
            <w:tcBorders>
              <w:top w:val="nil"/>
            </w:tcBorders>
            <w:vAlign w:val="top"/>
          </w:tcPr>
          <w:p w14:paraId="554DDF7A">
            <w:pPr>
              <w:rPr>
                <w:rFonts w:ascii="Arial"/>
                <w:sz w:val="21"/>
              </w:rPr>
            </w:pPr>
          </w:p>
        </w:tc>
        <w:tc>
          <w:tcPr>
            <w:tcW w:w="3274" w:type="dxa"/>
            <w:vAlign w:val="top"/>
          </w:tcPr>
          <w:p w14:paraId="4C8B5461">
            <w:pPr>
              <w:spacing w:before="109" w:line="228" w:lineRule="auto"/>
              <w:ind w:left="377"/>
              <w:rPr>
                <w:rFonts w:ascii="宋体" w:hAnsi="宋体" w:eastAsia="宋体" w:cs="宋体"/>
                <w:sz w:val="20"/>
                <w:szCs w:val="20"/>
              </w:rPr>
            </w:pPr>
            <w:r>
              <w:rPr>
                <w:rFonts w:ascii="宋体" w:hAnsi="宋体" w:eastAsia="宋体" w:cs="宋体"/>
                <w:spacing w:val="8"/>
                <w:sz w:val="20"/>
                <w:szCs w:val="20"/>
              </w:rPr>
              <w:t>南盘江航道整治及航标配布</w:t>
            </w:r>
          </w:p>
        </w:tc>
        <w:tc>
          <w:tcPr>
            <w:tcW w:w="3125" w:type="dxa"/>
            <w:vAlign w:val="top"/>
          </w:tcPr>
          <w:p w14:paraId="79993432">
            <w:pPr>
              <w:spacing w:before="109" w:line="228" w:lineRule="auto"/>
              <w:ind w:left="1041"/>
              <w:rPr>
                <w:rFonts w:ascii="宋体" w:hAnsi="宋体" w:eastAsia="宋体" w:cs="宋体"/>
                <w:sz w:val="20"/>
                <w:szCs w:val="20"/>
              </w:rPr>
            </w:pPr>
            <w:r>
              <w:rPr>
                <w:rFonts w:ascii="宋体" w:hAnsi="宋体" w:eastAsia="宋体" w:cs="宋体"/>
                <w:spacing w:val="7"/>
                <w:sz w:val="20"/>
                <w:szCs w:val="20"/>
              </w:rPr>
              <w:t>天生桥库区</w:t>
            </w:r>
          </w:p>
        </w:tc>
        <w:tc>
          <w:tcPr>
            <w:tcW w:w="2204" w:type="dxa"/>
            <w:vAlign w:val="top"/>
          </w:tcPr>
          <w:p w14:paraId="165F4E65">
            <w:pPr>
              <w:rPr>
                <w:rFonts w:ascii="Arial"/>
                <w:sz w:val="21"/>
              </w:rPr>
            </w:pPr>
          </w:p>
        </w:tc>
        <w:tc>
          <w:tcPr>
            <w:tcW w:w="2066" w:type="dxa"/>
            <w:vAlign w:val="top"/>
          </w:tcPr>
          <w:p w14:paraId="709D7531">
            <w:pPr>
              <w:rPr>
                <w:rFonts w:ascii="Arial"/>
                <w:sz w:val="21"/>
              </w:rPr>
            </w:pPr>
          </w:p>
        </w:tc>
        <w:tc>
          <w:tcPr>
            <w:tcW w:w="920" w:type="dxa"/>
            <w:vAlign w:val="top"/>
          </w:tcPr>
          <w:p w14:paraId="47336485">
            <w:pPr>
              <w:spacing w:before="109"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05F16174">
            <w:pPr>
              <w:rPr>
                <w:rFonts w:ascii="Arial"/>
                <w:sz w:val="21"/>
              </w:rPr>
            </w:pPr>
          </w:p>
        </w:tc>
        <w:tc>
          <w:tcPr>
            <w:tcW w:w="1071" w:type="dxa"/>
            <w:vAlign w:val="top"/>
          </w:tcPr>
          <w:p w14:paraId="4B5ADCCC">
            <w:pPr>
              <w:pStyle w:val="6"/>
              <w:spacing w:before="78" w:line="274" w:lineRule="exact"/>
              <w:ind w:left="458"/>
            </w:pPr>
            <w:r>
              <w:rPr>
                <w:spacing w:val="-8"/>
                <w:position w:val="2"/>
              </w:rPr>
              <w:t>10</w:t>
            </w:r>
          </w:p>
        </w:tc>
        <w:tc>
          <w:tcPr>
            <w:tcW w:w="1113" w:type="dxa"/>
            <w:vAlign w:val="top"/>
          </w:tcPr>
          <w:p w14:paraId="157BF273">
            <w:pPr>
              <w:spacing w:before="109" w:line="228" w:lineRule="auto"/>
              <w:ind w:left="152"/>
              <w:rPr>
                <w:rFonts w:ascii="宋体" w:hAnsi="宋体" w:eastAsia="宋体" w:cs="宋体"/>
                <w:sz w:val="20"/>
                <w:szCs w:val="20"/>
              </w:rPr>
            </w:pPr>
            <w:r>
              <w:rPr>
                <w:rFonts w:ascii="宋体" w:hAnsi="宋体" w:eastAsia="宋体" w:cs="宋体"/>
                <w:spacing w:val="6"/>
                <w:sz w:val="20"/>
                <w:szCs w:val="20"/>
              </w:rPr>
              <w:t>前期研究</w:t>
            </w:r>
          </w:p>
        </w:tc>
        <w:tc>
          <w:tcPr>
            <w:tcW w:w="1028" w:type="dxa"/>
            <w:vMerge w:val="continue"/>
            <w:tcBorders>
              <w:top w:val="nil"/>
            </w:tcBorders>
            <w:vAlign w:val="top"/>
          </w:tcPr>
          <w:p w14:paraId="758D9B5E">
            <w:pPr>
              <w:rPr>
                <w:rFonts w:ascii="Arial"/>
                <w:sz w:val="21"/>
              </w:rPr>
            </w:pPr>
          </w:p>
        </w:tc>
        <w:tc>
          <w:tcPr>
            <w:tcW w:w="3175" w:type="dxa"/>
            <w:tcBorders>
              <w:right w:val="single" w:color="000000" w:sz="10" w:space="0"/>
            </w:tcBorders>
            <w:vAlign w:val="top"/>
          </w:tcPr>
          <w:p w14:paraId="56372E06">
            <w:pPr>
              <w:rPr>
                <w:rFonts w:ascii="Arial"/>
                <w:sz w:val="21"/>
              </w:rPr>
            </w:pPr>
          </w:p>
        </w:tc>
      </w:tr>
      <w:tr w14:paraId="70035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8450" w:type="dxa"/>
            <w:gridSpan w:val="4"/>
            <w:tcBorders>
              <w:left w:val="single" w:color="000000" w:sz="10" w:space="0"/>
            </w:tcBorders>
            <w:vAlign w:val="top"/>
          </w:tcPr>
          <w:p w14:paraId="1827A3E6">
            <w:pPr>
              <w:spacing w:before="215" w:line="326" w:lineRule="exact"/>
              <w:ind w:left="2018"/>
              <w:rPr>
                <w:rFonts w:ascii="华文楷体" w:hAnsi="华文楷体" w:eastAsia="华文楷体" w:cs="华文楷体"/>
                <w:sz w:val="20"/>
                <w:szCs w:val="20"/>
              </w:rPr>
            </w:pPr>
            <w:r>
              <w:rPr>
                <w:rFonts w:ascii="宋体" w:hAnsi="宋体" w:eastAsia="宋体" w:cs="宋体"/>
                <w:b/>
                <w:bCs/>
                <w:spacing w:val="3"/>
                <w:position w:val="3"/>
                <w:sz w:val="20"/>
                <w:szCs w:val="20"/>
              </w:rPr>
              <w:t>五、枢纽场站</w:t>
            </w:r>
            <w:r>
              <w:rPr>
                <w:rFonts w:ascii="华文楷体" w:hAnsi="华文楷体" w:eastAsia="华文楷体" w:cs="华文楷体"/>
                <w:spacing w:val="3"/>
                <w:position w:val="3"/>
                <w:sz w:val="20"/>
                <w:szCs w:val="20"/>
              </w:rPr>
              <w:t>（注：</w:t>
            </w:r>
            <w:r>
              <w:rPr>
                <w:rFonts w:ascii="华文楷体" w:hAnsi="华文楷体" w:eastAsia="华文楷体" w:cs="华文楷体"/>
                <w:spacing w:val="-18"/>
                <w:position w:val="3"/>
                <w:sz w:val="20"/>
                <w:szCs w:val="20"/>
              </w:rPr>
              <w:t xml:space="preserve"> </w:t>
            </w:r>
            <w:r>
              <w:rPr>
                <w:rFonts w:ascii="华文楷体" w:hAnsi="华文楷体" w:eastAsia="华文楷体" w:cs="华文楷体"/>
                <w:spacing w:val="3"/>
                <w:position w:val="3"/>
                <w:sz w:val="20"/>
                <w:szCs w:val="20"/>
              </w:rPr>
              <w:t>统计不含储备项 目</w:t>
            </w:r>
            <w:r>
              <w:rPr>
                <w:rFonts w:ascii="华文楷体" w:hAnsi="华文楷体" w:eastAsia="华文楷体" w:cs="华文楷体"/>
                <w:spacing w:val="-21"/>
                <w:position w:val="3"/>
                <w:sz w:val="20"/>
                <w:szCs w:val="20"/>
              </w:rPr>
              <w:t xml:space="preserve"> </w:t>
            </w:r>
            <w:r>
              <w:rPr>
                <w:rFonts w:ascii="华文楷体" w:hAnsi="华文楷体" w:eastAsia="华文楷体" w:cs="华文楷体"/>
                <w:spacing w:val="3"/>
                <w:position w:val="3"/>
                <w:sz w:val="20"/>
                <w:szCs w:val="20"/>
              </w:rPr>
              <w:t>的投资）</w:t>
            </w:r>
          </w:p>
        </w:tc>
        <w:tc>
          <w:tcPr>
            <w:tcW w:w="2204" w:type="dxa"/>
            <w:vAlign w:val="top"/>
          </w:tcPr>
          <w:p w14:paraId="64911706">
            <w:pPr>
              <w:rPr>
                <w:rFonts w:ascii="Arial"/>
                <w:sz w:val="21"/>
              </w:rPr>
            </w:pPr>
          </w:p>
        </w:tc>
        <w:tc>
          <w:tcPr>
            <w:tcW w:w="2066" w:type="dxa"/>
            <w:vAlign w:val="top"/>
          </w:tcPr>
          <w:p w14:paraId="0B8993BB">
            <w:pPr>
              <w:rPr>
                <w:rFonts w:ascii="Arial"/>
                <w:sz w:val="21"/>
              </w:rPr>
            </w:pPr>
          </w:p>
        </w:tc>
        <w:tc>
          <w:tcPr>
            <w:tcW w:w="920" w:type="dxa"/>
            <w:vAlign w:val="top"/>
          </w:tcPr>
          <w:p w14:paraId="25BCA17E">
            <w:pPr>
              <w:rPr>
                <w:rFonts w:ascii="Arial"/>
                <w:sz w:val="21"/>
              </w:rPr>
            </w:pPr>
          </w:p>
        </w:tc>
        <w:tc>
          <w:tcPr>
            <w:tcW w:w="963" w:type="dxa"/>
            <w:vAlign w:val="top"/>
          </w:tcPr>
          <w:p w14:paraId="775BC39A">
            <w:pPr>
              <w:rPr>
                <w:rFonts w:ascii="Arial"/>
                <w:sz w:val="21"/>
              </w:rPr>
            </w:pPr>
          </w:p>
        </w:tc>
        <w:tc>
          <w:tcPr>
            <w:tcW w:w="1071" w:type="dxa"/>
            <w:vAlign w:val="top"/>
          </w:tcPr>
          <w:p w14:paraId="12936669">
            <w:pPr>
              <w:spacing w:before="102" w:line="232" w:lineRule="auto"/>
              <w:ind w:left="48" w:right="33" w:firstLine="119"/>
              <w:rPr>
                <w:rFonts w:ascii="华文楷体" w:hAnsi="华文楷体" w:eastAsia="华文楷体" w:cs="华文楷体"/>
                <w:sz w:val="20"/>
                <w:szCs w:val="20"/>
              </w:rPr>
            </w:pPr>
            <w:r>
              <w:rPr>
                <w:rFonts w:ascii="华文楷体" w:hAnsi="华文楷体" w:eastAsia="华文楷体" w:cs="华文楷体"/>
                <w:spacing w:val="-3"/>
                <w:sz w:val="20"/>
                <w:szCs w:val="20"/>
              </w:rPr>
              <w:t>占地面积</w:t>
            </w:r>
            <w:r>
              <w:rPr>
                <w:rFonts w:ascii="华文楷体" w:hAnsi="华文楷体" w:eastAsia="华文楷体" w:cs="华文楷体"/>
                <w:spacing w:val="-4"/>
                <w:sz w:val="20"/>
                <w:szCs w:val="20"/>
              </w:rPr>
              <w:t>（平方米）</w:t>
            </w:r>
          </w:p>
        </w:tc>
        <w:tc>
          <w:tcPr>
            <w:tcW w:w="1113" w:type="dxa"/>
            <w:vAlign w:val="top"/>
          </w:tcPr>
          <w:p w14:paraId="18CE9093">
            <w:pPr>
              <w:rPr>
                <w:rFonts w:ascii="Arial"/>
                <w:sz w:val="21"/>
              </w:rPr>
            </w:pPr>
          </w:p>
        </w:tc>
        <w:tc>
          <w:tcPr>
            <w:tcW w:w="1028" w:type="dxa"/>
            <w:vAlign w:val="top"/>
          </w:tcPr>
          <w:p w14:paraId="72A03559">
            <w:pPr>
              <w:pStyle w:val="6"/>
              <w:spacing w:before="289" w:line="195" w:lineRule="auto"/>
              <w:ind w:left="290"/>
            </w:pPr>
            <w:r>
              <w:rPr>
                <w:b/>
                <w:bCs/>
                <w:spacing w:val="3"/>
              </w:rPr>
              <w:t>74.97</w:t>
            </w:r>
          </w:p>
        </w:tc>
        <w:tc>
          <w:tcPr>
            <w:tcW w:w="3175" w:type="dxa"/>
            <w:tcBorders>
              <w:right w:val="single" w:color="000000" w:sz="10" w:space="0"/>
            </w:tcBorders>
            <w:vAlign w:val="top"/>
          </w:tcPr>
          <w:p w14:paraId="3CBFB39D">
            <w:pPr>
              <w:rPr>
                <w:rFonts w:ascii="Arial"/>
                <w:sz w:val="21"/>
              </w:rPr>
            </w:pPr>
          </w:p>
        </w:tc>
      </w:tr>
      <w:tr w14:paraId="2D6F5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6D3726D0">
            <w:pPr>
              <w:rPr>
                <w:rFonts w:ascii="Arial"/>
                <w:sz w:val="21"/>
              </w:rPr>
            </w:pPr>
          </w:p>
        </w:tc>
        <w:tc>
          <w:tcPr>
            <w:tcW w:w="7811" w:type="dxa"/>
            <w:gridSpan w:val="3"/>
            <w:vAlign w:val="top"/>
          </w:tcPr>
          <w:p w14:paraId="4F10CE89">
            <w:pPr>
              <w:pStyle w:val="6"/>
              <w:spacing w:before="109" w:line="228" w:lineRule="auto"/>
              <w:ind w:left="2911"/>
              <w:rPr>
                <w:rFonts w:ascii="宋体" w:hAnsi="宋体" w:eastAsia="宋体" w:cs="宋体"/>
              </w:rPr>
            </w:pPr>
            <w:r>
              <w:rPr>
                <w:b/>
                <w:bCs/>
                <w:spacing w:val="4"/>
              </w:rPr>
              <w:t>1</w:t>
            </w:r>
            <w:r>
              <w:rPr>
                <w:b/>
                <w:bCs/>
                <w:spacing w:val="-22"/>
              </w:rPr>
              <w:t xml:space="preserve"> </w:t>
            </w:r>
            <w:r>
              <w:rPr>
                <w:rFonts w:ascii="宋体" w:hAnsi="宋体" w:eastAsia="宋体" w:cs="宋体"/>
                <w:b/>
                <w:bCs/>
                <w:spacing w:val="4"/>
              </w:rPr>
              <w:t>、综合客运枢纽场站</w:t>
            </w:r>
          </w:p>
        </w:tc>
        <w:tc>
          <w:tcPr>
            <w:tcW w:w="2204" w:type="dxa"/>
            <w:vAlign w:val="top"/>
          </w:tcPr>
          <w:p w14:paraId="027E57E4">
            <w:pPr>
              <w:rPr>
                <w:rFonts w:ascii="Arial"/>
                <w:sz w:val="21"/>
              </w:rPr>
            </w:pPr>
          </w:p>
        </w:tc>
        <w:tc>
          <w:tcPr>
            <w:tcW w:w="2066" w:type="dxa"/>
            <w:vAlign w:val="top"/>
          </w:tcPr>
          <w:p w14:paraId="783935C7">
            <w:pPr>
              <w:rPr>
                <w:rFonts w:ascii="Arial"/>
                <w:sz w:val="21"/>
              </w:rPr>
            </w:pPr>
          </w:p>
        </w:tc>
        <w:tc>
          <w:tcPr>
            <w:tcW w:w="920" w:type="dxa"/>
            <w:vAlign w:val="top"/>
          </w:tcPr>
          <w:p w14:paraId="74E75DA2">
            <w:pPr>
              <w:rPr>
                <w:rFonts w:ascii="Arial"/>
                <w:sz w:val="21"/>
              </w:rPr>
            </w:pPr>
          </w:p>
        </w:tc>
        <w:tc>
          <w:tcPr>
            <w:tcW w:w="963" w:type="dxa"/>
            <w:vAlign w:val="top"/>
          </w:tcPr>
          <w:p w14:paraId="2AC7CCDB">
            <w:pPr>
              <w:rPr>
                <w:rFonts w:ascii="Arial"/>
                <w:sz w:val="21"/>
              </w:rPr>
            </w:pPr>
          </w:p>
        </w:tc>
        <w:tc>
          <w:tcPr>
            <w:tcW w:w="1071" w:type="dxa"/>
            <w:vAlign w:val="top"/>
          </w:tcPr>
          <w:p w14:paraId="2271E5C8">
            <w:pPr>
              <w:rPr>
                <w:rFonts w:ascii="Arial"/>
                <w:sz w:val="21"/>
              </w:rPr>
            </w:pPr>
          </w:p>
        </w:tc>
        <w:tc>
          <w:tcPr>
            <w:tcW w:w="1113" w:type="dxa"/>
            <w:vAlign w:val="top"/>
          </w:tcPr>
          <w:p w14:paraId="67249D0E">
            <w:pPr>
              <w:rPr>
                <w:rFonts w:ascii="Arial"/>
                <w:sz w:val="21"/>
              </w:rPr>
            </w:pPr>
          </w:p>
        </w:tc>
        <w:tc>
          <w:tcPr>
            <w:tcW w:w="1028" w:type="dxa"/>
            <w:vAlign w:val="top"/>
          </w:tcPr>
          <w:p w14:paraId="579BAB0F">
            <w:pPr>
              <w:pStyle w:val="6"/>
              <w:spacing w:before="147" w:line="195" w:lineRule="auto"/>
              <w:ind w:left="296"/>
            </w:pPr>
            <w:r>
              <w:rPr>
                <w:b/>
                <w:bCs/>
                <w:spacing w:val="2"/>
              </w:rPr>
              <w:t>18.14</w:t>
            </w:r>
          </w:p>
        </w:tc>
        <w:tc>
          <w:tcPr>
            <w:tcW w:w="3175" w:type="dxa"/>
            <w:tcBorders>
              <w:right w:val="single" w:color="000000" w:sz="10" w:space="0"/>
            </w:tcBorders>
            <w:vAlign w:val="top"/>
          </w:tcPr>
          <w:p w14:paraId="09209D56">
            <w:pPr>
              <w:rPr>
                <w:rFonts w:ascii="Arial"/>
                <w:sz w:val="21"/>
              </w:rPr>
            </w:pPr>
          </w:p>
        </w:tc>
      </w:tr>
      <w:tr w14:paraId="241C1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1180CD0">
            <w:pPr>
              <w:rPr>
                <w:rFonts w:ascii="Arial"/>
                <w:sz w:val="21"/>
              </w:rPr>
            </w:pPr>
          </w:p>
        </w:tc>
        <w:tc>
          <w:tcPr>
            <w:tcW w:w="7811" w:type="dxa"/>
            <w:gridSpan w:val="3"/>
            <w:vAlign w:val="top"/>
          </w:tcPr>
          <w:p w14:paraId="3A1D645F">
            <w:pPr>
              <w:spacing w:before="112" w:line="228" w:lineRule="auto"/>
              <w:ind w:left="19"/>
              <w:rPr>
                <w:rFonts w:ascii="宋体" w:hAnsi="宋体" w:eastAsia="宋体" w:cs="宋体"/>
                <w:sz w:val="20"/>
                <w:szCs w:val="20"/>
              </w:rPr>
            </w:pPr>
            <w:r>
              <w:rPr>
                <w:rFonts w:ascii="宋体" w:hAnsi="宋体" w:eastAsia="宋体" w:cs="宋体"/>
                <w:b/>
                <w:bCs/>
                <w:spacing w:val="2"/>
                <w:sz w:val="20"/>
                <w:szCs w:val="20"/>
              </w:rPr>
              <w:t>（1）</w:t>
            </w:r>
            <w:r>
              <w:rPr>
                <w:rFonts w:ascii="宋体" w:hAnsi="宋体" w:eastAsia="宋体" w:cs="宋体"/>
                <w:spacing w:val="-74"/>
                <w:sz w:val="20"/>
                <w:szCs w:val="20"/>
              </w:rPr>
              <w:t xml:space="preserve"> </w:t>
            </w:r>
            <w:r>
              <w:rPr>
                <w:rFonts w:ascii="宋体" w:hAnsi="宋体" w:eastAsia="宋体" w:cs="宋体"/>
                <w:b/>
                <w:bCs/>
                <w:spacing w:val="2"/>
                <w:sz w:val="20"/>
                <w:szCs w:val="20"/>
              </w:rPr>
              <w:t>“十四五</w:t>
            </w:r>
            <w:r>
              <w:rPr>
                <w:rFonts w:ascii="宋体" w:hAnsi="宋体" w:eastAsia="宋体" w:cs="宋体"/>
                <w:spacing w:val="-70"/>
                <w:sz w:val="20"/>
                <w:szCs w:val="20"/>
              </w:rPr>
              <w:t xml:space="preserve"> </w:t>
            </w:r>
            <w:r>
              <w:rPr>
                <w:rFonts w:ascii="宋体" w:hAnsi="宋体" w:eastAsia="宋体" w:cs="宋体"/>
                <w:b/>
                <w:bCs/>
                <w:spacing w:val="2"/>
                <w:sz w:val="20"/>
                <w:szCs w:val="20"/>
              </w:rPr>
              <w:t>”新建项目&lt;3</w:t>
            </w:r>
            <w:r>
              <w:rPr>
                <w:rFonts w:ascii="宋体" w:hAnsi="宋体" w:eastAsia="宋体" w:cs="宋体"/>
                <w:spacing w:val="-38"/>
                <w:sz w:val="20"/>
                <w:szCs w:val="20"/>
              </w:rPr>
              <w:t xml:space="preserve"> </w:t>
            </w:r>
            <w:r>
              <w:rPr>
                <w:rFonts w:ascii="宋体" w:hAnsi="宋体" w:eastAsia="宋体" w:cs="宋体"/>
                <w:b/>
                <w:bCs/>
                <w:spacing w:val="2"/>
                <w:sz w:val="20"/>
                <w:szCs w:val="20"/>
              </w:rPr>
              <w:t>个&gt;</w:t>
            </w:r>
          </w:p>
        </w:tc>
        <w:tc>
          <w:tcPr>
            <w:tcW w:w="2204" w:type="dxa"/>
            <w:vAlign w:val="top"/>
          </w:tcPr>
          <w:p w14:paraId="71EF585A">
            <w:pPr>
              <w:rPr>
                <w:rFonts w:ascii="Arial"/>
                <w:sz w:val="21"/>
              </w:rPr>
            </w:pPr>
          </w:p>
        </w:tc>
        <w:tc>
          <w:tcPr>
            <w:tcW w:w="2066" w:type="dxa"/>
            <w:vAlign w:val="top"/>
          </w:tcPr>
          <w:p w14:paraId="26FCBB44">
            <w:pPr>
              <w:rPr>
                <w:rFonts w:ascii="Arial"/>
                <w:sz w:val="21"/>
              </w:rPr>
            </w:pPr>
          </w:p>
        </w:tc>
        <w:tc>
          <w:tcPr>
            <w:tcW w:w="920" w:type="dxa"/>
            <w:vAlign w:val="top"/>
          </w:tcPr>
          <w:p w14:paraId="7DC74768">
            <w:pPr>
              <w:rPr>
                <w:rFonts w:ascii="Arial"/>
                <w:sz w:val="21"/>
              </w:rPr>
            </w:pPr>
          </w:p>
        </w:tc>
        <w:tc>
          <w:tcPr>
            <w:tcW w:w="963" w:type="dxa"/>
            <w:vAlign w:val="top"/>
          </w:tcPr>
          <w:p w14:paraId="3BC5FFE8">
            <w:pPr>
              <w:rPr>
                <w:rFonts w:ascii="Arial"/>
                <w:sz w:val="21"/>
              </w:rPr>
            </w:pPr>
          </w:p>
        </w:tc>
        <w:tc>
          <w:tcPr>
            <w:tcW w:w="1071" w:type="dxa"/>
            <w:vAlign w:val="top"/>
          </w:tcPr>
          <w:p w14:paraId="36AE86B8">
            <w:pPr>
              <w:rPr>
                <w:rFonts w:ascii="Arial"/>
                <w:sz w:val="21"/>
              </w:rPr>
            </w:pPr>
          </w:p>
        </w:tc>
        <w:tc>
          <w:tcPr>
            <w:tcW w:w="1113" w:type="dxa"/>
            <w:vAlign w:val="top"/>
          </w:tcPr>
          <w:p w14:paraId="34D483BC">
            <w:pPr>
              <w:rPr>
                <w:rFonts w:ascii="Arial"/>
                <w:sz w:val="21"/>
              </w:rPr>
            </w:pPr>
          </w:p>
        </w:tc>
        <w:tc>
          <w:tcPr>
            <w:tcW w:w="1028" w:type="dxa"/>
            <w:vAlign w:val="top"/>
          </w:tcPr>
          <w:p w14:paraId="3772FACC">
            <w:pPr>
              <w:pStyle w:val="6"/>
              <w:spacing w:before="148" w:line="195" w:lineRule="auto"/>
              <w:ind w:left="395"/>
            </w:pPr>
            <w:r>
              <w:rPr>
                <w:b/>
                <w:bCs/>
                <w:spacing w:val="2"/>
              </w:rPr>
              <w:t>9.2</w:t>
            </w:r>
          </w:p>
        </w:tc>
        <w:tc>
          <w:tcPr>
            <w:tcW w:w="3175" w:type="dxa"/>
            <w:tcBorders>
              <w:right w:val="single" w:color="000000" w:sz="10" w:space="0"/>
            </w:tcBorders>
            <w:vAlign w:val="top"/>
          </w:tcPr>
          <w:p w14:paraId="4AF72046">
            <w:pPr>
              <w:rPr>
                <w:rFonts w:ascii="Arial"/>
                <w:sz w:val="21"/>
              </w:rPr>
            </w:pPr>
          </w:p>
        </w:tc>
      </w:tr>
      <w:tr w14:paraId="2D557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4383C762">
            <w:pPr>
              <w:pStyle w:val="6"/>
              <w:spacing w:before="226" w:line="274" w:lineRule="exact"/>
              <w:ind w:left="272"/>
            </w:pPr>
            <w:r>
              <w:rPr>
                <w:position w:val="1"/>
              </w:rPr>
              <w:t>1</w:t>
            </w:r>
          </w:p>
        </w:tc>
        <w:tc>
          <w:tcPr>
            <w:tcW w:w="1412" w:type="dxa"/>
            <w:vAlign w:val="top"/>
          </w:tcPr>
          <w:p w14:paraId="068A3E59">
            <w:pPr>
              <w:spacing w:before="256"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698C7446">
            <w:pPr>
              <w:spacing w:before="257" w:line="228" w:lineRule="auto"/>
              <w:ind w:left="1321"/>
              <w:rPr>
                <w:rFonts w:ascii="宋体" w:hAnsi="宋体" w:eastAsia="宋体" w:cs="宋体"/>
                <w:sz w:val="20"/>
                <w:szCs w:val="20"/>
              </w:rPr>
            </w:pPr>
            <w:r>
              <w:rPr>
                <w:rFonts w:ascii="宋体" w:hAnsi="宋体" w:eastAsia="宋体" w:cs="宋体"/>
                <w:spacing w:val="5"/>
                <w:sz w:val="20"/>
                <w:szCs w:val="20"/>
              </w:rPr>
              <w:t>宣威市</w:t>
            </w:r>
          </w:p>
        </w:tc>
        <w:tc>
          <w:tcPr>
            <w:tcW w:w="3125" w:type="dxa"/>
            <w:vAlign w:val="top"/>
          </w:tcPr>
          <w:p w14:paraId="1E5381E0">
            <w:pPr>
              <w:spacing w:before="256" w:line="228" w:lineRule="auto"/>
              <w:ind w:left="517"/>
              <w:rPr>
                <w:rFonts w:ascii="宋体" w:hAnsi="宋体" w:eastAsia="宋体" w:cs="宋体"/>
                <w:sz w:val="20"/>
                <w:szCs w:val="20"/>
              </w:rPr>
            </w:pPr>
            <w:r>
              <w:rPr>
                <w:rFonts w:ascii="宋体" w:hAnsi="宋体" w:eastAsia="宋体" w:cs="宋体"/>
                <w:spacing w:val="8"/>
                <w:sz w:val="20"/>
                <w:szCs w:val="20"/>
              </w:rPr>
              <w:t>宣威机场综合客运枢纽</w:t>
            </w:r>
          </w:p>
        </w:tc>
        <w:tc>
          <w:tcPr>
            <w:tcW w:w="2204" w:type="dxa"/>
            <w:vAlign w:val="top"/>
          </w:tcPr>
          <w:p w14:paraId="71CA276F">
            <w:pPr>
              <w:rPr>
                <w:rFonts w:ascii="Arial"/>
                <w:sz w:val="21"/>
              </w:rPr>
            </w:pPr>
          </w:p>
        </w:tc>
        <w:tc>
          <w:tcPr>
            <w:tcW w:w="2066" w:type="dxa"/>
            <w:vAlign w:val="top"/>
          </w:tcPr>
          <w:p w14:paraId="029DE8C1">
            <w:pPr>
              <w:rPr>
                <w:rFonts w:ascii="Arial"/>
                <w:sz w:val="21"/>
              </w:rPr>
            </w:pPr>
          </w:p>
        </w:tc>
        <w:tc>
          <w:tcPr>
            <w:tcW w:w="920" w:type="dxa"/>
            <w:vAlign w:val="top"/>
          </w:tcPr>
          <w:p w14:paraId="2D0294C8">
            <w:pPr>
              <w:spacing w:before="256"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A5745F9">
            <w:pPr>
              <w:spacing w:before="256"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50A15EAE">
            <w:pPr>
              <w:pStyle w:val="6"/>
              <w:spacing w:before="226" w:line="274" w:lineRule="exact"/>
              <w:ind w:left="284"/>
            </w:pPr>
            <w:r>
              <w:rPr>
                <w:spacing w:val="3"/>
                <w:position w:val="2"/>
              </w:rPr>
              <w:t>66667</w:t>
            </w:r>
          </w:p>
        </w:tc>
        <w:tc>
          <w:tcPr>
            <w:tcW w:w="1113" w:type="dxa"/>
            <w:vAlign w:val="top"/>
          </w:tcPr>
          <w:p w14:paraId="02579230">
            <w:pPr>
              <w:pStyle w:val="6"/>
              <w:spacing w:before="226" w:line="274" w:lineRule="exact"/>
              <w:ind w:left="111"/>
            </w:pPr>
            <w:r>
              <w:rPr>
                <w:spacing w:val="4"/>
                <w:position w:val="2"/>
              </w:rPr>
              <w:t>2022-2025</w:t>
            </w:r>
          </w:p>
        </w:tc>
        <w:tc>
          <w:tcPr>
            <w:tcW w:w="1028" w:type="dxa"/>
            <w:vAlign w:val="top"/>
          </w:tcPr>
          <w:p w14:paraId="36AB84B9">
            <w:pPr>
              <w:pStyle w:val="6"/>
              <w:spacing w:before="226" w:line="274" w:lineRule="exact"/>
              <w:ind w:left="344"/>
            </w:pPr>
            <w:r>
              <w:rPr>
                <w:spacing w:val="2"/>
                <w:position w:val="2"/>
              </w:rPr>
              <w:t>3.00</w:t>
            </w:r>
          </w:p>
        </w:tc>
        <w:tc>
          <w:tcPr>
            <w:tcW w:w="3175" w:type="dxa"/>
            <w:tcBorders>
              <w:right w:val="single" w:color="000000" w:sz="10" w:space="0"/>
            </w:tcBorders>
            <w:vAlign w:val="top"/>
          </w:tcPr>
          <w:p w14:paraId="6A13C1A1">
            <w:pPr>
              <w:spacing w:before="90" w:line="265"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24DFF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5E8D25A5">
            <w:pPr>
              <w:pStyle w:val="6"/>
              <w:spacing w:before="227" w:line="274" w:lineRule="exact"/>
              <w:ind w:left="252"/>
            </w:pPr>
            <w:r>
              <w:rPr>
                <w:position w:val="1"/>
              </w:rPr>
              <w:t>2</w:t>
            </w:r>
          </w:p>
        </w:tc>
        <w:tc>
          <w:tcPr>
            <w:tcW w:w="1412" w:type="dxa"/>
            <w:vAlign w:val="top"/>
          </w:tcPr>
          <w:p w14:paraId="5083CE72">
            <w:pPr>
              <w:spacing w:before="257"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7E0A1DA2">
            <w:pPr>
              <w:spacing w:before="258" w:line="228" w:lineRule="auto"/>
              <w:ind w:left="1317"/>
              <w:rPr>
                <w:rFonts w:ascii="宋体" w:hAnsi="宋体" w:eastAsia="宋体" w:cs="宋体"/>
                <w:sz w:val="20"/>
                <w:szCs w:val="20"/>
              </w:rPr>
            </w:pPr>
            <w:r>
              <w:rPr>
                <w:rFonts w:ascii="宋体" w:hAnsi="宋体" w:eastAsia="宋体" w:cs="宋体"/>
                <w:spacing w:val="7"/>
                <w:sz w:val="20"/>
                <w:szCs w:val="20"/>
              </w:rPr>
              <w:t>会泽县</w:t>
            </w:r>
          </w:p>
        </w:tc>
        <w:tc>
          <w:tcPr>
            <w:tcW w:w="3125" w:type="dxa"/>
            <w:vAlign w:val="top"/>
          </w:tcPr>
          <w:p w14:paraId="10D741CA">
            <w:pPr>
              <w:spacing w:before="258" w:line="228" w:lineRule="auto"/>
              <w:ind w:left="513"/>
              <w:rPr>
                <w:rFonts w:ascii="宋体" w:hAnsi="宋体" w:eastAsia="宋体" w:cs="宋体"/>
                <w:sz w:val="20"/>
                <w:szCs w:val="20"/>
              </w:rPr>
            </w:pPr>
            <w:r>
              <w:rPr>
                <w:rFonts w:ascii="宋体" w:hAnsi="宋体" w:eastAsia="宋体" w:cs="宋体"/>
                <w:spacing w:val="9"/>
                <w:sz w:val="20"/>
                <w:szCs w:val="20"/>
              </w:rPr>
              <w:t>会泽汽车综合客运枢纽</w:t>
            </w:r>
          </w:p>
        </w:tc>
        <w:tc>
          <w:tcPr>
            <w:tcW w:w="2204" w:type="dxa"/>
            <w:vAlign w:val="top"/>
          </w:tcPr>
          <w:p w14:paraId="035F83B9">
            <w:pPr>
              <w:rPr>
                <w:rFonts w:ascii="Arial"/>
                <w:sz w:val="21"/>
              </w:rPr>
            </w:pPr>
          </w:p>
        </w:tc>
        <w:tc>
          <w:tcPr>
            <w:tcW w:w="2066" w:type="dxa"/>
            <w:vAlign w:val="top"/>
          </w:tcPr>
          <w:p w14:paraId="4281FB70">
            <w:pPr>
              <w:rPr>
                <w:rFonts w:ascii="Arial"/>
                <w:sz w:val="21"/>
              </w:rPr>
            </w:pPr>
          </w:p>
        </w:tc>
        <w:tc>
          <w:tcPr>
            <w:tcW w:w="920" w:type="dxa"/>
            <w:vAlign w:val="top"/>
          </w:tcPr>
          <w:p w14:paraId="7F8FCF14">
            <w:pPr>
              <w:spacing w:before="258"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B501E9D">
            <w:pPr>
              <w:spacing w:before="257"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177D246B">
            <w:pPr>
              <w:pStyle w:val="6"/>
              <w:spacing w:before="227" w:line="274" w:lineRule="exact"/>
              <w:ind w:left="284"/>
            </w:pPr>
            <w:r>
              <w:rPr>
                <w:spacing w:val="3"/>
                <w:position w:val="2"/>
              </w:rPr>
              <w:t>66667</w:t>
            </w:r>
          </w:p>
        </w:tc>
        <w:tc>
          <w:tcPr>
            <w:tcW w:w="1113" w:type="dxa"/>
            <w:vAlign w:val="top"/>
          </w:tcPr>
          <w:p w14:paraId="74BA4127">
            <w:pPr>
              <w:pStyle w:val="6"/>
              <w:spacing w:before="227" w:line="274" w:lineRule="exact"/>
              <w:ind w:left="111"/>
            </w:pPr>
            <w:r>
              <w:rPr>
                <w:spacing w:val="4"/>
                <w:position w:val="2"/>
              </w:rPr>
              <w:t>2022-2025</w:t>
            </w:r>
          </w:p>
        </w:tc>
        <w:tc>
          <w:tcPr>
            <w:tcW w:w="1028" w:type="dxa"/>
            <w:vAlign w:val="top"/>
          </w:tcPr>
          <w:p w14:paraId="6FA60AA9">
            <w:pPr>
              <w:pStyle w:val="6"/>
              <w:spacing w:before="227" w:line="274" w:lineRule="exact"/>
              <w:ind w:left="360"/>
            </w:pPr>
            <w:r>
              <w:rPr>
                <w:spacing w:val="-2"/>
                <w:position w:val="2"/>
              </w:rPr>
              <w:t>1.60</w:t>
            </w:r>
          </w:p>
        </w:tc>
        <w:tc>
          <w:tcPr>
            <w:tcW w:w="3175" w:type="dxa"/>
            <w:tcBorders>
              <w:right w:val="single" w:color="000000" w:sz="10" w:space="0"/>
            </w:tcBorders>
            <w:vAlign w:val="top"/>
          </w:tcPr>
          <w:p w14:paraId="75612179">
            <w:pPr>
              <w:spacing w:before="92" w:line="264" w:lineRule="auto"/>
              <w:ind w:left="653" w:right="7" w:hanging="619"/>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r>
              <w:rPr>
                <w:rFonts w:ascii="宋体" w:hAnsi="宋体" w:eastAsia="宋体" w:cs="宋体"/>
                <w:spacing w:val="8"/>
                <w:sz w:val="20"/>
                <w:szCs w:val="20"/>
              </w:rPr>
              <w:t>发展规划》新建项目</w:t>
            </w:r>
          </w:p>
        </w:tc>
      </w:tr>
      <w:tr w14:paraId="1AB1C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639" w:type="dxa"/>
            <w:tcBorders>
              <w:left w:val="single" w:color="000000" w:sz="10" w:space="0"/>
            </w:tcBorders>
            <w:vAlign w:val="top"/>
          </w:tcPr>
          <w:p w14:paraId="01E37C6B">
            <w:pPr>
              <w:pStyle w:val="6"/>
              <w:spacing w:before="229" w:line="274" w:lineRule="exact"/>
              <w:ind w:left="256"/>
            </w:pPr>
            <w:r>
              <w:rPr>
                <w:position w:val="2"/>
              </w:rPr>
              <w:t>3</w:t>
            </w:r>
          </w:p>
        </w:tc>
        <w:tc>
          <w:tcPr>
            <w:tcW w:w="1412" w:type="dxa"/>
            <w:vAlign w:val="top"/>
          </w:tcPr>
          <w:p w14:paraId="34A7A2DB">
            <w:pPr>
              <w:spacing w:before="257"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5219E812">
            <w:pPr>
              <w:spacing w:before="257" w:line="229" w:lineRule="auto"/>
              <w:ind w:left="1326"/>
              <w:rPr>
                <w:rFonts w:ascii="宋体" w:hAnsi="宋体" w:eastAsia="宋体" w:cs="宋体"/>
                <w:sz w:val="20"/>
                <w:szCs w:val="20"/>
              </w:rPr>
            </w:pPr>
            <w:r>
              <w:rPr>
                <w:rFonts w:ascii="宋体" w:hAnsi="宋体" w:eastAsia="宋体" w:cs="宋体"/>
                <w:spacing w:val="4"/>
                <w:sz w:val="20"/>
                <w:szCs w:val="20"/>
              </w:rPr>
              <w:t>富源县</w:t>
            </w:r>
          </w:p>
        </w:tc>
        <w:tc>
          <w:tcPr>
            <w:tcW w:w="3125" w:type="dxa"/>
            <w:vAlign w:val="top"/>
          </w:tcPr>
          <w:p w14:paraId="51ED4DA8">
            <w:pPr>
              <w:spacing w:before="95" w:line="263" w:lineRule="auto"/>
              <w:ind w:left="616" w:right="96" w:hanging="514"/>
              <w:rPr>
                <w:rFonts w:ascii="宋体" w:hAnsi="宋体" w:eastAsia="宋体" w:cs="宋体"/>
                <w:sz w:val="20"/>
                <w:szCs w:val="20"/>
              </w:rPr>
            </w:pPr>
            <w:r>
              <w:rPr>
                <w:rFonts w:ascii="宋体" w:hAnsi="宋体" w:eastAsia="宋体" w:cs="宋体"/>
                <w:spacing w:val="8"/>
                <w:sz w:val="20"/>
                <w:szCs w:val="20"/>
              </w:rPr>
              <w:t>富源县沪昆高铁富源北站站前广</w:t>
            </w:r>
            <w:r>
              <w:rPr>
                <w:rFonts w:ascii="宋体" w:hAnsi="宋体" w:eastAsia="宋体" w:cs="宋体"/>
                <w:spacing w:val="9"/>
                <w:sz w:val="20"/>
                <w:szCs w:val="20"/>
              </w:rPr>
              <w:t>场配套基础设施建设</w:t>
            </w:r>
          </w:p>
        </w:tc>
        <w:tc>
          <w:tcPr>
            <w:tcW w:w="2204" w:type="dxa"/>
            <w:vAlign w:val="top"/>
          </w:tcPr>
          <w:p w14:paraId="67FBD135">
            <w:pPr>
              <w:rPr>
                <w:rFonts w:ascii="Arial"/>
                <w:sz w:val="21"/>
              </w:rPr>
            </w:pPr>
          </w:p>
        </w:tc>
        <w:tc>
          <w:tcPr>
            <w:tcW w:w="2066" w:type="dxa"/>
            <w:vAlign w:val="top"/>
          </w:tcPr>
          <w:p w14:paraId="32497297">
            <w:pPr>
              <w:rPr>
                <w:rFonts w:ascii="Arial"/>
                <w:sz w:val="21"/>
              </w:rPr>
            </w:pPr>
          </w:p>
        </w:tc>
        <w:tc>
          <w:tcPr>
            <w:tcW w:w="920" w:type="dxa"/>
            <w:vAlign w:val="top"/>
          </w:tcPr>
          <w:p w14:paraId="7CE71578">
            <w:pPr>
              <w:spacing w:before="257"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35F780C4">
            <w:pPr>
              <w:spacing w:before="257"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598307A8">
            <w:pPr>
              <w:pStyle w:val="6"/>
              <w:spacing w:before="229" w:line="274" w:lineRule="exact"/>
              <w:ind w:left="284"/>
            </w:pPr>
            <w:r>
              <w:rPr>
                <w:spacing w:val="3"/>
                <w:position w:val="2"/>
              </w:rPr>
              <w:t>36240</w:t>
            </w:r>
          </w:p>
        </w:tc>
        <w:tc>
          <w:tcPr>
            <w:tcW w:w="1113" w:type="dxa"/>
            <w:vAlign w:val="top"/>
          </w:tcPr>
          <w:p w14:paraId="5D5C4346">
            <w:pPr>
              <w:pStyle w:val="6"/>
              <w:spacing w:before="229" w:line="274" w:lineRule="exact"/>
              <w:ind w:left="111"/>
            </w:pPr>
            <w:r>
              <w:rPr>
                <w:spacing w:val="4"/>
                <w:position w:val="2"/>
              </w:rPr>
              <w:t>2021-2023</w:t>
            </w:r>
          </w:p>
        </w:tc>
        <w:tc>
          <w:tcPr>
            <w:tcW w:w="1028" w:type="dxa"/>
            <w:vAlign w:val="top"/>
          </w:tcPr>
          <w:p w14:paraId="4DC89C1C">
            <w:pPr>
              <w:pStyle w:val="6"/>
              <w:spacing w:before="229" w:line="274" w:lineRule="exact"/>
              <w:ind w:left="339"/>
            </w:pPr>
            <w:r>
              <w:rPr>
                <w:spacing w:val="3"/>
                <w:position w:val="2"/>
              </w:rPr>
              <w:t>4.60</w:t>
            </w:r>
          </w:p>
        </w:tc>
        <w:tc>
          <w:tcPr>
            <w:tcW w:w="3175" w:type="dxa"/>
            <w:tcBorders>
              <w:right w:val="single" w:color="000000" w:sz="10" w:space="0"/>
            </w:tcBorders>
            <w:vAlign w:val="top"/>
          </w:tcPr>
          <w:p w14:paraId="4E7FCB2C">
            <w:pPr>
              <w:rPr>
                <w:rFonts w:ascii="Arial"/>
                <w:sz w:val="21"/>
              </w:rPr>
            </w:pPr>
          </w:p>
        </w:tc>
      </w:tr>
      <w:tr w14:paraId="1C706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52CF2464">
            <w:pPr>
              <w:rPr>
                <w:rFonts w:ascii="Arial"/>
                <w:sz w:val="21"/>
              </w:rPr>
            </w:pPr>
          </w:p>
        </w:tc>
        <w:tc>
          <w:tcPr>
            <w:tcW w:w="7811" w:type="dxa"/>
            <w:gridSpan w:val="3"/>
            <w:vAlign w:val="top"/>
          </w:tcPr>
          <w:p w14:paraId="5FC6FEA3">
            <w:pPr>
              <w:spacing w:before="115" w:line="228" w:lineRule="auto"/>
              <w:ind w:left="19"/>
              <w:rPr>
                <w:rFonts w:ascii="宋体" w:hAnsi="宋体" w:eastAsia="宋体" w:cs="宋体"/>
                <w:sz w:val="20"/>
                <w:szCs w:val="20"/>
              </w:rPr>
            </w:pPr>
            <w:r>
              <w:rPr>
                <w:rFonts w:ascii="宋体" w:hAnsi="宋体" w:eastAsia="宋体" w:cs="宋体"/>
                <w:b/>
                <w:bCs/>
                <w:spacing w:val="4"/>
                <w:sz w:val="20"/>
                <w:szCs w:val="20"/>
              </w:rPr>
              <w:t>（2）储备项目&lt;12</w:t>
            </w:r>
            <w:r>
              <w:rPr>
                <w:rFonts w:ascii="宋体" w:hAnsi="宋体" w:eastAsia="宋体" w:cs="宋体"/>
                <w:spacing w:val="-37"/>
                <w:sz w:val="20"/>
                <w:szCs w:val="20"/>
              </w:rPr>
              <w:t xml:space="preserve"> </w:t>
            </w:r>
            <w:r>
              <w:rPr>
                <w:rFonts w:ascii="宋体" w:hAnsi="宋体" w:eastAsia="宋体" w:cs="宋体"/>
                <w:b/>
                <w:bCs/>
                <w:spacing w:val="4"/>
                <w:sz w:val="20"/>
                <w:szCs w:val="20"/>
              </w:rPr>
              <w:t>个&gt;</w:t>
            </w:r>
          </w:p>
        </w:tc>
        <w:tc>
          <w:tcPr>
            <w:tcW w:w="2204" w:type="dxa"/>
            <w:vAlign w:val="top"/>
          </w:tcPr>
          <w:p w14:paraId="43294924">
            <w:pPr>
              <w:rPr>
                <w:rFonts w:ascii="Arial"/>
                <w:sz w:val="21"/>
              </w:rPr>
            </w:pPr>
          </w:p>
        </w:tc>
        <w:tc>
          <w:tcPr>
            <w:tcW w:w="2066" w:type="dxa"/>
            <w:vAlign w:val="top"/>
          </w:tcPr>
          <w:p w14:paraId="385EA74F">
            <w:pPr>
              <w:rPr>
                <w:rFonts w:ascii="Arial"/>
                <w:sz w:val="21"/>
              </w:rPr>
            </w:pPr>
          </w:p>
        </w:tc>
        <w:tc>
          <w:tcPr>
            <w:tcW w:w="920" w:type="dxa"/>
            <w:vAlign w:val="top"/>
          </w:tcPr>
          <w:p w14:paraId="6A439146">
            <w:pPr>
              <w:rPr>
                <w:rFonts w:ascii="Arial"/>
                <w:sz w:val="21"/>
              </w:rPr>
            </w:pPr>
          </w:p>
        </w:tc>
        <w:tc>
          <w:tcPr>
            <w:tcW w:w="963" w:type="dxa"/>
            <w:vAlign w:val="top"/>
          </w:tcPr>
          <w:p w14:paraId="0C439CE0">
            <w:pPr>
              <w:rPr>
                <w:rFonts w:ascii="Arial"/>
                <w:sz w:val="21"/>
              </w:rPr>
            </w:pPr>
          </w:p>
        </w:tc>
        <w:tc>
          <w:tcPr>
            <w:tcW w:w="1071" w:type="dxa"/>
            <w:vAlign w:val="top"/>
          </w:tcPr>
          <w:p w14:paraId="52AF1EE9">
            <w:pPr>
              <w:rPr>
                <w:rFonts w:ascii="Arial"/>
                <w:sz w:val="21"/>
              </w:rPr>
            </w:pPr>
          </w:p>
        </w:tc>
        <w:tc>
          <w:tcPr>
            <w:tcW w:w="1113" w:type="dxa"/>
            <w:vAlign w:val="top"/>
          </w:tcPr>
          <w:p w14:paraId="026931FB">
            <w:pPr>
              <w:rPr>
                <w:rFonts w:ascii="Arial"/>
                <w:sz w:val="21"/>
              </w:rPr>
            </w:pPr>
          </w:p>
        </w:tc>
        <w:tc>
          <w:tcPr>
            <w:tcW w:w="1028" w:type="dxa"/>
            <w:vAlign w:val="top"/>
          </w:tcPr>
          <w:p w14:paraId="1D45059E">
            <w:pPr>
              <w:pStyle w:val="6"/>
              <w:spacing w:before="151" w:line="195" w:lineRule="auto"/>
              <w:ind w:left="288"/>
            </w:pPr>
            <w:r>
              <w:rPr>
                <w:b/>
                <w:bCs/>
                <w:spacing w:val="3"/>
              </w:rPr>
              <w:t>20.79</w:t>
            </w:r>
          </w:p>
        </w:tc>
        <w:tc>
          <w:tcPr>
            <w:tcW w:w="3175" w:type="dxa"/>
            <w:tcBorders>
              <w:right w:val="single" w:color="000000" w:sz="10" w:space="0"/>
            </w:tcBorders>
            <w:vAlign w:val="top"/>
          </w:tcPr>
          <w:p w14:paraId="6693465A">
            <w:pPr>
              <w:rPr>
                <w:rFonts w:ascii="Arial"/>
                <w:sz w:val="21"/>
              </w:rPr>
            </w:pPr>
          </w:p>
        </w:tc>
      </w:tr>
      <w:tr w14:paraId="10D06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23F5C898">
            <w:pPr>
              <w:pStyle w:val="6"/>
              <w:spacing w:before="87" w:line="274" w:lineRule="exact"/>
              <w:ind w:left="272"/>
            </w:pPr>
            <w:r>
              <w:rPr>
                <w:position w:val="1"/>
              </w:rPr>
              <w:t>1</w:t>
            </w:r>
          </w:p>
        </w:tc>
        <w:tc>
          <w:tcPr>
            <w:tcW w:w="1412" w:type="dxa"/>
            <w:vAlign w:val="top"/>
          </w:tcPr>
          <w:p w14:paraId="078781D9">
            <w:pPr>
              <w:spacing w:before="116" w:line="228" w:lineRule="auto"/>
              <w:ind w:left="496"/>
              <w:rPr>
                <w:rFonts w:ascii="宋体" w:hAnsi="宋体" w:eastAsia="宋体" w:cs="宋体"/>
                <w:sz w:val="20"/>
                <w:szCs w:val="20"/>
              </w:rPr>
            </w:pPr>
            <w:r>
              <w:rPr>
                <w:rFonts w:ascii="宋体" w:hAnsi="宋体" w:eastAsia="宋体" w:cs="宋体"/>
                <w:spacing w:val="2"/>
                <w:sz w:val="20"/>
                <w:szCs w:val="20"/>
              </w:rPr>
              <w:t>市级</w:t>
            </w:r>
          </w:p>
        </w:tc>
        <w:tc>
          <w:tcPr>
            <w:tcW w:w="3274" w:type="dxa"/>
            <w:vAlign w:val="top"/>
          </w:tcPr>
          <w:p w14:paraId="63725E48">
            <w:pPr>
              <w:spacing w:before="115" w:line="228" w:lineRule="auto"/>
              <w:ind w:left="1343"/>
              <w:rPr>
                <w:rFonts w:ascii="宋体" w:hAnsi="宋体" w:eastAsia="宋体" w:cs="宋体"/>
                <w:sz w:val="20"/>
                <w:szCs w:val="20"/>
              </w:rPr>
            </w:pPr>
            <w:r>
              <w:rPr>
                <w:rFonts w:ascii="宋体" w:hAnsi="宋体" w:eastAsia="宋体" w:cs="宋体"/>
                <w:spacing w:val="-2"/>
                <w:sz w:val="20"/>
                <w:szCs w:val="20"/>
              </w:rPr>
              <w:t>曲靖市</w:t>
            </w:r>
          </w:p>
        </w:tc>
        <w:tc>
          <w:tcPr>
            <w:tcW w:w="3125" w:type="dxa"/>
            <w:vAlign w:val="top"/>
          </w:tcPr>
          <w:p w14:paraId="5990C5EE">
            <w:pPr>
              <w:spacing w:before="115" w:line="228" w:lineRule="auto"/>
              <w:ind w:left="747"/>
              <w:rPr>
                <w:rFonts w:ascii="宋体" w:hAnsi="宋体" w:eastAsia="宋体" w:cs="宋体"/>
                <w:sz w:val="20"/>
                <w:szCs w:val="20"/>
              </w:rPr>
            </w:pPr>
            <w:r>
              <w:rPr>
                <w:rFonts w:ascii="宋体" w:hAnsi="宋体" w:eastAsia="宋体" w:cs="宋体"/>
                <w:spacing w:val="5"/>
                <w:sz w:val="20"/>
                <w:szCs w:val="20"/>
              </w:rPr>
              <w:t>曲靖汽车客运东站</w:t>
            </w:r>
          </w:p>
        </w:tc>
        <w:tc>
          <w:tcPr>
            <w:tcW w:w="2204" w:type="dxa"/>
            <w:vAlign w:val="top"/>
          </w:tcPr>
          <w:p w14:paraId="39B31D8F">
            <w:pPr>
              <w:rPr>
                <w:rFonts w:ascii="Arial"/>
                <w:sz w:val="21"/>
              </w:rPr>
            </w:pPr>
          </w:p>
        </w:tc>
        <w:tc>
          <w:tcPr>
            <w:tcW w:w="2066" w:type="dxa"/>
            <w:vAlign w:val="top"/>
          </w:tcPr>
          <w:p w14:paraId="4D75C5FC">
            <w:pPr>
              <w:rPr>
                <w:rFonts w:ascii="Arial"/>
                <w:sz w:val="21"/>
              </w:rPr>
            </w:pPr>
          </w:p>
        </w:tc>
        <w:tc>
          <w:tcPr>
            <w:tcW w:w="920" w:type="dxa"/>
            <w:vAlign w:val="top"/>
          </w:tcPr>
          <w:p w14:paraId="772586F7">
            <w:pPr>
              <w:spacing w:before="11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7EA98B9B">
            <w:pPr>
              <w:spacing w:before="115"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115F1C1B">
            <w:pPr>
              <w:pStyle w:val="6"/>
              <w:spacing w:before="87" w:line="274" w:lineRule="exact"/>
              <w:ind w:left="284"/>
            </w:pPr>
            <w:r>
              <w:rPr>
                <w:spacing w:val="3"/>
                <w:position w:val="2"/>
              </w:rPr>
              <w:t>69333</w:t>
            </w:r>
          </w:p>
        </w:tc>
        <w:tc>
          <w:tcPr>
            <w:tcW w:w="1113" w:type="dxa"/>
            <w:vAlign w:val="top"/>
          </w:tcPr>
          <w:p w14:paraId="445723FD">
            <w:pPr>
              <w:rPr>
                <w:rFonts w:ascii="Arial"/>
                <w:sz w:val="21"/>
              </w:rPr>
            </w:pPr>
          </w:p>
        </w:tc>
        <w:tc>
          <w:tcPr>
            <w:tcW w:w="1028" w:type="dxa"/>
            <w:vAlign w:val="top"/>
          </w:tcPr>
          <w:p w14:paraId="1988E922">
            <w:pPr>
              <w:pStyle w:val="6"/>
              <w:spacing w:before="87" w:line="274" w:lineRule="exact"/>
              <w:ind w:left="340"/>
            </w:pPr>
            <w:r>
              <w:rPr>
                <w:spacing w:val="3"/>
                <w:position w:val="2"/>
              </w:rPr>
              <w:t>2.10</w:t>
            </w:r>
          </w:p>
        </w:tc>
        <w:tc>
          <w:tcPr>
            <w:tcW w:w="3175" w:type="dxa"/>
            <w:tcBorders>
              <w:right w:val="single" w:color="000000" w:sz="10" w:space="0"/>
            </w:tcBorders>
            <w:vAlign w:val="top"/>
          </w:tcPr>
          <w:p w14:paraId="12C07DD6">
            <w:pPr>
              <w:rPr>
                <w:rFonts w:ascii="Arial"/>
                <w:sz w:val="21"/>
              </w:rPr>
            </w:pPr>
          </w:p>
        </w:tc>
      </w:tr>
      <w:tr w14:paraId="4FDEE3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7FE78A64">
            <w:pPr>
              <w:pStyle w:val="6"/>
              <w:spacing w:before="88" w:line="274" w:lineRule="exact"/>
              <w:ind w:left="252"/>
            </w:pPr>
            <w:r>
              <w:rPr>
                <w:position w:val="1"/>
              </w:rPr>
              <w:t>2</w:t>
            </w:r>
          </w:p>
        </w:tc>
        <w:tc>
          <w:tcPr>
            <w:tcW w:w="1412" w:type="dxa"/>
            <w:vAlign w:val="top"/>
          </w:tcPr>
          <w:p w14:paraId="12323F29">
            <w:pPr>
              <w:spacing w:before="116" w:line="228" w:lineRule="auto"/>
              <w:ind w:left="496"/>
              <w:rPr>
                <w:rFonts w:ascii="宋体" w:hAnsi="宋体" w:eastAsia="宋体" w:cs="宋体"/>
                <w:sz w:val="20"/>
                <w:szCs w:val="20"/>
              </w:rPr>
            </w:pPr>
            <w:r>
              <w:rPr>
                <w:rFonts w:ascii="宋体" w:hAnsi="宋体" w:eastAsia="宋体" w:cs="宋体"/>
                <w:spacing w:val="2"/>
                <w:sz w:val="20"/>
                <w:szCs w:val="20"/>
              </w:rPr>
              <w:t>市级</w:t>
            </w:r>
          </w:p>
        </w:tc>
        <w:tc>
          <w:tcPr>
            <w:tcW w:w="3274" w:type="dxa"/>
            <w:vAlign w:val="top"/>
          </w:tcPr>
          <w:p w14:paraId="12C72794">
            <w:pPr>
              <w:spacing w:before="116" w:line="228" w:lineRule="auto"/>
              <w:ind w:left="1343"/>
              <w:rPr>
                <w:rFonts w:ascii="宋体" w:hAnsi="宋体" w:eastAsia="宋体" w:cs="宋体"/>
                <w:sz w:val="20"/>
                <w:szCs w:val="20"/>
              </w:rPr>
            </w:pPr>
            <w:r>
              <w:rPr>
                <w:rFonts w:ascii="宋体" w:hAnsi="宋体" w:eastAsia="宋体" w:cs="宋体"/>
                <w:spacing w:val="-2"/>
                <w:sz w:val="20"/>
                <w:szCs w:val="20"/>
              </w:rPr>
              <w:t>曲靖市</w:t>
            </w:r>
          </w:p>
        </w:tc>
        <w:tc>
          <w:tcPr>
            <w:tcW w:w="3125" w:type="dxa"/>
            <w:vAlign w:val="top"/>
          </w:tcPr>
          <w:p w14:paraId="6CCDE506">
            <w:pPr>
              <w:spacing w:before="116" w:line="228" w:lineRule="auto"/>
              <w:ind w:left="538"/>
              <w:rPr>
                <w:rFonts w:ascii="宋体" w:hAnsi="宋体" w:eastAsia="宋体" w:cs="宋体"/>
                <w:sz w:val="20"/>
                <w:szCs w:val="20"/>
              </w:rPr>
            </w:pPr>
            <w:r>
              <w:rPr>
                <w:rFonts w:ascii="宋体" w:hAnsi="宋体" w:eastAsia="宋体" w:cs="宋体"/>
                <w:spacing w:val="6"/>
                <w:sz w:val="20"/>
                <w:szCs w:val="20"/>
              </w:rPr>
              <w:t>曲靖马龙汽车客运东站</w:t>
            </w:r>
          </w:p>
        </w:tc>
        <w:tc>
          <w:tcPr>
            <w:tcW w:w="2204" w:type="dxa"/>
            <w:vAlign w:val="top"/>
          </w:tcPr>
          <w:p w14:paraId="1388CB47">
            <w:pPr>
              <w:rPr>
                <w:rFonts w:ascii="Arial"/>
                <w:sz w:val="21"/>
              </w:rPr>
            </w:pPr>
          </w:p>
        </w:tc>
        <w:tc>
          <w:tcPr>
            <w:tcW w:w="2066" w:type="dxa"/>
            <w:vAlign w:val="top"/>
          </w:tcPr>
          <w:p w14:paraId="154FB1F8">
            <w:pPr>
              <w:rPr>
                <w:rFonts w:ascii="Arial"/>
                <w:sz w:val="21"/>
              </w:rPr>
            </w:pPr>
          </w:p>
        </w:tc>
        <w:tc>
          <w:tcPr>
            <w:tcW w:w="920" w:type="dxa"/>
            <w:vAlign w:val="top"/>
          </w:tcPr>
          <w:p w14:paraId="5344523E">
            <w:pPr>
              <w:spacing w:before="116"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6EE9D7BB">
            <w:pPr>
              <w:spacing w:before="116"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4650644F">
            <w:pPr>
              <w:pStyle w:val="6"/>
              <w:spacing w:before="88" w:line="274" w:lineRule="exact"/>
              <w:ind w:left="279"/>
            </w:pPr>
            <w:r>
              <w:rPr>
                <w:spacing w:val="4"/>
                <w:position w:val="2"/>
              </w:rPr>
              <w:t>40000</w:t>
            </w:r>
          </w:p>
        </w:tc>
        <w:tc>
          <w:tcPr>
            <w:tcW w:w="1113" w:type="dxa"/>
            <w:vAlign w:val="top"/>
          </w:tcPr>
          <w:p w14:paraId="5B712198">
            <w:pPr>
              <w:rPr>
                <w:rFonts w:ascii="Arial"/>
                <w:sz w:val="21"/>
              </w:rPr>
            </w:pPr>
          </w:p>
        </w:tc>
        <w:tc>
          <w:tcPr>
            <w:tcW w:w="1028" w:type="dxa"/>
            <w:vAlign w:val="top"/>
          </w:tcPr>
          <w:p w14:paraId="08E0071B">
            <w:pPr>
              <w:pStyle w:val="6"/>
              <w:spacing w:before="88" w:line="274" w:lineRule="exact"/>
              <w:ind w:left="339"/>
            </w:pPr>
            <w:r>
              <w:rPr>
                <w:spacing w:val="3"/>
                <w:position w:val="2"/>
              </w:rPr>
              <w:t>4.00</w:t>
            </w:r>
          </w:p>
        </w:tc>
        <w:tc>
          <w:tcPr>
            <w:tcW w:w="3175" w:type="dxa"/>
            <w:tcBorders>
              <w:right w:val="single" w:color="000000" w:sz="10" w:space="0"/>
            </w:tcBorders>
            <w:vAlign w:val="top"/>
          </w:tcPr>
          <w:p w14:paraId="30612D4E">
            <w:pPr>
              <w:rPr>
                <w:rFonts w:ascii="Arial"/>
                <w:sz w:val="21"/>
              </w:rPr>
            </w:pPr>
          </w:p>
        </w:tc>
      </w:tr>
      <w:tr w14:paraId="3E3C8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60318A70">
            <w:pPr>
              <w:pStyle w:val="6"/>
              <w:spacing w:before="88" w:line="274" w:lineRule="exact"/>
              <w:ind w:left="256"/>
            </w:pPr>
            <w:r>
              <w:rPr>
                <w:position w:val="2"/>
              </w:rPr>
              <w:t>3</w:t>
            </w:r>
          </w:p>
        </w:tc>
        <w:tc>
          <w:tcPr>
            <w:tcW w:w="1412" w:type="dxa"/>
            <w:vAlign w:val="top"/>
          </w:tcPr>
          <w:p w14:paraId="70506465">
            <w:pPr>
              <w:spacing w:before="119"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007832B2">
            <w:pPr>
              <w:spacing w:before="119" w:line="229" w:lineRule="auto"/>
              <w:ind w:left="1326"/>
              <w:rPr>
                <w:rFonts w:ascii="宋体" w:hAnsi="宋体" w:eastAsia="宋体" w:cs="宋体"/>
                <w:sz w:val="20"/>
                <w:szCs w:val="20"/>
              </w:rPr>
            </w:pPr>
            <w:r>
              <w:rPr>
                <w:rFonts w:ascii="宋体" w:hAnsi="宋体" w:eastAsia="宋体" w:cs="宋体"/>
                <w:spacing w:val="4"/>
                <w:sz w:val="20"/>
                <w:szCs w:val="20"/>
              </w:rPr>
              <w:t>富源县</w:t>
            </w:r>
          </w:p>
        </w:tc>
        <w:tc>
          <w:tcPr>
            <w:tcW w:w="3125" w:type="dxa"/>
            <w:vAlign w:val="top"/>
          </w:tcPr>
          <w:p w14:paraId="33B2CE34">
            <w:pPr>
              <w:spacing w:before="119" w:line="228" w:lineRule="auto"/>
              <w:ind w:left="522"/>
              <w:rPr>
                <w:rFonts w:ascii="宋体" w:hAnsi="宋体" w:eastAsia="宋体" w:cs="宋体"/>
                <w:sz w:val="20"/>
                <w:szCs w:val="20"/>
              </w:rPr>
            </w:pPr>
            <w:r>
              <w:rPr>
                <w:rFonts w:ascii="宋体" w:hAnsi="宋体" w:eastAsia="宋体" w:cs="宋体"/>
                <w:spacing w:val="8"/>
                <w:sz w:val="20"/>
                <w:szCs w:val="20"/>
              </w:rPr>
              <w:t>富源北汽车综合客运站</w:t>
            </w:r>
          </w:p>
        </w:tc>
        <w:tc>
          <w:tcPr>
            <w:tcW w:w="2204" w:type="dxa"/>
            <w:vAlign w:val="top"/>
          </w:tcPr>
          <w:p w14:paraId="1A9AADAF">
            <w:pPr>
              <w:rPr>
                <w:rFonts w:ascii="Arial"/>
                <w:sz w:val="21"/>
              </w:rPr>
            </w:pPr>
          </w:p>
        </w:tc>
        <w:tc>
          <w:tcPr>
            <w:tcW w:w="2066" w:type="dxa"/>
            <w:vAlign w:val="top"/>
          </w:tcPr>
          <w:p w14:paraId="26B1760E">
            <w:pPr>
              <w:rPr>
                <w:rFonts w:ascii="Arial"/>
                <w:sz w:val="21"/>
              </w:rPr>
            </w:pPr>
          </w:p>
        </w:tc>
        <w:tc>
          <w:tcPr>
            <w:tcW w:w="920" w:type="dxa"/>
            <w:vAlign w:val="top"/>
          </w:tcPr>
          <w:p w14:paraId="697CA8DE">
            <w:pPr>
              <w:spacing w:before="119"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16C1C47">
            <w:pPr>
              <w:spacing w:before="119"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4EE0EACA">
            <w:pPr>
              <w:pStyle w:val="6"/>
              <w:spacing w:before="88" w:line="274" w:lineRule="exact"/>
              <w:ind w:left="284"/>
            </w:pPr>
            <w:r>
              <w:rPr>
                <w:spacing w:val="3"/>
                <w:position w:val="2"/>
              </w:rPr>
              <w:t>33333</w:t>
            </w:r>
          </w:p>
        </w:tc>
        <w:tc>
          <w:tcPr>
            <w:tcW w:w="1113" w:type="dxa"/>
            <w:vAlign w:val="top"/>
          </w:tcPr>
          <w:p w14:paraId="549EADE8">
            <w:pPr>
              <w:rPr>
                <w:rFonts w:ascii="Arial"/>
                <w:sz w:val="21"/>
              </w:rPr>
            </w:pPr>
          </w:p>
        </w:tc>
        <w:tc>
          <w:tcPr>
            <w:tcW w:w="1028" w:type="dxa"/>
            <w:vAlign w:val="top"/>
          </w:tcPr>
          <w:p w14:paraId="793DFAD1">
            <w:pPr>
              <w:pStyle w:val="6"/>
              <w:spacing w:before="88" w:line="274" w:lineRule="exact"/>
              <w:ind w:left="360"/>
            </w:pPr>
            <w:r>
              <w:rPr>
                <w:spacing w:val="-2"/>
                <w:position w:val="2"/>
              </w:rPr>
              <w:t>1.00</w:t>
            </w:r>
          </w:p>
        </w:tc>
        <w:tc>
          <w:tcPr>
            <w:tcW w:w="3175" w:type="dxa"/>
            <w:tcBorders>
              <w:right w:val="single" w:color="000000" w:sz="10" w:space="0"/>
            </w:tcBorders>
            <w:vAlign w:val="top"/>
          </w:tcPr>
          <w:p w14:paraId="49398AD2">
            <w:pPr>
              <w:rPr>
                <w:rFonts w:ascii="Arial"/>
                <w:sz w:val="21"/>
              </w:rPr>
            </w:pPr>
          </w:p>
        </w:tc>
      </w:tr>
      <w:tr w14:paraId="25BAB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09C8501D">
            <w:pPr>
              <w:pStyle w:val="6"/>
              <w:spacing w:before="88" w:line="274" w:lineRule="exact"/>
              <w:ind w:left="251"/>
            </w:pPr>
            <w:r>
              <w:rPr>
                <w:spacing w:val="1"/>
                <w:position w:val="1"/>
              </w:rPr>
              <w:t>4</w:t>
            </w:r>
          </w:p>
        </w:tc>
        <w:tc>
          <w:tcPr>
            <w:tcW w:w="1412" w:type="dxa"/>
            <w:vAlign w:val="top"/>
          </w:tcPr>
          <w:p w14:paraId="6C60D954">
            <w:pPr>
              <w:spacing w:before="118"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2B8552C7">
            <w:pPr>
              <w:spacing w:before="119" w:line="229" w:lineRule="auto"/>
              <w:ind w:left="1326"/>
              <w:rPr>
                <w:rFonts w:ascii="宋体" w:hAnsi="宋体" w:eastAsia="宋体" w:cs="宋体"/>
                <w:sz w:val="20"/>
                <w:szCs w:val="20"/>
              </w:rPr>
            </w:pPr>
            <w:r>
              <w:rPr>
                <w:rFonts w:ascii="宋体" w:hAnsi="宋体" w:eastAsia="宋体" w:cs="宋体"/>
                <w:spacing w:val="4"/>
                <w:sz w:val="20"/>
                <w:szCs w:val="20"/>
              </w:rPr>
              <w:t>富源县</w:t>
            </w:r>
          </w:p>
        </w:tc>
        <w:tc>
          <w:tcPr>
            <w:tcW w:w="3125" w:type="dxa"/>
            <w:vAlign w:val="top"/>
          </w:tcPr>
          <w:p w14:paraId="0CF81CEE">
            <w:pPr>
              <w:spacing w:before="119" w:line="228" w:lineRule="auto"/>
              <w:ind w:left="416"/>
              <w:rPr>
                <w:rFonts w:ascii="宋体" w:hAnsi="宋体" w:eastAsia="宋体" w:cs="宋体"/>
                <w:sz w:val="20"/>
                <w:szCs w:val="20"/>
              </w:rPr>
            </w:pPr>
            <w:r>
              <w:rPr>
                <w:rFonts w:ascii="宋体" w:hAnsi="宋体" w:eastAsia="宋体" w:cs="宋体"/>
                <w:spacing w:val="8"/>
                <w:sz w:val="20"/>
                <w:szCs w:val="20"/>
              </w:rPr>
              <w:t>富源南部综合客运枢纽站</w:t>
            </w:r>
          </w:p>
        </w:tc>
        <w:tc>
          <w:tcPr>
            <w:tcW w:w="2204" w:type="dxa"/>
            <w:vAlign w:val="top"/>
          </w:tcPr>
          <w:p w14:paraId="7053647B">
            <w:pPr>
              <w:rPr>
                <w:rFonts w:ascii="Arial"/>
                <w:sz w:val="21"/>
              </w:rPr>
            </w:pPr>
          </w:p>
        </w:tc>
        <w:tc>
          <w:tcPr>
            <w:tcW w:w="2066" w:type="dxa"/>
            <w:vAlign w:val="top"/>
          </w:tcPr>
          <w:p w14:paraId="0DB520BE">
            <w:pPr>
              <w:rPr>
                <w:rFonts w:ascii="Arial"/>
                <w:sz w:val="21"/>
              </w:rPr>
            </w:pPr>
          </w:p>
        </w:tc>
        <w:tc>
          <w:tcPr>
            <w:tcW w:w="920" w:type="dxa"/>
            <w:vAlign w:val="top"/>
          </w:tcPr>
          <w:p w14:paraId="7C769C22">
            <w:pPr>
              <w:spacing w:before="119"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5447C93">
            <w:pPr>
              <w:spacing w:before="118"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2E1DB9B9">
            <w:pPr>
              <w:pStyle w:val="6"/>
              <w:spacing w:before="88" w:line="274" w:lineRule="exact"/>
              <w:ind w:left="279"/>
            </w:pPr>
            <w:r>
              <w:rPr>
                <w:spacing w:val="4"/>
                <w:position w:val="2"/>
              </w:rPr>
              <w:t>46560</w:t>
            </w:r>
          </w:p>
        </w:tc>
        <w:tc>
          <w:tcPr>
            <w:tcW w:w="1113" w:type="dxa"/>
            <w:vAlign w:val="top"/>
          </w:tcPr>
          <w:p w14:paraId="5A234A31">
            <w:pPr>
              <w:rPr>
                <w:rFonts w:ascii="Arial"/>
                <w:sz w:val="21"/>
              </w:rPr>
            </w:pPr>
          </w:p>
        </w:tc>
        <w:tc>
          <w:tcPr>
            <w:tcW w:w="1028" w:type="dxa"/>
            <w:vAlign w:val="top"/>
          </w:tcPr>
          <w:p w14:paraId="687E916E">
            <w:pPr>
              <w:pStyle w:val="6"/>
              <w:spacing w:before="88" w:line="274" w:lineRule="exact"/>
              <w:ind w:left="344"/>
            </w:pPr>
            <w:r>
              <w:rPr>
                <w:spacing w:val="2"/>
                <w:position w:val="2"/>
              </w:rPr>
              <w:t>3.47</w:t>
            </w:r>
          </w:p>
        </w:tc>
        <w:tc>
          <w:tcPr>
            <w:tcW w:w="3175" w:type="dxa"/>
            <w:tcBorders>
              <w:right w:val="single" w:color="000000" w:sz="10" w:space="0"/>
            </w:tcBorders>
            <w:vAlign w:val="top"/>
          </w:tcPr>
          <w:p w14:paraId="4DE35D17">
            <w:pPr>
              <w:rPr>
                <w:rFonts w:ascii="Arial"/>
                <w:sz w:val="21"/>
              </w:rPr>
            </w:pPr>
          </w:p>
        </w:tc>
      </w:tr>
      <w:tr w14:paraId="32BBF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3E87296F">
            <w:pPr>
              <w:pStyle w:val="6"/>
              <w:spacing w:before="158" w:line="192" w:lineRule="auto"/>
              <w:ind w:left="258"/>
            </w:pPr>
            <w:r>
              <w:t>5</w:t>
            </w:r>
          </w:p>
        </w:tc>
        <w:tc>
          <w:tcPr>
            <w:tcW w:w="1412" w:type="dxa"/>
            <w:vAlign w:val="top"/>
          </w:tcPr>
          <w:p w14:paraId="2B880F46">
            <w:pPr>
              <w:spacing w:before="119"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1BE66CDF">
            <w:pPr>
              <w:spacing w:before="119" w:line="231" w:lineRule="auto"/>
              <w:ind w:left="1329"/>
              <w:rPr>
                <w:rFonts w:ascii="宋体" w:hAnsi="宋体" w:eastAsia="宋体" w:cs="宋体"/>
                <w:sz w:val="20"/>
                <w:szCs w:val="20"/>
              </w:rPr>
            </w:pPr>
            <w:r>
              <w:rPr>
                <w:rFonts w:ascii="宋体" w:hAnsi="宋体" w:eastAsia="宋体" w:cs="宋体"/>
                <w:spacing w:val="3"/>
                <w:sz w:val="20"/>
                <w:szCs w:val="20"/>
              </w:rPr>
              <w:t>陆良县</w:t>
            </w:r>
          </w:p>
        </w:tc>
        <w:tc>
          <w:tcPr>
            <w:tcW w:w="3125" w:type="dxa"/>
            <w:vAlign w:val="top"/>
          </w:tcPr>
          <w:p w14:paraId="0F7118AD">
            <w:pPr>
              <w:spacing w:before="120" w:line="228" w:lineRule="auto"/>
              <w:ind w:left="733"/>
              <w:rPr>
                <w:rFonts w:ascii="宋体" w:hAnsi="宋体" w:eastAsia="宋体" w:cs="宋体"/>
                <w:sz w:val="20"/>
                <w:szCs w:val="20"/>
              </w:rPr>
            </w:pPr>
            <w:r>
              <w:rPr>
                <w:rFonts w:ascii="宋体" w:hAnsi="宋体" w:eastAsia="宋体" w:cs="宋体"/>
                <w:spacing w:val="7"/>
                <w:sz w:val="20"/>
                <w:szCs w:val="20"/>
              </w:rPr>
              <w:t>陆良县客运枢纽站</w:t>
            </w:r>
          </w:p>
        </w:tc>
        <w:tc>
          <w:tcPr>
            <w:tcW w:w="2204" w:type="dxa"/>
            <w:vAlign w:val="top"/>
          </w:tcPr>
          <w:p w14:paraId="51CC4080">
            <w:pPr>
              <w:rPr>
                <w:rFonts w:ascii="Arial"/>
                <w:sz w:val="21"/>
              </w:rPr>
            </w:pPr>
          </w:p>
        </w:tc>
        <w:tc>
          <w:tcPr>
            <w:tcW w:w="2066" w:type="dxa"/>
            <w:vAlign w:val="top"/>
          </w:tcPr>
          <w:p w14:paraId="5AEB5210">
            <w:pPr>
              <w:rPr>
                <w:rFonts w:ascii="Arial"/>
                <w:sz w:val="21"/>
              </w:rPr>
            </w:pPr>
          </w:p>
        </w:tc>
        <w:tc>
          <w:tcPr>
            <w:tcW w:w="920" w:type="dxa"/>
            <w:vAlign w:val="top"/>
          </w:tcPr>
          <w:p w14:paraId="1111C77A">
            <w:pPr>
              <w:spacing w:before="119"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9DD1640">
            <w:pPr>
              <w:spacing w:before="119"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02697597">
            <w:pPr>
              <w:pStyle w:val="6"/>
              <w:spacing w:before="88" w:line="275" w:lineRule="exact"/>
              <w:ind w:left="284"/>
            </w:pPr>
            <w:r>
              <w:rPr>
                <w:spacing w:val="3"/>
                <w:position w:val="2"/>
              </w:rPr>
              <w:t>66667</w:t>
            </w:r>
          </w:p>
        </w:tc>
        <w:tc>
          <w:tcPr>
            <w:tcW w:w="1113" w:type="dxa"/>
            <w:vAlign w:val="top"/>
          </w:tcPr>
          <w:p w14:paraId="032049B1">
            <w:pPr>
              <w:rPr>
                <w:rFonts w:ascii="Arial"/>
                <w:sz w:val="21"/>
              </w:rPr>
            </w:pPr>
          </w:p>
        </w:tc>
        <w:tc>
          <w:tcPr>
            <w:tcW w:w="1028" w:type="dxa"/>
            <w:vAlign w:val="top"/>
          </w:tcPr>
          <w:p w14:paraId="3671FA2E">
            <w:pPr>
              <w:pStyle w:val="6"/>
              <w:spacing w:before="88" w:line="275" w:lineRule="exact"/>
              <w:ind w:left="340"/>
            </w:pPr>
            <w:r>
              <w:rPr>
                <w:spacing w:val="3"/>
                <w:position w:val="2"/>
              </w:rPr>
              <w:t>2.50</w:t>
            </w:r>
          </w:p>
        </w:tc>
        <w:tc>
          <w:tcPr>
            <w:tcW w:w="3175" w:type="dxa"/>
            <w:tcBorders>
              <w:right w:val="single" w:color="000000" w:sz="10" w:space="0"/>
            </w:tcBorders>
            <w:vAlign w:val="top"/>
          </w:tcPr>
          <w:p w14:paraId="41EB4D37">
            <w:pPr>
              <w:rPr>
                <w:rFonts w:ascii="Arial"/>
                <w:sz w:val="21"/>
              </w:rPr>
            </w:pPr>
          </w:p>
        </w:tc>
      </w:tr>
      <w:tr w14:paraId="1CD23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2170569F">
            <w:pPr>
              <w:pStyle w:val="6"/>
              <w:spacing w:before="88" w:line="274" w:lineRule="exact"/>
              <w:ind w:left="257"/>
            </w:pPr>
            <w:r>
              <w:rPr>
                <w:position w:val="2"/>
              </w:rPr>
              <w:t>6</w:t>
            </w:r>
          </w:p>
        </w:tc>
        <w:tc>
          <w:tcPr>
            <w:tcW w:w="1412" w:type="dxa"/>
            <w:vAlign w:val="top"/>
          </w:tcPr>
          <w:p w14:paraId="1841436B">
            <w:pPr>
              <w:spacing w:before="118"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6D02F763">
            <w:pPr>
              <w:spacing w:before="119" w:line="231" w:lineRule="auto"/>
              <w:ind w:left="1329"/>
              <w:rPr>
                <w:rFonts w:ascii="宋体" w:hAnsi="宋体" w:eastAsia="宋体" w:cs="宋体"/>
                <w:sz w:val="20"/>
                <w:szCs w:val="20"/>
              </w:rPr>
            </w:pPr>
            <w:r>
              <w:rPr>
                <w:rFonts w:ascii="宋体" w:hAnsi="宋体" w:eastAsia="宋体" w:cs="宋体"/>
                <w:spacing w:val="3"/>
                <w:sz w:val="20"/>
                <w:szCs w:val="20"/>
              </w:rPr>
              <w:t>陆良县</w:t>
            </w:r>
          </w:p>
        </w:tc>
        <w:tc>
          <w:tcPr>
            <w:tcW w:w="3125" w:type="dxa"/>
            <w:vAlign w:val="top"/>
          </w:tcPr>
          <w:p w14:paraId="727B9DE4">
            <w:pPr>
              <w:spacing w:before="119" w:line="228" w:lineRule="auto"/>
              <w:ind w:left="733"/>
              <w:rPr>
                <w:rFonts w:ascii="宋体" w:hAnsi="宋体" w:eastAsia="宋体" w:cs="宋体"/>
                <w:sz w:val="20"/>
                <w:szCs w:val="20"/>
              </w:rPr>
            </w:pPr>
            <w:r>
              <w:rPr>
                <w:rFonts w:ascii="宋体" w:hAnsi="宋体" w:eastAsia="宋体" w:cs="宋体"/>
                <w:spacing w:val="7"/>
                <w:sz w:val="20"/>
                <w:szCs w:val="20"/>
              </w:rPr>
              <w:t>陆良县客运站东站</w:t>
            </w:r>
          </w:p>
        </w:tc>
        <w:tc>
          <w:tcPr>
            <w:tcW w:w="2204" w:type="dxa"/>
            <w:vAlign w:val="top"/>
          </w:tcPr>
          <w:p w14:paraId="218B24FD">
            <w:pPr>
              <w:rPr>
                <w:rFonts w:ascii="Arial"/>
                <w:sz w:val="21"/>
              </w:rPr>
            </w:pPr>
          </w:p>
        </w:tc>
        <w:tc>
          <w:tcPr>
            <w:tcW w:w="2066" w:type="dxa"/>
            <w:vAlign w:val="top"/>
          </w:tcPr>
          <w:p w14:paraId="66BB28F0">
            <w:pPr>
              <w:rPr>
                <w:rFonts w:ascii="Arial"/>
                <w:sz w:val="21"/>
              </w:rPr>
            </w:pPr>
          </w:p>
        </w:tc>
        <w:tc>
          <w:tcPr>
            <w:tcW w:w="920" w:type="dxa"/>
            <w:vAlign w:val="top"/>
          </w:tcPr>
          <w:p w14:paraId="33AEE58F">
            <w:pPr>
              <w:spacing w:before="119"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2B741FC9">
            <w:pPr>
              <w:spacing w:before="118"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57135417">
            <w:pPr>
              <w:pStyle w:val="6"/>
              <w:spacing w:before="88" w:line="274" w:lineRule="exact"/>
              <w:ind w:left="280"/>
            </w:pPr>
            <w:r>
              <w:rPr>
                <w:spacing w:val="4"/>
                <w:position w:val="2"/>
              </w:rPr>
              <w:t>20000</w:t>
            </w:r>
          </w:p>
        </w:tc>
        <w:tc>
          <w:tcPr>
            <w:tcW w:w="1113" w:type="dxa"/>
            <w:vAlign w:val="top"/>
          </w:tcPr>
          <w:p w14:paraId="6083A450">
            <w:pPr>
              <w:rPr>
                <w:rFonts w:ascii="Arial"/>
                <w:sz w:val="21"/>
              </w:rPr>
            </w:pPr>
          </w:p>
        </w:tc>
        <w:tc>
          <w:tcPr>
            <w:tcW w:w="1028" w:type="dxa"/>
            <w:vAlign w:val="top"/>
          </w:tcPr>
          <w:p w14:paraId="141000E8">
            <w:pPr>
              <w:pStyle w:val="6"/>
              <w:spacing w:before="88" w:line="274" w:lineRule="exact"/>
              <w:ind w:left="343"/>
            </w:pPr>
            <w:r>
              <w:rPr>
                <w:spacing w:val="2"/>
                <w:position w:val="2"/>
              </w:rPr>
              <w:t>0.80</w:t>
            </w:r>
          </w:p>
        </w:tc>
        <w:tc>
          <w:tcPr>
            <w:tcW w:w="3175" w:type="dxa"/>
            <w:tcBorders>
              <w:right w:val="single" w:color="000000" w:sz="10" w:space="0"/>
            </w:tcBorders>
            <w:vAlign w:val="top"/>
          </w:tcPr>
          <w:p w14:paraId="2CCDFCD0">
            <w:pPr>
              <w:rPr>
                <w:rFonts w:ascii="Arial"/>
                <w:sz w:val="21"/>
              </w:rPr>
            </w:pPr>
          </w:p>
        </w:tc>
      </w:tr>
      <w:tr w14:paraId="6B7CA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639" w:type="dxa"/>
            <w:tcBorders>
              <w:left w:val="single" w:color="000000" w:sz="10" w:space="0"/>
            </w:tcBorders>
            <w:vAlign w:val="top"/>
          </w:tcPr>
          <w:p w14:paraId="1F416162">
            <w:pPr>
              <w:pStyle w:val="6"/>
              <w:spacing w:before="160" w:line="192" w:lineRule="auto"/>
              <w:ind w:left="255"/>
            </w:pPr>
            <w:r>
              <w:t>7</w:t>
            </w:r>
          </w:p>
        </w:tc>
        <w:tc>
          <w:tcPr>
            <w:tcW w:w="1412" w:type="dxa"/>
            <w:vAlign w:val="top"/>
          </w:tcPr>
          <w:p w14:paraId="4C334BE0">
            <w:pPr>
              <w:spacing w:before="118"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732D6EC9">
            <w:pPr>
              <w:spacing w:before="119" w:line="231" w:lineRule="auto"/>
              <w:ind w:left="1329"/>
              <w:rPr>
                <w:rFonts w:ascii="宋体" w:hAnsi="宋体" w:eastAsia="宋体" w:cs="宋体"/>
                <w:sz w:val="20"/>
                <w:szCs w:val="20"/>
              </w:rPr>
            </w:pPr>
            <w:r>
              <w:rPr>
                <w:rFonts w:ascii="宋体" w:hAnsi="宋体" w:eastAsia="宋体" w:cs="宋体"/>
                <w:spacing w:val="3"/>
                <w:sz w:val="20"/>
                <w:szCs w:val="20"/>
              </w:rPr>
              <w:t>陆良县</w:t>
            </w:r>
          </w:p>
        </w:tc>
        <w:tc>
          <w:tcPr>
            <w:tcW w:w="3125" w:type="dxa"/>
            <w:vAlign w:val="top"/>
          </w:tcPr>
          <w:p w14:paraId="443F6ECC">
            <w:pPr>
              <w:spacing w:before="118" w:line="229" w:lineRule="auto"/>
              <w:ind w:left="733"/>
              <w:rPr>
                <w:rFonts w:ascii="宋体" w:hAnsi="宋体" w:eastAsia="宋体" w:cs="宋体"/>
                <w:sz w:val="20"/>
                <w:szCs w:val="20"/>
              </w:rPr>
            </w:pPr>
            <w:r>
              <w:rPr>
                <w:rFonts w:ascii="宋体" w:hAnsi="宋体" w:eastAsia="宋体" w:cs="宋体"/>
                <w:spacing w:val="7"/>
                <w:sz w:val="20"/>
                <w:szCs w:val="20"/>
              </w:rPr>
              <w:t>陆良县客运站南站</w:t>
            </w:r>
          </w:p>
        </w:tc>
        <w:tc>
          <w:tcPr>
            <w:tcW w:w="2204" w:type="dxa"/>
            <w:vAlign w:val="top"/>
          </w:tcPr>
          <w:p w14:paraId="3C79412F">
            <w:pPr>
              <w:rPr>
                <w:rFonts w:ascii="Arial"/>
                <w:sz w:val="21"/>
              </w:rPr>
            </w:pPr>
          </w:p>
        </w:tc>
        <w:tc>
          <w:tcPr>
            <w:tcW w:w="2066" w:type="dxa"/>
            <w:vAlign w:val="top"/>
          </w:tcPr>
          <w:p w14:paraId="5CE9845A">
            <w:pPr>
              <w:rPr>
                <w:rFonts w:ascii="Arial"/>
                <w:sz w:val="21"/>
              </w:rPr>
            </w:pPr>
          </w:p>
        </w:tc>
        <w:tc>
          <w:tcPr>
            <w:tcW w:w="920" w:type="dxa"/>
            <w:vAlign w:val="top"/>
          </w:tcPr>
          <w:p w14:paraId="52DF2F24">
            <w:pPr>
              <w:spacing w:before="118"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93E0D3B">
            <w:pPr>
              <w:spacing w:before="118"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07F4D83F">
            <w:pPr>
              <w:pStyle w:val="6"/>
              <w:spacing w:before="90" w:line="274" w:lineRule="exact"/>
              <w:ind w:left="280"/>
            </w:pPr>
            <w:r>
              <w:rPr>
                <w:spacing w:val="4"/>
                <w:position w:val="2"/>
              </w:rPr>
              <w:t>20000</w:t>
            </w:r>
          </w:p>
        </w:tc>
        <w:tc>
          <w:tcPr>
            <w:tcW w:w="1113" w:type="dxa"/>
            <w:vAlign w:val="top"/>
          </w:tcPr>
          <w:p w14:paraId="3353EC50">
            <w:pPr>
              <w:rPr>
                <w:rFonts w:ascii="Arial"/>
                <w:sz w:val="21"/>
              </w:rPr>
            </w:pPr>
          </w:p>
        </w:tc>
        <w:tc>
          <w:tcPr>
            <w:tcW w:w="1028" w:type="dxa"/>
            <w:vAlign w:val="top"/>
          </w:tcPr>
          <w:p w14:paraId="6847DB6B">
            <w:pPr>
              <w:pStyle w:val="6"/>
              <w:spacing w:before="90" w:line="274" w:lineRule="exact"/>
              <w:ind w:left="343"/>
            </w:pPr>
            <w:r>
              <w:rPr>
                <w:spacing w:val="2"/>
                <w:position w:val="2"/>
              </w:rPr>
              <w:t>0.80</w:t>
            </w:r>
          </w:p>
        </w:tc>
        <w:tc>
          <w:tcPr>
            <w:tcW w:w="3175" w:type="dxa"/>
            <w:tcBorders>
              <w:right w:val="single" w:color="000000" w:sz="10" w:space="0"/>
            </w:tcBorders>
            <w:vAlign w:val="top"/>
          </w:tcPr>
          <w:p w14:paraId="352AEF0B">
            <w:pPr>
              <w:rPr>
                <w:rFonts w:ascii="Arial"/>
                <w:sz w:val="21"/>
              </w:rPr>
            </w:pPr>
          </w:p>
        </w:tc>
      </w:tr>
      <w:tr w14:paraId="2BF1A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39" w:type="dxa"/>
            <w:tcBorders>
              <w:left w:val="single" w:color="000000" w:sz="10" w:space="0"/>
              <w:bottom w:val="single" w:color="000000" w:sz="10" w:space="0"/>
            </w:tcBorders>
            <w:vAlign w:val="top"/>
          </w:tcPr>
          <w:p w14:paraId="3D320398">
            <w:pPr>
              <w:pStyle w:val="6"/>
              <w:spacing w:before="90" w:line="274" w:lineRule="exact"/>
              <w:ind w:left="260"/>
            </w:pPr>
            <w:r>
              <w:rPr>
                <w:position w:val="2"/>
              </w:rPr>
              <w:t>8</w:t>
            </w:r>
          </w:p>
        </w:tc>
        <w:tc>
          <w:tcPr>
            <w:tcW w:w="1412" w:type="dxa"/>
            <w:tcBorders>
              <w:bottom w:val="single" w:color="000000" w:sz="10" w:space="0"/>
            </w:tcBorders>
            <w:vAlign w:val="top"/>
          </w:tcPr>
          <w:p w14:paraId="49C4A40B">
            <w:pPr>
              <w:spacing w:before="117"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tcBorders>
              <w:bottom w:val="single" w:color="000000" w:sz="10" w:space="0"/>
            </w:tcBorders>
            <w:vAlign w:val="top"/>
          </w:tcPr>
          <w:p w14:paraId="522BA9C5">
            <w:pPr>
              <w:spacing w:before="118" w:line="228" w:lineRule="auto"/>
              <w:ind w:left="1321"/>
              <w:rPr>
                <w:rFonts w:ascii="宋体" w:hAnsi="宋体" w:eastAsia="宋体" w:cs="宋体"/>
                <w:sz w:val="20"/>
                <w:szCs w:val="20"/>
              </w:rPr>
            </w:pPr>
            <w:r>
              <w:rPr>
                <w:rFonts w:ascii="宋体" w:hAnsi="宋体" w:eastAsia="宋体" w:cs="宋体"/>
                <w:spacing w:val="5"/>
                <w:sz w:val="20"/>
                <w:szCs w:val="20"/>
              </w:rPr>
              <w:t>师宗县</w:t>
            </w:r>
          </w:p>
        </w:tc>
        <w:tc>
          <w:tcPr>
            <w:tcW w:w="3125" w:type="dxa"/>
            <w:tcBorders>
              <w:bottom w:val="single" w:color="000000" w:sz="10" w:space="0"/>
            </w:tcBorders>
            <w:vAlign w:val="top"/>
          </w:tcPr>
          <w:p w14:paraId="0738BC0C">
            <w:pPr>
              <w:spacing w:before="118" w:line="228" w:lineRule="auto"/>
              <w:ind w:left="620"/>
              <w:rPr>
                <w:rFonts w:ascii="宋体" w:hAnsi="宋体" w:eastAsia="宋体" w:cs="宋体"/>
                <w:sz w:val="20"/>
                <w:szCs w:val="20"/>
              </w:rPr>
            </w:pPr>
            <w:r>
              <w:rPr>
                <w:rFonts w:ascii="宋体" w:hAnsi="宋体" w:eastAsia="宋体" w:cs="宋体"/>
                <w:spacing w:val="8"/>
                <w:sz w:val="20"/>
                <w:szCs w:val="20"/>
              </w:rPr>
              <w:t>师宗汽车综合枢纽站</w:t>
            </w:r>
          </w:p>
        </w:tc>
        <w:tc>
          <w:tcPr>
            <w:tcW w:w="2204" w:type="dxa"/>
            <w:tcBorders>
              <w:bottom w:val="single" w:color="000000" w:sz="10" w:space="0"/>
            </w:tcBorders>
            <w:vAlign w:val="top"/>
          </w:tcPr>
          <w:p w14:paraId="72598B33">
            <w:pPr>
              <w:rPr>
                <w:rFonts w:ascii="Arial"/>
                <w:sz w:val="21"/>
              </w:rPr>
            </w:pPr>
          </w:p>
        </w:tc>
        <w:tc>
          <w:tcPr>
            <w:tcW w:w="2066" w:type="dxa"/>
            <w:tcBorders>
              <w:bottom w:val="single" w:color="000000" w:sz="10" w:space="0"/>
            </w:tcBorders>
            <w:vAlign w:val="top"/>
          </w:tcPr>
          <w:p w14:paraId="702099D3">
            <w:pPr>
              <w:rPr>
                <w:rFonts w:ascii="Arial"/>
                <w:sz w:val="21"/>
              </w:rPr>
            </w:pPr>
          </w:p>
        </w:tc>
        <w:tc>
          <w:tcPr>
            <w:tcW w:w="920" w:type="dxa"/>
            <w:tcBorders>
              <w:bottom w:val="single" w:color="000000" w:sz="10" w:space="0"/>
            </w:tcBorders>
            <w:vAlign w:val="top"/>
          </w:tcPr>
          <w:p w14:paraId="23133264">
            <w:pPr>
              <w:spacing w:before="118"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tcBorders>
              <w:bottom w:val="single" w:color="000000" w:sz="10" w:space="0"/>
            </w:tcBorders>
            <w:vAlign w:val="top"/>
          </w:tcPr>
          <w:p w14:paraId="65008AB1">
            <w:pPr>
              <w:spacing w:before="117"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tcBorders>
              <w:bottom w:val="single" w:color="000000" w:sz="10" w:space="0"/>
            </w:tcBorders>
            <w:vAlign w:val="top"/>
          </w:tcPr>
          <w:p w14:paraId="06438CA5">
            <w:pPr>
              <w:pStyle w:val="6"/>
              <w:spacing w:before="90" w:line="274" w:lineRule="exact"/>
              <w:ind w:left="279"/>
            </w:pPr>
            <w:r>
              <w:rPr>
                <w:spacing w:val="4"/>
                <w:position w:val="2"/>
              </w:rPr>
              <w:t>40000</w:t>
            </w:r>
          </w:p>
        </w:tc>
        <w:tc>
          <w:tcPr>
            <w:tcW w:w="1113" w:type="dxa"/>
            <w:tcBorders>
              <w:bottom w:val="single" w:color="000000" w:sz="10" w:space="0"/>
            </w:tcBorders>
            <w:vAlign w:val="top"/>
          </w:tcPr>
          <w:p w14:paraId="6AF00BB6">
            <w:pPr>
              <w:rPr>
                <w:rFonts w:ascii="Arial"/>
                <w:sz w:val="21"/>
              </w:rPr>
            </w:pPr>
          </w:p>
        </w:tc>
        <w:tc>
          <w:tcPr>
            <w:tcW w:w="1028" w:type="dxa"/>
            <w:tcBorders>
              <w:bottom w:val="single" w:color="000000" w:sz="10" w:space="0"/>
            </w:tcBorders>
            <w:vAlign w:val="top"/>
          </w:tcPr>
          <w:p w14:paraId="5BDB9F70">
            <w:pPr>
              <w:pStyle w:val="6"/>
              <w:spacing w:before="90" w:line="274" w:lineRule="exact"/>
              <w:ind w:left="360"/>
            </w:pPr>
            <w:r>
              <w:rPr>
                <w:spacing w:val="-2"/>
                <w:position w:val="2"/>
              </w:rPr>
              <w:t>1.00</w:t>
            </w:r>
          </w:p>
        </w:tc>
        <w:tc>
          <w:tcPr>
            <w:tcW w:w="3175" w:type="dxa"/>
            <w:tcBorders>
              <w:bottom w:val="single" w:color="000000" w:sz="10" w:space="0"/>
              <w:right w:val="single" w:color="000000" w:sz="10" w:space="0"/>
            </w:tcBorders>
            <w:vAlign w:val="top"/>
          </w:tcPr>
          <w:p w14:paraId="22A3CE21">
            <w:pPr>
              <w:rPr>
                <w:rFonts w:ascii="Arial"/>
                <w:sz w:val="21"/>
              </w:rPr>
            </w:pPr>
          </w:p>
        </w:tc>
      </w:tr>
    </w:tbl>
    <w:p w14:paraId="0DEC4985">
      <w:pPr>
        <w:pStyle w:val="2"/>
      </w:pPr>
    </w:p>
    <w:p w14:paraId="5CCA5709">
      <w:pPr>
        <w:sectPr>
          <w:headerReference r:id="rId155" w:type="default"/>
          <w:footerReference r:id="rId156" w:type="default"/>
          <w:pgSz w:w="23812" w:h="16839"/>
          <w:pgMar w:top="1222" w:right="1407" w:bottom="947" w:left="1387" w:header="885" w:footer="787" w:gutter="0"/>
          <w:cols w:space="720" w:num="1"/>
        </w:sectPr>
      </w:pPr>
    </w:p>
    <w:p w14:paraId="7C2A6D7D">
      <w:pPr>
        <w:spacing w:before="122"/>
      </w:pPr>
    </w:p>
    <w:tbl>
      <w:tblPr>
        <w:tblStyle w:val="5"/>
        <w:tblW w:w="20990"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9"/>
        <w:gridCol w:w="1412"/>
        <w:gridCol w:w="3274"/>
        <w:gridCol w:w="3125"/>
        <w:gridCol w:w="2204"/>
        <w:gridCol w:w="2066"/>
        <w:gridCol w:w="920"/>
        <w:gridCol w:w="963"/>
        <w:gridCol w:w="1071"/>
        <w:gridCol w:w="1113"/>
        <w:gridCol w:w="1028"/>
        <w:gridCol w:w="3175"/>
      </w:tblGrid>
      <w:tr w14:paraId="4EDBA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639" w:type="dxa"/>
            <w:tcBorders>
              <w:top w:val="single" w:color="000000" w:sz="10" w:space="0"/>
              <w:left w:val="single" w:color="000000" w:sz="10" w:space="0"/>
            </w:tcBorders>
            <w:vAlign w:val="top"/>
          </w:tcPr>
          <w:p w14:paraId="51703555">
            <w:pPr>
              <w:pStyle w:val="6"/>
              <w:spacing w:before="69" w:line="275" w:lineRule="exact"/>
              <w:ind w:left="256"/>
            </w:pPr>
            <w:r>
              <w:rPr>
                <w:position w:val="2"/>
              </w:rPr>
              <w:t>9</w:t>
            </w:r>
          </w:p>
        </w:tc>
        <w:tc>
          <w:tcPr>
            <w:tcW w:w="1412" w:type="dxa"/>
            <w:tcBorders>
              <w:top w:val="single" w:color="000000" w:sz="10" w:space="0"/>
            </w:tcBorders>
            <w:vAlign w:val="top"/>
          </w:tcPr>
          <w:p w14:paraId="7B36B4EF">
            <w:pPr>
              <w:spacing w:before="97"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tcBorders>
              <w:top w:val="single" w:color="000000" w:sz="10" w:space="0"/>
            </w:tcBorders>
            <w:vAlign w:val="top"/>
          </w:tcPr>
          <w:p w14:paraId="7E88D290">
            <w:pPr>
              <w:spacing w:before="98" w:line="228" w:lineRule="auto"/>
              <w:ind w:left="1321"/>
              <w:rPr>
                <w:rFonts w:ascii="宋体" w:hAnsi="宋体" w:eastAsia="宋体" w:cs="宋体"/>
                <w:sz w:val="20"/>
                <w:szCs w:val="20"/>
              </w:rPr>
            </w:pPr>
            <w:r>
              <w:rPr>
                <w:rFonts w:ascii="宋体" w:hAnsi="宋体" w:eastAsia="宋体" w:cs="宋体"/>
                <w:spacing w:val="5"/>
                <w:sz w:val="20"/>
                <w:szCs w:val="20"/>
              </w:rPr>
              <w:t>师宗县</w:t>
            </w:r>
          </w:p>
        </w:tc>
        <w:tc>
          <w:tcPr>
            <w:tcW w:w="3125" w:type="dxa"/>
            <w:tcBorders>
              <w:top w:val="single" w:color="000000" w:sz="10" w:space="0"/>
            </w:tcBorders>
            <w:vAlign w:val="top"/>
          </w:tcPr>
          <w:p w14:paraId="363B955D">
            <w:pPr>
              <w:spacing w:before="98" w:line="228" w:lineRule="auto"/>
              <w:ind w:left="517"/>
              <w:rPr>
                <w:rFonts w:ascii="宋体" w:hAnsi="宋体" w:eastAsia="宋体" w:cs="宋体"/>
                <w:sz w:val="20"/>
                <w:szCs w:val="20"/>
              </w:rPr>
            </w:pPr>
            <w:r>
              <w:rPr>
                <w:rFonts w:ascii="宋体" w:hAnsi="宋体" w:eastAsia="宋体" w:cs="宋体"/>
                <w:spacing w:val="8"/>
                <w:sz w:val="20"/>
                <w:szCs w:val="20"/>
              </w:rPr>
              <w:t>师宗县城区高快客运站</w:t>
            </w:r>
          </w:p>
        </w:tc>
        <w:tc>
          <w:tcPr>
            <w:tcW w:w="2204" w:type="dxa"/>
            <w:tcBorders>
              <w:top w:val="single" w:color="000000" w:sz="10" w:space="0"/>
            </w:tcBorders>
            <w:vAlign w:val="top"/>
          </w:tcPr>
          <w:p w14:paraId="52A8397A">
            <w:pPr>
              <w:rPr>
                <w:rFonts w:ascii="Arial"/>
                <w:sz w:val="21"/>
              </w:rPr>
            </w:pPr>
          </w:p>
        </w:tc>
        <w:tc>
          <w:tcPr>
            <w:tcW w:w="2066" w:type="dxa"/>
            <w:tcBorders>
              <w:top w:val="single" w:color="000000" w:sz="10" w:space="0"/>
            </w:tcBorders>
            <w:vAlign w:val="top"/>
          </w:tcPr>
          <w:p w14:paraId="2E1C777B">
            <w:pPr>
              <w:rPr>
                <w:rFonts w:ascii="Arial"/>
                <w:sz w:val="21"/>
              </w:rPr>
            </w:pPr>
          </w:p>
        </w:tc>
        <w:tc>
          <w:tcPr>
            <w:tcW w:w="920" w:type="dxa"/>
            <w:tcBorders>
              <w:top w:val="single" w:color="000000" w:sz="10" w:space="0"/>
            </w:tcBorders>
            <w:vAlign w:val="top"/>
          </w:tcPr>
          <w:p w14:paraId="0289F8A1">
            <w:pPr>
              <w:spacing w:before="98"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tcBorders>
              <w:top w:val="single" w:color="000000" w:sz="10" w:space="0"/>
            </w:tcBorders>
            <w:vAlign w:val="top"/>
          </w:tcPr>
          <w:p w14:paraId="4AB02149">
            <w:pPr>
              <w:spacing w:before="97"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tcBorders>
              <w:top w:val="single" w:color="000000" w:sz="10" w:space="0"/>
            </w:tcBorders>
            <w:vAlign w:val="top"/>
          </w:tcPr>
          <w:p w14:paraId="58394057">
            <w:pPr>
              <w:pStyle w:val="6"/>
              <w:spacing w:before="69" w:line="275" w:lineRule="exact"/>
              <w:ind w:left="279"/>
            </w:pPr>
            <w:r>
              <w:rPr>
                <w:spacing w:val="4"/>
                <w:position w:val="2"/>
              </w:rPr>
              <w:t>40000</w:t>
            </w:r>
          </w:p>
        </w:tc>
        <w:tc>
          <w:tcPr>
            <w:tcW w:w="1113" w:type="dxa"/>
            <w:tcBorders>
              <w:top w:val="single" w:color="000000" w:sz="10" w:space="0"/>
            </w:tcBorders>
            <w:vAlign w:val="top"/>
          </w:tcPr>
          <w:p w14:paraId="767F6345">
            <w:pPr>
              <w:rPr>
                <w:rFonts w:ascii="Arial"/>
                <w:sz w:val="21"/>
              </w:rPr>
            </w:pPr>
          </w:p>
        </w:tc>
        <w:tc>
          <w:tcPr>
            <w:tcW w:w="1028" w:type="dxa"/>
            <w:tcBorders>
              <w:top w:val="single" w:color="000000" w:sz="10" w:space="0"/>
            </w:tcBorders>
            <w:vAlign w:val="top"/>
          </w:tcPr>
          <w:p w14:paraId="656A24B3">
            <w:pPr>
              <w:pStyle w:val="6"/>
              <w:spacing w:before="69" w:line="275" w:lineRule="exact"/>
              <w:ind w:left="344"/>
            </w:pPr>
            <w:r>
              <w:rPr>
                <w:spacing w:val="2"/>
                <w:position w:val="2"/>
              </w:rPr>
              <w:t>3.00</w:t>
            </w:r>
          </w:p>
        </w:tc>
        <w:tc>
          <w:tcPr>
            <w:tcW w:w="3175" w:type="dxa"/>
            <w:tcBorders>
              <w:top w:val="single" w:color="000000" w:sz="10" w:space="0"/>
              <w:right w:val="single" w:color="000000" w:sz="10" w:space="0"/>
            </w:tcBorders>
            <w:vAlign w:val="top"/>
          </w:tcPr>
          <w:p w14:paraId="5DF241E4">
            <w:pPr>
              <w:rPr>
                <w:rFonts w:ascii="Arial"/>
                <w:sz w:val="21"/>
              </w:rPr>
            </w:pPr>
          </w:p>
        </w:tc>
      </w:tr>
      <w:tr w14:paraId="4B791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639" w:type="dxa"/>
            <w:tcBorders>
              <w:left w:val="single" w:color="000000" w:sz="10" w:space="0"/>
            </w:tcBorders>
            <w:vAlign w:val="top"/>
          </w:tcPr>
          <w:p w14:paraId="5FA457EF">
            <w:pPr>
              <w:pStyle w:val="6"/>
              <w:spacing w:before="66" w:line="274" w:lineRule="exact"/>
              <w:ind w:left="219"/>
            </w:pPr>
            <w:r>
              <w:rPr>
                <w:spacing w:val="-8"/>
                <w:position w:val="2"/>
              </w:rPr>
              <w:t>10</w:t>
            </w:r>
          </w:p>
        </w:tc>
        <w:tc>
          <w:tcPr>
            <w:tcW w:w="1412" w:type="dxa"/>
            <w:vAlign w:val="top"/>
          </w:tcPr>
          <w:p w14:paraId="4673F9AC">
            <w:pPr>
              <w:spacing w:before="96"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626EED76">
            <w:pPr>
              <w:spacing w:before="97" w:line="232" w:lineRule="auto"/>
              <w:ind w:left="1320"/>
              <w:rPr>
                <w:rFonts w:ascii="宋体" w:hAnsi="宋体" w:eastAsia="宋体" w:cs="宋体"/>
                <w:sz w:val="20"/>
                <w:szCs w:val="20"/>
              </w:rPr>
            </w:pPr>
            <w:r>
              <w:rPr>
                <w:rFonts w:ascii="宋体" w:hAnsi="宋体" w:eastAsia="宋体" w:cs="宋体"/>
                <w:spacing w:val="6"/>
                <w:sz w:val="20"/>
                <w:szCs w:val="20"/>
              </w:rPr>
              <w:t>罗平县</w:t>
            </w:r>
          </w:p>
        </w:tc>
        <w:tc>
          <w:tcPr>
            <w:tcW w:w="3125" w:type="dxa"/>
            <w:vAlign w:val="top"/>
          </w:tcPr>
          <w:p w14:paraId="1CF9984B">
            <w:pPr>
              <w:spacing w:before="97" w:line="228" w:lineRule="auto"/>
              <w:ind w:left="724"/>
              <w:rPr>
                <w:rFonts w:ascii="宋体" w:hAnsi="宋体" w:eastAsia="宋体" w:cs="宋体"/>
                <w:sz w:val="20"/>
                <w:szCs w:val="20"/>
              </w:rPr>
            </w:pPr>
            <w:r>
              <w:rPr>
                <w:rFonts w:ascii="宋体" w:hAnsi="宋体" w:eastAsia="宋体" w:cs="宋体"/>
                <w:spacing w:val="8"/>
                <w:sz w:val="20"/>
                <w:szCs w:val="20"/>
              </w:rPr>
              <w:t>罗平汽车客运南站</w:t>
            </w:r>
          </w:p>
        </w:tc>
        <w:tc>
          <w:tcPr>
            <w:tcW w:w="2204" w:type="dxa"/>
            <w:vAlign w:val="top"/>
          </w:tcPr>
          <w:p w14:paraId="37631AC6">
            <w:pPr>
              <w:rPr>
                <w:rFonts w:ascii="Arial"/>
                <w:sz w:val="21"/>
              </w:rPr>
            </w:pPr>
          </w:p>
        </w:tc>
        <w:tc>
          <w:tcPr>
            <w:tcW w:w="2066" w:type="dxa"/>
            <w:vAlign w:val="top"/>
          </w:tcPr>
          <w:p w14:paraId="60FF55E5">
            <w:pPr>
              <w:rPr>
                <w:rFonts w:ascii="Arial"/>
                <w:sz w:val="21"/>
              </w:rPr>
            </w:pPr>
          </w:p>
        </w:tc>
        <w:tc>
          <w:tcPr>
            <w:tcW w:w="920" w:type="dxa"/>
            <w:vAlign w:val="top"/>
          </w:tcPr>
          <w:p w14:paraId="66D9E7F5">
            <w:pPr>
              <w:spacing w:before="97"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69CE7F3">
            <w:pPr>
              <w:spacing w:before="96"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07B8235D">
            <w:pPr>
              <w:pStyle w:val="6"/>
              <w:spacing w:before="66" w:line="274" w:lineRule="exact"/>
              <w:ind w:left="279"/>
            </w:pPr>
            <w:r>
              <w:rPr>
                <w:spacing w:val="4"/>
                <w:position w:val="2"/>
              </w:rPr>
              <w:t>40000</w:t>
            </w:r>
          </w:p>
        </w:tc>
        <w:tc>
          <w:tcPr>
            <w:tcW w:w="1113" w:type="dxa"/>
            <w:vAlign w:val="top"/>
          </w:tcPr>
          <w:p w14:paraId="2EA4C1CD">
            <w:pPr>
              <w:rPr>
                <w:rFonts w:ascii="Arial"/>
                <w:sz w:val="21"/>
              </w:rPr>
            </w:pPr>
          </w:p>
        </w:tc>
        <w:tc>
          <w:tcPr>
            <w:tcW w:w="1028" w:type="dxa"/>
            <w:vAlign w:val="top"/>
          </w:tcPr>
          <w:p w14:paraId="517A30C1">
            <w:pPr>
              <w:pStyle w:val="6"/>
              <w:spacing w:before="66" w:line="274" w:lineRule="exact"/>
              <w:ind w:left="360"/>
            </w:pPr>
            <w:r>
              <w:rPr>
                <w:spacing w:val="-2"/>
                <w:position w:val="2"/>
              </w:rPr>
              <w:t>1.00</w:t>
            </w:r>
          </w:p>
        </w:tc>
        <w:tc>
          <w:tcPr>
            <w:tcW w:w="3175" w:type="dxa"/>
            <w:tcBorders>
              <w:right w:val="single" w:color="000000" w:sz="10" w:space="0"/>
            </w:tcBorders>
            <w:vAlign w:val="top"/>
          </w:tcPr>
          <w:p w14:paraId="67950653">
            <w:pPr>
              <w:rPr>
                <w:rFonts w:ascii="Arial"/>
                <w:sz w:val="21"/>
              </w:rPr>
            </w:pPr>
          </w:p>
        </w:tc>
      </w:tr>
      <w:tr w14:paraId="7FFC0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639" w:type="dxa"/>
            <w:tcBorders>
              <w:left w:val="single" w:color="000000" w:sz="10" w:space="0"/>
            </w:tcBorders>
            <w:vAlign w:val="top"/>
          </w:tcPr>
          <w:p w14:paraId="6C49140D">
            <w:pPr>
              <w:pStyle w:val="6"/>
              <w:spacing w:before="68" w:line="274" w:lineRule="exact"/>
              <w:ind w:left="219"/>
            </w:pPr>
            <w:r>
              <w:rPr>
                <w:spacing w:val="-8"/>
                <w:position w:val="1"/>
              </w:rPr>
              <w:t>11</w:t>
            </w:r>
          </w:p>
        </w:tc>
        <w:tc>
          <w:tcPr>
            <w:tcW w:w="1412" w:type="dxa"/>
            <w:vAlign w:val="top"/>
          </w:tcPr>
          <w:p w14:paraId="4CAA96BB">
            <w:pPr>
              <w:spacing w:before="98"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0D2595DC">
            <w:pPr>
              <w:spacing w:before="99" w:line="231" w:lineRule="auto"/>
              <w:ind w:left="1323"/>
              <w:rPr>
                <w:rFonts w:ascii="宋体" w:hAnsi="宋体" w:eastAsia="宋体" w:cs="宋体"/>
                <w:sz w:val="20"/>
                <w:szCs w:val="20"/>
              </w:rPr>
            </w:pPr>
            <w:r>
              <w:rPr>
                <w:rFonts w:ascii="宋体" w:hAnsi="宋体" w:eastAsia="宋体" w:cs="宋体"/>
                <w:spacing w:val="5"/>
                <w:sz w:val="20"/>
                <w:szCs w:val="20"/>
              </w:rPr>
              <w:t>沾益区</w:t>
            </w:r>
          </w:p>
        </w:tc>
        <w:tc>
          <w:tcPr>
            <w:tcW w:w="3125" w:type="dxa"/>
            <w:vAlign w:val="top"/>
          </w:tcPr>
          <w:p w14:paraId="3C5902BA">
            <w:pPr>
              <w:spacing w:before="98" w:line="228" w:lineRule="auto"/>
              <w:ind w:left="327"/>
              <w:rPr>
                <w:rFonts w:ascii="宋体" w:hAnsi="宋体" w:eastAsia="宋体" w:cs="宋体"/>
                <w:sz w:val="20"/>
                <w:szCs w:val="20"/>
              </w:rPr>
            </w:pPr>
            <w:r>
              <w:rPr>
                <w:rFonts w:ascii="宋体" w:hAnsi="宋体" w:eastAsia="宋体" w:cs="宋体"/>
                <w:spacing w:val="7"/>
                <w:sz w:val="20"/>
                <w:szCs w:val="20"/>
              </w:rPr>
              <w:t>曲靖市沾益区东部级客运沾</w:t>
            </w:r>
          </w:p>
        </w:tc>
        <w:tc>
          <w:tcPr>
            <w:tcW w:w="2204" w:type="dxa"/>
            <w:vAlign w:val="top"/>
          </w:tcPr>
          <w:p w14:paraId="5755BD64">
            <w:pPr>
              <w:rPr>
                <w:rFonts w:ascii="Arial"/>
                <w:sz w:val="21"/>
              </w:rPr>
            </w:pPr>
          </w:p>
        </w:tc>
        <w:tc>
          <w:tcPr>
            <w:tcW w:w="2066" w:type="dxa"/>
            <w:vAlign w:val="top"/>
          </w:tcPr>
          <w:p w14:paraId="3B27E987">
            <w:pPr>
              <w:rPr>
                <w:rFonts w:ascii="Arial"/>
                <w:sz w:val="21"/>
              </w:rPr>
            </w:pPr>
          </w:p>
        </w:tc>
        <w:tc>
          <w:tcPr>
            <w:tcW w:w="920" w:type="dxa"/>
            <w:vAlign w:val="top"/>
          </w:tcPr>
          <w:p w14:paraId="0CE59881">
            <w:pPr>
              <w:spacing w:before="99"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35E04ED">
            <w:pPr>
              <w:spacing w:before="98" w:line="231" w:lineRule="auto"/>
              <w:ind w:left="285"/>
              <w:rPr>
                <w:rFonts w:ascii="宋体" w:hAnsi="宋体" w:eastAsia="宋体" w:cs="宋体"/>
                <w:sz w:val="20"/>
                <w:szCs w:val="20"/>
              </w:rPr>
            </w:pPr>
            <w:r>
              <w:rPr>
                <w:rFonts w:ascii="宋体" w:hAnsi="宋体" w:eastAsia="宋体" w:cs="宋体"/>
                <w:spacing w:val="3"/>
                <w:sz w:val="20"/>
                <w:szCs w:val="20"/>
              </w:rPr>
              <w:t>二级</w:t>
            </w:r>
          </w:p>
        </w:tc>
        <w:tc>
          <w:tcPr>
            <w:tcW w:w="1071" w:type="dxa"/>
            <w:vAlign w:val="top"/>
          </w:tcPr>
          <w:p w14:paraId="4BD00D51">
            <w:pPr>
              <w:pStyle w:val="6"/>
              <w:spacing w:before="68" w:line="274" w:lineRule="exact"/>
              <w:ind w:left="332"/>
            </w:pPr>
            <w:r>
              <w:rPr>
                <w:spacing w:val="4"/>
                <w:position w:val="2"/>
              </w:rPr>
              <w:t>4000</w:t>
            </w:r>
          </w:p>
        </w:tc>
        <w:tc>
          <w:tcPr>
            <w:tcW w:w="1113" w:type="dxa"/>
            <w:vAlign w:val="top"/>
          </w:tcPr>
          <w:p w14:paraId="6AE8C3AA">
            <w:pPr>
              <w:rPr>
                <w:rFonts w:ascii="Arial"/>
                <w:sz w:val="21"/>
              </w:rPr>
            </w:pPr>
          </w:p>
        </w:tc>
        <w:tc>
          <w:tcPr>
            <w:tcW w:w="1028" w:type="dxa"/>
            <w:vAlign w:val="top"/>
          </w:tcPr>
          <w:p w14:paraId="0C7101AD">
            <w:pPr>
              <w:pStyle w:val="6"/>
              <w:spacing w:before="68" w:line="274" w:lineRule="exact"/>
              <w:ind w:left="343"/>
            </w:pPr>
            <w:r>
              <w:rPr>
                <w:spacing w:val="2"/>
                <w:position w:val="2"/>
              </w:rPr>
              <w:t>0.12</w:t>
            </w:r>
          </w:p>
        </w:tc>
        <w:tc>
          <w:tcPr>
            <w:tcW w:w="3175" w:type="dxa"/>
            <w:tcBorders>
              <w:right w:val="single" w:color="000000" w:sz="10" w:space="0"/>
            </w:tcBorders>
            <w:vAlign w:val="top"/>
          </w:tcPr>
          <w:p w14:paraId="170DD16D">
            <w:pPr>
              <w:rPr>
                <w:rFonts w:ascii="Arial"/>
                <w:sz w:val="21"/>
              </w:rPr>
            </w:pPr>
          </w:p>
        </w:tc>
      </w:tr>
      <w:tr w14:paraId="49B80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639" w:type="dxa"/>
            <w:tcBorders>
              <w:left w:val="single" w:color="000000" w:sz="10" w:space="0"/>
            </w:tcBorders>
            <w:vAlign w:val="top"/>
          </w:tcPr>
          <w:p w14:paraId="646B8D12">
            <w:pPr>
              <w:pStyle w:val="6"/>
              <w:spacing w:before="69" w:line="274" w:lineRule="exact"/>
              <w:ind w:left="219"/>
            </w:pPr>
            <w:r>
              <w:rPr>
                <w:spacing w:val="-8"/>
                <w:position w:val="1"/>
              </w:rPr>
              <w:t>12</w:t>
            </w:r>
          </w:p>
        </w:tc>
        <w:tc>
          <w:tcPr>
            <w:tcW w:w="1412" w:type="dxa"/>
            <w:vAlign w:val="top"/>
          </w:tcPr>
          <w:p w14:paraId="583B4D8C">
            <w:pPr>
              <w:spacing w:before="100" w:line="231" w:lineRule="auto"/>
              <w:ind w:left="492"/>
              <w:rPr>
                <w:rFonts w:ascii="宋体" w:hAnsi="宋体" w:eastAsia="宋体" w:cs="宋体"/>
                <w:sz w:val="20"/>
                <w:szCs w:val="20"/>
              </w:rPr>
            </w:pPr>
            <w:r>
              <w:rPr>
                <w:rFonts w:ascii="宋体" w:hAnsi="宋体" w:eastAsia="宋体" w:cs="宋体"/>
                <w:spacing w:val="4"/>
                <w:sz w:val="20"/>
                <w:szCs w:val="20"/>
              </w:rPr>
              <w:t>县级</w:t>
            </w:r>
          </w:p>
        </w:tc>
        <w:tc>
          <w:tcPr>
            <w:tcW w:w="3274" w:type="dxa"/>
            <w:vAlign w:val="top"/>
          </w:tcPr>
          <w:p w14:paraId="53B71901">
            <w:pPr>
              <w:spacing w:before="100" w:line="228" w:lineRule="auto"/>
              <w:ind w:left="1325"/>
              <w:rPr>
                <w:rFonts w:ascii="宋体" w:hAnsi="宋体" w:eastAsia="宋体" w:cs="宋体"/>
                <w:sz w:val="20"/>
                <w:szCs w:val="20"/>
              </w:rPr>
            </w:pPr>
            <w:r>
              <w:rPr>
                <w:rFonts w:ascii="宋体" w:hAnsi="宋体" w:eastAsia="宋体" w:cs="宋体"/>
                <w:spacing w:val="4"/>
                <w:sz w:val="20"/>
                <w:szCs w:val="20"/>
              </w:rPr>
              <w:t>马龙区</w:t>
            </w:r>
          </w:p>
        </w:tc>
        <w:tc>
          <w:tcPr>
            <w:tcW w:w="3125" w:type="dxa"/>
            <w:vAlign w:val="top"/>
          </w:tcPr>
          <w:p w14:paraId="52F07A86">
            <w:pPr>
              <w:spacing w:before="100" w:line="228" w:lineRule="auto"/>
              <w:ind w:left="520"/>
              <w:rPr>
                <w:rFonts w:ascii="宋体" w:hAnsi="宋体" w:eastAsia="宋体" w:cs="宋体"/>
                <w:sz w:val="20"/>
                <w:szCs w:val="20"/>
              </w:rPr>
            </w:pPr>
            <w:r>
              <w:rPr>
                <w:rFonts w:ascii="宋体" w:hAnsi="宋体" w:eastAsia="宋体" w:cs="宋体"/>
                <w:spacing w:val="8"/>
                <w:sz w:val="20"/>
                <w:szCs w:val="20"/>
              </w:rPr>
              <w:t>马龙左所开发区客运站</w:t>
            </w:r>
          </w:p>
        </w:tc>
        <w:tc>
          <w:tcPr>
            <w:tcW w:w="2204" w:type="dxa"/>
            <w:vAlign w:val="top"/>
          </w:tcPr>
          <w:p w14:paraId="693139F5">
            <w:pPr>
              <w:rPr>
                <w:rFonts w:ascii="Arial"/>
                <w:sz w:val="21"/>
              </w:rPr>
            </w:pPr>
          </w:p>
        </w:tc>
        <w:tc>
          <w:tcPr>
            <w:tcW w:w="2066" w:type="dxa"/>
            <w:vAlign w:val="top"/>
          </w:tcPr>
          <w:p w14:paraId="329F3E93">
            <w:pPr>
              <w:rPr>
                <w:rFonts w:ascii="Arial"/>
                <w:sz w:val="21"/>
              </w:rPr>
            </w:pPr>
          </w:p>
        </w:tc>
        <w:tc>
          <w:tcPr>
            <w:tcW w:w="920" w:type="dxa"/>
            <w:vAlign w:val="top"/>
          </w:tcPr>
          <w:p w14:paraId="780749DF">
            <w:pPr>
              <w:spacing w:before="100"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8A06DF2">
            <w:pPr>
              <w:spacing w:before="100" w:line="231" w:lineRule="auto"/>
              <w:ind w:left="285"/>
              <w:rPr>
                <w:rFonts w:ascii="宋体" w:hAnsi="宋体" w:eastAsia="宋体" w:cs="宋体"/>
                <w:sz w:val="20"/>
                <w:szCs w:val="20"/>
              </w:rPr>
            </w:pPr>
            <w:r>
              <w:rPr>
                <w:rFonts w:ascii="宋体" w:hAnsi="宋体" w:eastAsia="宋体" w:cs="宋体"/>
                <w:spacing w:val="3"/>
                <w:sz w:val="20"/>
                <w:szCs w:val="20"/>
              </w:rPr>
              <w:t>一级</w:t>
            </w:r>
          </w:p>
        </w:tc>
        <w:tc>
          <w:tcPr>
            <w:tcW w:w="1071" w:type="dxa"/>
            <w:vAlign w:val="top"/>
          </w:tcPr>
          <w:p w14:paraId="031050AF">
            <w:pPr>
              <w:pStyle w:val="6"/>
              <w:spacing w:before="69" w:line="274" w:lineRule="exact"/>
              <w:ind w:left="284"/>
            </w:pPr>
            <w:r>
              <w:rPr>
                <w:spacing w:val="3"/>
                <w:position w:val="2"/>
              </w:rPr>
              <w:t>66667</w:t>
            </w:r>
          </w:p>
        </w:tc>
        <w:tc>
          <w:tcPr>
            <w:tcW w:w="1113" w:type="dxa"/>
            <w:vAlign w:val="top"/>
          </w:tcPr>
          <w:p w14:paraId="435294A1">
            <w:pPr>
              <w:rPr>
                <w:rFonts w:ascii="Arial"/>
                <w:sz w:val="21"/>
              </w:rPr>
            </w:pPr>
          </w:p>
        </w:tc>
        <w:tc>
          <w:tcPr>
            <w:tcW w:w="1028" w:type="dxa"/>
            <w:vAlign w:val="top"/>
          </w:tcPr>
          <w:p w14:paraId="00DEBE19">
            <w:pPr>
              <w:pStyle w:val="6"/>
              <w:spacing w:before="69" w:line="274" w:lineRule="exact"/>
              <w:ind w:left="360"/>
            </w:pPr>
            <w:r>
              <w:rPr>
                <w:spacing w:val="-2"/>
                <w:position w:val="2"/>
              </w:rPr>
              <w:t>1.00</w:t>
            </w:r>
          </w:p>
        </w:tc>
        <w:tc>
          <w:tcPr>
            <w:tcW w:w="3175" w:type="dxa"/>
            <w:tcBorders>
              <w:right w:val="single" w:color="000000" w:sz="10" w:space="0"/>
            </w:tcBorders>
            <w:vAlign w:val="top"/>
          </w:tcPr>
          <w:p w14:paraId="6E27CF74">
            <w:pPr>
              <w:rPr>
                <w:rFonts w:ascii="Arial"/>
                <w:sz w:val="21"/>
              </w:rPr>
            </w:pPr>
          </w:p>
        </w:tc>
      </w:tr>
      <w:tr w14:paraId="5FA60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639" w:type="dxa"/>
            <w:tcBorders>
              <w:left w:val="single" w:color="000000" w:sz="10" w:space="0"/>
            </w:tcBorders>
            <w:vAlign w:val="top"/>
          </w:tcPr>
          <w:p w14:paraId="311186B8">
            <w:pPr>
              <w:rPr>
                <w:rFonts w:ascii="Arial"/>
                <w:sz w:val="21"/>
              </w:rPr>
            </w:pPr>
          </w:p>
        </w:tc>
        <w:tc>
          <w:tcPr>
            <w:tcW w:w="7811" w:type="dxa"/>
            <w:gridSpan w:val="3"/>
            <w:vAlign w:val="top"/>
          </w:tcPr>
          <w:p w14:paraId="024D50A9">
            <w:pPr>
              <w:spacing w:before="101" w:line="228" w:lineRule="auto"/>
              <w:ind w:left="19"/>
              <w:rPr>
                <w:rFonts w:ascii="宋体" w:hAnsi="宋体" w:eastAsia="宋体" w:cs="宋体"/>
                <w:sz w:val="20"/>
                <w:szCs w:val="20"/>
              </w:rPr>
            </w:pPr>
            <w:r>
              <w:rPr>
                <w:rFonts w:ascii="宋体" w:hAnsi="宋体" w:eastAsia="宋体" w:cs="宋体"/>
                <w:b/>
                <w:bCs/>
                <w:spacing w:val="6"/>
                <w:sz w:val="20"/>
                <w:szCs w:val="20"/>
              </w:rPr>
              <w:t>（3）乡镇客运站建设项目</w:t>
            </w:r>
          </w:p>
        </w:tc>
        <w:tc>
          <w:tcPr>
            <w:tcW w:w="2204" w:type="dxa"/>
            <w:vAlign w:val="top"/>
          </w:tcPr>
          <w:p w14:paraId="0BBACB20">
            <w:pPr>
              <w:rPr>
                <w:rFonts w:ascii="Arial"/>
                <w:sz w:val="21"/>
              </w:rPr>
            </w:pPr>
          </w:p>
        </w:tc>
        <w:tc>
          <w:tcPr>
            <w:tcW w:w="2066" w:type="dxa"/>
            <w:vAlign w:val="top"/>
          </w:tcPr>
          <w:p w14:paraId="7EF9E2D5">
            <w:pPr>
              <w:rPr>
                <w:rFonts w:ascii="Arial"/>
                <w:sz w:val="21"/>
              </w:rPr>
            </w:pPr>
          </w:p>
        </w:tc>
        <w:tc>
          <w:tcPr>
            <w:tcW w:w="920" w:type="dxa"/>
            <w:vAlign w:val="top"/>
          </w:tcPr>
          <w:p w14:paraId="742B410D">
            <w:pPr>
              <w:rPr>
                <w:rFonts w:ascii="Arial"/>
                <w:sz w:val="21"/>
              </w:rPr>
            </w:pPr>
          </w:p>
        </w:tc>
        <w:tc>
          <w:tcPr>
            <w:tcW w:w="963" w:type="dxa"/>
            <w:vAlign w:val="top"/>
          </w:tcPr>
          <w:p w14:paraId="376499E0">
            <w:pPr>
              <w:rPr>
                <w:rFonts w:ascii="Arial"/>
                <w:sz w:val="21"/>
              </w:rPr>
            </w:pPr>
          </w:p>
        </w:tc>
        <w:tc>
          <w:tcPr>
            <w:tcW w:w="1071" w:type="dxa"/>
            <w:vAlign w:val="top"/>
          </w:tcPr>
          <w:p w14:paraId="4A1D12B9">
            <w:pPr>
              <w:rPr>
                <w:rFonts w:ascii="Arial"/>
                <w:sz w:val="21"/>
              </w:rPr>
            </w:pPr>
          </w:p>
        </w:tc>
        <w:tc>
          <w:tcPr>
            <w:tcW w:w="1113" w:type="dxa"/>
            <w:vAlign w:val="top"/>
          </w:tcPr>
          <w:p w14:paraId="35C90CCD">
            <w:pPr>
              <w:rPr>
                <w:rFonts w:ascii="Arial"/>
                <w:sz w:val="21"/>
              </w:rPr>
            </w:pPr>
          </w:p>
        </w:tc>
        <w:tc>
          <w:tcPr>
            <w:tcW w:w="1028" w:type="dxa"/>
            <w:vAlign w:val="top"/>
          </w:tcPr>
          <w:p w14:paraId="41AC6F84">
            <w:pPr>
              <w:pStyle w:val="6"/>
              <w:spacing w:before="139" w:line="195" w:lineRule="auto"/>
              <w:ind w:left="343"/>
            </w:pPr>
            <w:r>
              <w:rPr>
                <w:b/>
                <w:bCs/>
                <w:spacing w:val="2"/>
              </w:rPr>
              <w:t>8.94</w:t>
            </w:r>
          </w:p>
        </w:tc>
        <w:tc>
          <w:tcPr>
            <w:tcW w:w="3175" w:type="dxa"/>
            <w:tcBorders>
              <w:right w:val="single" w:color="000000" w:sz="10" w:space="0"/>
            </w:tcBorders>
            <w:vAlign w:val="top"/>
          </w:tcPr>
          <w:p w14:paraId="2858E574">
            <w:pPr>
              <w:rPr>
                <w:rFonts w:ascii="Arial"/>
                <w:sz w:val="21"/>
              </w:rPr>
            </w:pPr>
          </w:p>
        </w:tc>
      </w:tr>
      <w:tr w14:paraId="255B2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639" w:type="dxa"/>
            <w:tcBorders>
              <w:left w:val="single" w:color="000000" w:sz="10" w:space="0"/>
            </w:tcBorders>
            <w:vAlign w:val="top"/>
          </w:tcPr>
          <w:p w14:paraId="044030D9">
            <w:pPr>
              <w:pStyle w:val="6"/>
              <w:spacing w:before="218" w:line="274" w:lineRule="exact"/>
              <w:ind w:left="272"/>
            </w:pPr>
            <w:r>
              <w:rPr>
                <w:position w:val="1"/>
              </w:rPr>
              <w:t>1</w:t>
            </w:r>
          </w:p>
        </w:tc>
        <w:tc>
          <w:tcPr>
            <w:tcW w:w="1412" w:type="dxa"/>
            <w:vAlign w:val="top"/>
          </w:tcPr>
          <w:p w14:paraId="31966FB9">
            <w:pPr>
              <w:spacing w:before="247" w:line="228" w:lineRule="auto"/>
              <w:ind w:left="394"/>
              <w:rPr>
                <w:rFonts w:ascii="宋体" w:hAnsi="宋体" w:eastAsia="宋体" w:cs="宋体"/>
                <w:sz w:val="20"/>
                <w:szCs w:val="20"/>
              </w:rPr>
            </w:pPr>
            <w:r>
              <w:rPr>
                <w:rFonts w:ascii="宋体" w:hAnsi="宋体" w:eastAsia="宋体" w:cs="宋体"/>
                <w:spacing w:val="3"/>
                <w:sz w:val="20"/>
                <w:szCs w:val="20"/>
              </w:rPr>
              <w:t>乡镇级</w:t>
            </w:r>
          </w:p>
        </w:tc>
        <w:tc>
          <w:tcPr>
            <w:tcW w:w="6399" w:type="dxa"/>
            <w:gridSpan w:val="2"/>
            <w:vAlign w:val="top"/>
          </w:tcPr>
          <w:p w14:paraId="28EFC551">
            <w:pPr>
              <w:spacing w:before="246" w:line="228" w:lineRule="auto"/>
              <w:ind w:left="1647"/>
              <w:rPr>
                <w:rFonts w:ascii="宋体" w:hAnsi="宋体" w:eastAsia="宋体" w:cs="宋体"/>
                <w:sz w:val="20"/>
                <w:szCs w:val="20"/>
              </w:rPr>
            </w:pPr>
            <w:r>
              <w:rPr>
                <w:rFonts w:ascii="宋体" w:hAnsi="宋体" w:eastAsia="宋体" w:cs="宋体"/>
                <w:spacing w:val="7"/>
                <w:sz w:val="20"/>
                <w:szCs w:val="20"/>
              </w:rPr>
              <w:t>曲靖市乡镇客运站（综合服务站）</w:t>
            </w:r>
          </w:p>
        </w:tc>
        <w:tc>
          <w:tcPr>
            <w:tcW w:w="2204" w:type="dxa"/>
            <w:vAlign w:val="top"/>
          </w:tcPr>
          <w:p w14:paraId="40D2BFBB">
            <w:pPr>
              <w:rPr>
                <w:rFonts w:ascii="Arial"/>
                <w:sz w:val="21"/>
              </w:rPr>
            </w:pPr>
          </w:p>
        </w:tc>
        <w:tc>
          <w:tcPr>
            <w:tcW w:w="2066" w:type="dxa"/>
            <w:vAlign w:val="top"/>
          </w:tcPr>
          <w:p w14:paraId="0CC2EBAF">
            <w:pPr>
              <w:rPr>
                <w:rFonts w:ascii="Arial"/>
                <w:sz w:val="21"/>
              </w:rPr>
            </w:pPr>
          </w:p>
        </w:tc>
        <w:tc>
          <w:tcPr>
            <w:tcW w:w="920" w:type="dxa"/>
            <w:vAlign w:val="top"/>
          </w:tcPr>
          <w:p w14:paraId="48586790">
            <w:pPr>
              <w:spacing w:before="247" w:line="228" w:lineRule="auto"/>
              <w:ind w:left="154"/>
              <w:rPr>
                <w:rFonts w:ascii="宋体" w:hAnsi="宋体" w:eastAsia="宋体" w:cs="宋体"/>
                <w:sz w:val="20"/>
                <w:szCs w:val="20"/>
              </w:rPr>
            </w:pPr>
            <w:r>
              <w:rPr>
                <w:rFonts w:ascii="宋体" w:hAnsi="宋体" w:eastAsia="宋体" w:cs="宋体"/>
                <w:spacing w:val="6"/>
                <w:sz w:val="20"/>
                <w:szCs w:val="20"/>
              </w:rPr>
              <w:t>新改建</w:t>
            </w:r>
          </w:p>
        </w:tc>
        <w:tc>
          <w:tcPr>
            <w:tcW w:w="963" w:type="dxa"/>
            <w:vAlign w:val="top"/>
          </w:tcPr>
          <w:p w14:paraId="5D2396EB">
            <w:pPr>
              <w:spacing w:before="84" w:line="267" w:lineRule="auto"/>
              <w:ind w:left="279" w:right="107" w:hanging="156"/>
              <w:rPr>
                <w:rFonts w:ascii="宋体" w:hAnsi="宋体" w:eastAsia="宋体" w:cs="宋体"/>
                <w:sz w:val="20"/>
                <w:szCs w:val="20"/>
              </w:rPr>
            </w:pPr>
            <w:r>
              <w:rPr>
                <w:rFonts w:ascii="宋体" w:hAnsi="宋体" w:eastAsia="宋体" w:cs="宋体"/>
                <w:spacing w:val="6"/>
                <w:sz w:val="20"/>
                <w:szCs w:val="20"/>
              </w:rPr>
              <w:t>三级/便</w:t>
            </w:r>
            <w:r>
              <w:rPr>
                <w:rFonts w:ascii="宋体" w:hAnsi="宋体" w:eastAsia="宋体" w:cs="宋体"/>
                <w:spacing w:val="5"/>
                <w:sz w:val="20"/>
                <w:szCs w:val="20"/>
              </w:rPr>
              <w:t>捷站</w:t>
            </w:r>
          </w:p>
        </w:tc>
        <w:tc>
          <w:tcPr>
            <w:tcW w:w="1071" w:type="dxa"/>
            <w:vAlign w:val="top"/>
          </w:tcPr>
          <w:p w14:paraId="21110DFF">
            <w:pPr>
              <w:pStyle w:val="6"/>
              <w:spacing w:before="218" w:line="274" w:lineRule="exact"/>
              <w:ind w:left="310"/>
              <w:rPr>
                <w:rFonts w:ascii="宋体" w:hAnsi="宋体" w:eastAsia="宋体" w:cs="宋体"/>
              </w:rPr>
            </w:pPr>
            <w:r>
              <w:rPr>
                <w:spacing w:val="1"/>
                <w:position w:val="1"/>
              </w:rPr>
              <w:t>71</w:t>
            </w:r>
            <w:r>
              <w:rPr>
                <w:spacing w:val="12"/>
                <w:position w:val="1"/>
              </w:rPr>
              <w:t xml:space="preserve"> </w:t>
            </w:r>
            <w:r>
              <w:rPr>
                <w:rFonts w:ascii="宋体" w:hAnsi="宋体" w:eastAsia="宋体" w:cs="宋体"/>
                <w:spacing w:val="1"/>
                <w:position w:val="1"/>
              </w:rPr>
              <w:t>个</w:t>
            </w:r>
          </w:p>
        </w:tc>
        <w:tc>
          <w:tcPr>
            <w:tcW w:w="1113" w:type="dxa"/>
            <w:vAlign w:val="top"/>
          </w:tcPr>
          <w:p w14:paraId="5FB84518">
            <w:pPr>
              <w:rPr>
                <w:rFonts w:ascii="Arial"/>
                <w:sz w:val="21"/>
              </w:rPr>
            </w:pPr>
          </w:p>
        </w:tc>
        <w:tc>
          <w:tcPr>
            <w:tcW w:w="1028" w:type="dxa"/>
            <w:vAlign w:val="top"/>
          </w:tcPr>
          <w:p w14:paraId="71F4DF50">
            <w:pPr>
              <w:pStyle w:val="6"/>
              <w:spacing w:before="218" w:line="274" w:lineRule="exact"/>
              <w:ind w:left="348"/>
            </w:pPr>
            <w:r>
              <w:rPr>
                <w:spacing w:val="1"/>
                <w:position w:val="2"/>
              </w:rPr>
              <w:t>8.94</w:t>
            </w:r>
          </w:p>
        </w:tc>
        <w:tc>
          <w:tcPr>
            <w:tcW w:w="3175" w:type="dxa"/>
            <w:tcBorders>
              <w:right w:val="single" w:color="000000" w:sz="10" w:space="0"/>
            </w:tcBorders>
            <w:vAlign w:val="top"/>
          </w:tcPr>
          <w:p w14:paraId="63A3BC7C">
            <w:pPr>
              <w:rPr>
                <w:rFonts w:ascii="Arial"/>
                <w:sz w:val="21"/>
              </w:rPr>
            </w:pPr>
          </w:p>
        </w:tc>
      </w:tr>
      <w:tr w14:paraId="59182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639" w:type="dxa"/>
            <w:tcBorders>
              <w:left w:val="single" w:color="000000" w:sz="10" w:space="0"/>
            </w:tcBorders>
            <w:vAlign w:val="top"/>
          </w:tcPr>
          <w:p w14:paraId="735EF46B">
            <w:pPr>
              <w:rPr>
                <w:rFonts w:ascii="Arial"/>
                <w:sz w:val="21"/>
              </w:rPr>
            </w:pPr>
          </w:p>
        </w:tc>
        <w:tc>
          <w:tcPr>
            <w:tcW w:w="7811" w:type="dxa"/>
            <w:gridSpan w:val="3"/>
            <w:vAlign w:val="top"/>
          </w:tcPr>
          <w:p w14:paraId="6BF8C605">
            <w:pPr>
              <w:pStyle w:val="6"/>
              <w:spacing w:before="105" w:line="228" w:lineRule="auto"/>
              <w:ind w:left="2482"/>
              <w:rPr>
                <w:rFonts w:ascii="宋体" w:hAnsi="宋体" w:eastAsia="宋体" w:cs="宋体"/>
              </w:rPr>
            </w:pPr>
            <w:r>
              <w:rPr>
                <w:b/>
                <w:bCs/>
                <w:spacing w:val="5"/>
              </w:rPr>
              <w:t>2</w:t>
            </w:r>
            <w:r>
              <w:rPr>
                <w:b/>
                <w:bCs/>
                <w:spacing w:val="-21"/>
              </w:rPr>
              <w:t xml:space="preserve"> </w:t>
            </w:r>
            <w:r>
              <w:rPr>
                <w:rFonts w:ascii="宋体" w:hAnsi="宋体" w:eastAsia="宋体" w:cs="宋体"/>
                <w:b/>
                <w:bCs/>
                <w:spacing w:val="5"/>
              </w:rPr>
              <w:t>、综合货运枢纽（物流园区）</w:t>
            </w:r>
          </w:p>
        </w:tc>
        <w:tc>
          <w:tcPr>
            <w:tcW w:w="2204" w:type="dxa"/>
            <w:vAlign w:val="top"/>
          </w:tcPr>
          <w:p w14:paraId="10F0DB9C">
            <w:pPr>
              <w:rPr>
                <w:rFonts w:ascii="Arial"/>
                <w:sz w:val="21"/>
              </w:rPr>
            </w:pPr>
          </w:p>
        </w:tc>
        <w:tc>
          <w:tcPr>
            <w:tcW w:w="2066" w:type="dxa"/>
            <w:vAlign w:val="top"/>
          </w:tcPr>
          <w:p w14:paraId="5471EEDB">
            <w:pPr>
              <w:rPr>
                <w:rFonts w:ascii="Arial"/>
                <w:sz w:val="21"/>
              </w:rPr>
            </w:pPr>
          </w:p>
        </w:tc>
        <w:tc>
          <w:tcPr>
            <w:tcW w:w="920" w:type="dxa"/>
            <w:vAlign w:val="top"/>
          </w:tcPr>
          <w:p w14:paraId="59714259">
            <w:pPr>
              <w:rPr>
                <w:rFonts w:ascii="Arial"/>
                <w:sz w:val="21"/>
              </w:rPr>
            </w:pPr>
          </w:p>
        </w:tc>
        <w:tc>
          <w:tcPr>
            <w:tcW w:w="963" w:type="dxa"/>
            <w:vAlign w:val="top"/>
          </w:tcPr>
          <w:p w14:paraId="0BAF6E22">
            <w:pPr>
              <w:rPr>
                <w:rFonts w:ascii="Arial"/>
                <w:sz w:val="21"/>
              </w:rPr>
            </w:pPr>
          </w:p>
        </w:tc>
        <w:tc>
          <w:tcPr>
            <w:tcW w:w="1071" w:type="dxa"/>
            <w:vAlign w:val="top"/>
          </w:tcPr>
          <w:p w14:paraId="2AF3D6BC">
            <w:pPr>
              <w:rPr>
                <w:rFonts w:ascii="Arial"/>
                <w:sz w:val="21"/>
              </w:rPr>
            </w:pPr>
          </w:p>
        </w:tc>
        <w:tc>
          <w:tcPr>
            <w:tcW w:w="1113" w:type="dxa"/>
            <w:vAlign w:val="top"/>
          </w:tcPr>
          <w:p w14:paraId="7B52C31C">
            <w:pPr>
              <w:rPr>
                <w:rFonts w:ascii="Arial"/>
                <w:sz w:val="21"/>
              </w:rPr>
            </w:pPr>
          </w:p>
        </w:tc>
        <w:tc>
          <w:tcPr>
            <w:tcW w:w="1028" w:type="dxa"/>
            <w:vAlign w:val="top"/>
          </w:tcPr>
          <w:p w14:paraId="693809A5">
            <w:pPr>
              <w:pStyle w:val="6"/>
              <w:spacing w:before="142" w:line="195" w:lineRule="auto"/>
              <w:ind w:left="290"/>
            </w:pPr>
            <w:r>
              <w:rPr>
                <w:b/>
                <w:bCs/>
                <w:spacing w:val="3"/>
              </w:rPr>
              <w:t>56.83</w:t>
            </w:r>
          </w:p>
        </w:tc>
        <w:tc>
          <w:tcPr>
            <w:tcW w:w="3175" w:type="dxa"/>
            <w:tcBorders>
              <w:right w:val="single" w:color="000000" w:sz="10" w:space="0"/>
            </w:tcBorders>
            <w:vAlign w:val="top"/>
          </w:tcPr>
          <w:p w14:paraId="6AB1DB13">
            <w:pPr>
              <w:rPr>
                <w:rFonts w:ascii="Arial"/>
                <w:sz w:val="21"/>
              </w:rPr>
            </w:pPr>
          </w:p>
        </w:tc>
      </w:tr>
      <w:tr w14:paraId="387EEA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trPr>
        <w:tc>
          <w:tcPr>
            <w:tcW w:w="639" w:type="dxa"/>
            <w:tcBorders>
              <w:left w:val="single" w:color="000000" w:sz="10" w:space="0"/>
            </w:tcBorders>
            <w:vAlign w:val="top"/>
          </w:tcPr>
          <w:p w14:paraId="41680A16">
            <w:pPr>
              <w:spacing w:line="327" w:lineRule="auto"/>
              <w:rPr>
                <w:rFonts w:ascii="Arial"/>
                <w:sz w:val="21"/>
              </w:rPr>
            </w:pPr>
          </w:p>
          <w:p w14:paraId="39DB5654">
            <w:pPr>
              <w:pStyle w:val="6"/>
              <w:spacing w:before="57" w:line="274" w:lineRule="exact"/>
              <w:ind w:left="272"/>
            </w:pPr>
            <w:r>
              <w:rPr>
                <w:position w:val="1"/>
              </w:rPr>
              <w:t>1</w:t>
            </w:r>
          </w:p>
        </w:tc>
        <w:tc>
          <w:tcPr>
            <w:tcW w:w="1412" w:type="dxa"/>
            <w:vAlign w:val="top"/>
          </w:tcPr>
          <w:p w14:paraId="490FEF80">
            <w:pPr>
              <w:rPr>
                <w:rFonts w:ascii="Arial"/>
                <w:sz w:val="21"/>
              </w:rPr>
            </w:pPr>
          </w:p>
        </w:tc>
        <w:tc>
          <w:tcPr>
            <w:tcW w:w="3274" w:type="dxa"/>
            <w:vAlign w:val="top"/>
          </w:tcPr>
          <w:p w14:paraId="45EA72A2">
            <w:pPr>
              <w:spacing w:line="350" w:lineRule="auto"/>
              <w:rPr>
                <w:rFonts w:ascii="Arial"/>
                <w:sz w:val="21"/>
              </w:rPr>
            </w:pPr>
          </w:p>
          <w:p w14:paraId="106B6100">
            <w:pPr>
              <w:spacing w:before="65" w:line="228" w:lineRule="auto"/>
              <w:ind w:left="1325"/>
              <w:rPr>
                <w:rFonts w:ascii="宋体" w:hAnsi="宋体" w:eastAsia="宋体" w:cs="宋体"/>
                <w:sz w:val="20"/>
                <w:szCs w:val="20"/>
              </w:rPr>
            </w:pPr>
            <w:r>
              <w:rPr>
                <w:rFonts w:ascii="宋体" w:hAnsi="宋体" w:eastAsia="宋体" w:cs="宋体"/>
                <w:spacing w:val="4"/>
                <w:sz w:val="20"/>
                <w:szCs w:val="20"/>
              </w:rPr>
              <w:t>马龙区</w:t>
            </w:r>
          </w:p>
        </w:tc>
        <w:tc>
          <w:tcPr>
            <w:tcW w:w="3125" w:type="dxa"/>
            <w:vAlign w:val="top"/>
          </w:tcPr>
          <w:p w14:paraId="3AA2D333">
            <w:pPr>
              <w:spacing w:line="349" w:lineRule="auto"/>
              <w:rPr>
                <w:rFonts w:ascii="Arial"/>
                <w:sz w:val="21"/>
              </w:rPr>
            </w:pPr>
          </w:p>
          <w:p w14:paraId="5A5D125D">
            <w:pPr>
              <w:spacing w:before="65" w:line="228" w:lineRule="auto"/>
              <w:ind w:left="118"/>
              <w:rPr>
                <w:rFonts w:ascii="宋体" w:hAnsi="宋体" w:eastAsia="宋体" w:cs="宋体"/>
                <w:sz w:val="20"/>
                <w:szCs w:val="20"/>
              </w:rPr>
            </w:pPr>
            <w:r>
              <w:rPr>
                <w:rFonts w:ascii="宋体" w:hAnsi="宋体" w:eastAsia="宋体" w:cs="宋体"/>
                <w:spacing w:val="7"/>
                <w:sz w:val="20"/>
                <w:szCs w:val="20"/>
              </w:rPr>
              <w:t>曲靖市生产服务型国家物流枢纽</w:t>
            </w:r>
          </w:p>
        </w:tc>
        <w:tc>
          <w:tcPr>
            <w:tcW w:w="2204" w:type="dxa"/>
            <w:vAlign w:val="top"/>
          </w:tcPr>
          <w:p w14:paraId="2D429F53">
            <w:pPr>
              <w:rPr>
                <w:rFonts w:ascii="Arial"/>
                <w:sz w:val="21"/>
              </w:rPr>
            </w:pPr>
          </w:p>
        </w:tc>
        <w:tc>
          <w:tcPr>
            <w:tcW w:w="2066" w:type="dxa"/>
            <w:vAlign w:val="top"/>
          </w:tcPr>
          <w:p w14:paraId="76ABD1E6">
            <w:pPr>
              <w:rPr>
                <w:rFonts w:ascii="Arial"/>
                <w:sz w:val="21"/>
              </w:rPr>
            </w:pPr>
          </w:p>
        </w:tc>
        <w:tc>
          <w:tcPr>
            <w:tcW w:w="920" w:type="dxa"/>
            <w:vAlign w:val="top"/>
          </w:tcPr>
          <w:p w14:paraId="7F574DBB">
            <w:pPr>
              <w:spacing w:line="350" w:lineRule="auto"/>
              <w:rPr>
                <w:rFonts w:ascii="Arial"/>
                <w:sz w:val="21"/>
              </w:rPr>
            </w:pPr>
          </w:p>
          <w:p w14:paraId="61A5F372">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40001ABC">
            <w:pPr>
              <w:rPr>
                <w:rFonts w:ascii="Arial"/>
                <w:sz w:val="21"/>
              </w:rPr>
            </w:pPr>
          </w:p>
        </w:tc>
        <w:tc>
          <w:tcPr>
            <w:tcW w:w="1071" w:type="dxa"/>
            <w:vAlign w:val="top"/>
          </w:tcPr>
          <w:p w14:paraId="7F4D1B40">
            <w:pPr>
              <w:spacing w:line="327" w:lineRule="auto"/>
              <w:rPr>
                <w:rFonts w:ascii="Arial"/>
                <w:sz w:val="21"/>
              </w:rPr>
            </w:pPr>
          </w:p>
          <w:p w14:paraId="14922DE3">
            <w:pPr>
              <w:pStyle w:val="6"/>
              <w:spacing w:before="57" w:line="274" w:lineRule="exact"/>
              <w:ind w:left="247"/>
            </w:pPr>
            <w:r>
              <w:rPr>
                <w:position w:val="2"/>
              </w:rPr>
              <w:t>199800</w:t>
            </w:r>
          </w:p>
        </w:tc>
        <w:tc>
          <w:tcPr>
            <w:tcW w:w="1113" w:type="dxa"/>
            <w:vAlign w:val="top"/>
          </w:tcPr>
          <w:p w14:paraId="2F238F62">
            <w:pPr>
              <w:spacing w:line="327" w:lineRule="auto"/>
              <w:rPr>
                <w:rFonts w:ascii="Arial"/>
                <w:sz w:val="21"/>
              </w:rPr>
            </w:pPr>
          </w:p>
          <w:p w14:paraId="65CCD2FF">
            <w:pPr>
              <w:pStyle w:val="6"/>
              <w:spacing w:before="57" w:line="274" w:lineRule="exact"/>
              <w:ind w:left="111"/>
            </w:pPr>
            <w:r>
              <w:rPr>
                <w:spacing w:val="4"/>
                <w:position w:val="2"/>
              </w:rPr>
              <w:t>2021-2025</w:t>
            </w:r>
          </w:p>
        </w:tc>
        <w:tc>
          <w:tcPr>
            <w:tcW w:w="1028" w:type="dxa"/>
            <w:vAlign w:val="top"/>
          </w:tcPr>
          <w:p w14:paraId="49F7B014">
            <w:pPr>
              <w:spacing w:line="327" w:lineRule="auto"/>
              <w:rPr>
                <w:rFonts w:ascii="Arial"/>
                <w:sz w:val="21"/>
              </w:rPr>
            </w:pPr>
          </w:p>
          <w:p w14:paraId="4064159A">
            <w:pPr>
              <w:pStyle w:val="6"/>
              <w:spacing w:before="57" w:line="274" w:lineRule="exact"/>
              <w:ind w:left="286"/>
            </w:pPr>
            <w:r>
              <w:rPr>
                <w:spacing w:val="4"/>
                <w:position w:val="2"/>
              </w:rPr>
              <w:t>46.70</w:t>
            </w:r>
          </w:p>
        </w:tc>
        <w:tc>
          <w:tcPr>
            <w:tcW w:w="3175" w:type="dxa"/>
            <w:tcBorders>
              <w:right w:val="single" w:color="000000" w:sz="10" w:space="0"/>
            </w:tcBorders>
            <w:vAlign w:val="top"/>
          </w:tcPr>
          <w:p w14:paraId="68626D9B">
            <w:pPr>
              <w:spacing w:before="89" w:line="228" w:lineRule="auto"/>
              <w:ind w:left="34"/>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p>
          <w:p w14:paraId="2FBCEF46">
            <w:pPr>
              <w:spacing w:before="81" w:line="229" w:lineRule="auto"/>
              <w:ind w:right="4"/>
              <w:jc w:val="right"/>
              <w:rPr>
                <w:rFonts w:ascii="宋体" w:hAnsi="宋体" w:eastAsia="宋体" w:cs="宋体"/>
                <w:sz w:val="20"/>
                <w:szCs w:val="20"/>
              </w:rPr>
            </w:pPr>
            <w:r>
              <w:rPr>
                <w:rFonts w:ascii="宋体" w:hAnsi="宋体" w:eastAsia="宋体" w:cs="宋体"/>
                <w:spacing w:val="8"/>
                <w:sz w:val="20"/>
                <w:szCs w:val="20"/>
              </w:rPr>
              <w:t>发展规划》新建项目；预计总投资</w:t>
            </w:r>
          </w:p>
          <w:p w14:paraId="6B572014">
            <w:pPr>
              <w:spacing w:before="78" w:line="227" w:lineRule="auto"/>
              <w:ind w:left="1086"/>
              <w:rPr>
                <w:rFonts w:ascii="宋体" w:hAnsi="宋体" w:eastAsia="宋体" w:cs="宋体"/>
                <w:sz w:val="20"/>
                <w:szCs w:val="20"/>
              </w:rPr>
            </w:pPr>
            <w:r>
              <w:rPr>
                <w:rFonts w:ascii="宋体" w:hAnsi="宋体" w:eastAsia="宋体" w:cs="宋体"/>
                <w:spacing w:val="1"/>
                <w:sz w:val="20"/>
                <w:szCs w:val="20"/>
              </w:rPr>
              <w:t>118.2</w:t>
            </w:r>
            <w:r>
              <w:rPr>
                <w:rFonts w:ascii="宋体" w:hAnsi="宋体" w:eastAsia="宋体" w:cs="宋体"/>
                <w:spacing w:val="17"/>
                <w:sz w:val="20"/>
                <w:szCs w:val="20"/>
              </w:rPr>
              <w:t xml:space="preserve"> </w:t>
            </w:r>
            <w:r>
              <w:rPr>
                <w:rFonts w:ascii="宋体" w:hAnsi="宋体" w:eastAsia="宋体" w:cs="宋体"/>
                <w:spacing w:val="1"/>
                <w:sz w:val="20"/>
                <w:szCs w:val="20"/>
              </w:rPr>
              <w:t>亿元</w:t>
            </w:r>
          </w:p>
        </w:tc>
      </w:tr>
      <w:tr w14:paraId="40D71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trPr>
        <w:tc>
          <w:tcPr>
            <w:tcW w:w="639" w:type="dxa"/>
            <w:tcBorders>
              <w:left w:val="single" w:color="000000" w:sz="10" w:space="0"/>
            </w:tcBorders>
            <w:vAlign w:val="top"/>
          </w:tcPr>
          <w:p w14:paraId="022BBDF8">
            <w:pPr>
              <w:spacing w:line="330" w:lineRule="auto"/>
              <w:rPr>
                <w:rFonts w:ascii="Arial"/>
                <w:sz w:val="21"/>
              </w:rPr>
            </w:pPr>
          </w:p>
          <w:p w14:paraId="1E1C9AED">
            <w:pPr>
              <w:pStyle w:val="6"/>
              <w:spacing w:before="57" w:line="274" w:lineRule="exact"/>
              <w:ind w:left="252"/>
            </w:pPr>
            <w:r>
              <w:rPr>
                <w:position w:val="1"/>
              </w:rPr>
              <w:t>2</w:t>
            </w:r>
          </w:p>
        </w:tc>
        <w:tc>
          <w:tcPr>
            <w:tcW w:w="1412" w:type="dxa"/>
            <w:vAlign w:val="top"/>
          </w:tcPr>
          <w:p w14:paraId="3DC643D4">
            <w:pPr>
              <w:rPr>
                <w:rFonts w:ascii="Arial"/>
                <w:sz w:val="21"/>
              </w:rPr>
            </w:pPr>
          </w:p>
        </w:tc>
        <w:tc>
          <w:tcPr>
            <w:tcW w:w="3274" w:type="dxa"/>
            <w:vAlign w:val="top"/>
          </w:tcPr>
          <w:p w14:paraId="0CB90E55">
            <w:pPr>
              <w:spacing w:line="353" w:lineRule="auto"/>
              <w:rPr>
                <w:rFonts w:ascii="Arial"/>
                <w:sz w:val="21"/>
              </w:rPr>
            </w:pPr>
          </w:p>
          <w:p w14:paraId="5CD01E05">
            <w:pPr>
              <w:spacing w:before="65" w:line="231" w:lineRule="auto"/>
              <w:ind w:left="1323"/>
              <w:rPr>
                <w:rFonts w:ascii="宋体" w:hAnsi="宋体" w:eastAsia="宋体" w:cs="宋体"/>
                <w:sz w:val="20"/>
                <w:szCs w:val="20"/>
              </w:rPr>
            </w:pPr>
            <w:r>
              <w:rPr>
                <w:rFonts w:ascii="宋体" w:hAnsi="宋体" w:eastAsia="宋体" w:cs="宋体"/>
                <w:spacing w:val="5"/>
                <w:sz w:val="20"/>
                <w:szCs w:val="20"/>
              </w:rPr>
              <w:t>沾益区</w:t>
            </w:r>
          </w:p>
        </w:tc>
        <w:tc>
          <w:tcPr>
            <w:tcW w:w="3125" w:type="dxa"/>
            <w:vAlign w:val="top"/>
          </w:tcPr>
          <w:p w14:paraId="0FA84B18">
            <w:pPr>
              <w:spacing w:line="353" w:lineRule="auto"/>
              <w:rPr>
                <w:rFonts w:ascii="Arial"/>
                <w:sz w:val="21"/>
              </w:rPr>
            </w:pPr>
          </w:p>
          <w:p w14:paraId="4DE7D259">
            <w:pPr>
              <w:spacing w:before="65" w:line="228" w:lineRule="auto"/>
              <w:ind w:left="303"/>
              <w:rPr>
                <w:rFonts w:ascii="宋体" w:hAnsi="宋体" w:eastAsia="宋体" w:cs="宋体"/>
                <w:sz w:val="20"/>
                <w:szCs w:val="20"/>
              </w:rPr>
            </w:pPr>
            <w:r>
              <w:rPr>
                <w:rFonts w:ascii="宋体" w:hAnsi="宋体" w:eastAsia="宋体" w:cs="宋体"/>
                <w:spacing w:val="9"/>
                <w:sz w:val="20"/>
                <w:szCs w:val="20"/>
              </w:rPr>
              <w:t>珠江源商贸服务型物流枢纽</w:t>
            </w:r>
          </w:p>
        </w:tc>
        <w:tc>
          <w:tcPr>
            <w:tcW w:w="2204" w:type="dxa"/>
            <w:vAlign w:val="top"/>
          </w:tcPr>
          <w:p w14:paraId="2515FDB5">
            <w:pPr>
              <w:rPr>
                <w:rFonts w:ascii="Arial"/>
                <w:sz w:val="21"/>
              </w:rPr>
            </w:pPr>
          </w:p>
        </w:tc>
        <w:tc>
          <w:tcPr>
            <w:tcW w:w="2066" w:type="dxa"/>
            <w:vAlign w:val="top"/>
          </w:tcPr>
          <w:p w14:paraId="4FB4A3BA">
            <w:pPr>
              <w:rPr>
                <w:rFonts w:ascii="Arial"/>
                <w:sz w:val="21"/>
              </w:rPr>
            </w:pPr>
          </w:p>
        </w:tc>
        <w:tc>
          <w:tcPr>
            <w:tcW w:w="920" w:type="dxa"/>
            <w:vAlign w:val="top"/>
          </w:tcPr>
          <w:p w14:paraId="186A87E3">
            <w:pPr>
              <w:spacing w:line="353" w:lineRule="auto"/>
              <w:rPr>
                <w:rFonts w:ascii="Arial"/>
                <w:sz w:val="21"/>
              </w:rPr>
            </w:pPr>
          </w:p>
          <w:p w14:paraId="4580CC1F">
            <w:pPr>
              <w:spacing w:before="65"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vAlign w:val="top"/>
          </w:tcPr>
          <w:p w14:paraId="006C673B">
            <w:pPr>
              <w:rPr>
                <w:rFonts w:ascii="Arial"/>
                <w:sz w:val="21"/>
              </w:rPr>
            </w:pPr>
          </w:p>
        </w:tc>
        <w:tc>
          <w:tcPr>
            <w:tcW w:w="1071" w:type="dxa"/>
            <w:vAlign w:val="top"/>
          </w:tcPr>
          <w:p w14:paraId="5B3E4481">
            <w:pPr>
              <w:spacing w:line="330" w:lineRule="auto"/>
              <w:rPr>
                <w:rFonts w:ascii="Arial"/>
                <w:sz w:val="21"/>
              </w:rPr>
            </w:pPr>
          </w:p>
          <w:p w14:paraId="5504B259">
            <w:pPr>
              <w:pStyle w:val="6"/>
              <w:spacing w:before="57" w:line="274" w:lineRule="exact"/>
              <w:ind w:left="227"/>
            </w:pPr>
            <w:r>
              <w:rPr>
                <w:spacing w:val="4"/>
                <w:position w:val="2"/>
              </w:rPr>
              <w:t>266400</w:t>
            </w:r>
          </w:p>
        </w:tc>
        <w:tc>
          <w:tcPr>
            <w:tcW w:w="1113" w:type="dxa"/>
            <w:vAlign w:val="top"/>
          </w:tcPr>
          <w:p w14:paraId="647D63CB">
            <w:pPr>
              <w:spacing w:line="330" w:lineRule="auto"/>
              <w:rPr>
                <w:rFonts w:ascii="Arial"/>
                <w:sz w:val="21"/>
              </w:rPr>
            </w:pPr>
          </w:p>
          <w:p w14:paraId="70D504CF">
            <w:pPr>
              <w:pStyle w:val="6"/>
              <w:spacing w:before="57" w:line="274" w:lineRule="exact"/>
              <w:ind w:left="111"/>
            </w:pPr>
            <w:r>
              <w:rPr>
                <w:spacing w:val="4"/>
                <w:position w:val="2"/>
              </w:rPr>
              <w:t>2021-2025</w:t>
            </w:r>
          </w:p>
        </w:tc>
        <w:tc>
          <w:tcPr>
            <w:tcW w:w="1028" w:type="dxa"/>
            <w:vAlign w:val="top"/>
          </w:tcPr>
          <w:p w14:paraId="36DF3E9D">
            <w:pPr>
              <w:spacing w:line="330" w:lineRule="auto"/>
              <w:rPr>
                <w:rFonts w:ascii="Arial"/>
                <w:sz w:val="21"/>
              </w:rPr>
            </w:pPr>
          </w:p>
          <w:p w14:paraId="42FA2526">
            <w:pPr>
              <w:pStyle w:val="6"/>
              <w:spacing w:before="57" w:line="274" w:lineRule="exact"/>
              <w:ind w:left="307"/>
            </w:pPr>
            <w:r>
              <w:rPr>
                <w:spacing w:val="-1"/>
                <w:position w:val="2"/>
              </w:rPr>
              <w:t>10.13</w:t>
            </w:r>
          </w:p>
        </w:tc>
        <w:tc>
          <w:tcPr>
            <w:tcW w:w="3175" w:type="dxa"/>
            <w:tcBorders>
              <w:right w:val="single" w:color="000000" w:sz="10" w:space="0"/>
            </w:tcBorders>
            <w:vAlign w:val="top"/>
          </w:tcPr>
          <w:p w14:paraId="0A7D1F34">
            <w:pPr>
              <w:spacing w:before="92" w:line="228" w:lineRule="auto"/>
              <w:ind w:left="34"/>
              <w:rPr>
                <w:rFonts w:ascii="宋体" w:hAnsi="宋体" w:eastAsia="宋体" w:cs="宋体"/>
                <w:sz w:val="20"/>
                <w:szCs w:val="20"/>
              </w:rPr>
            </w:pPr>
            <w:r>
              <w:rPr>
                <w:rFonts w:ascii="宋体" w:hAnsi="宋体" w:eastAsia="宋体" w:cs="宋体"/>
                <w:spacing w:val="5"/>
                <w:sz w:val="20"/>
                <w:szCs w:val="20"/>
              </w:rPr>
              <w:t>《云南省“十四五</w:t>
            </w:r>
            <w:r>
              <w:rPr>
                <w:rFonts w:ascii="宋体" w:hAnsi="宋体" w:eastAsia="宋体" w:cs="宋体"/>
                <w:spacing w:val="-58"/>
                <w:sz w:val="20"/>
                <w:szCs w:val="20"/>
              </w:rPr>
              <w:t xml:space="preserve"> </w:t>
            </w:r>
            <w:r>
              <w:rPr>
                <w:rFonts w:ascii="宋体" w:hAnsi="宋体" w:eastAsia="宋体" w:cs="宋体"/>
                <w:spacing w:val="5"/>
                <w:sz w:val="20"/>
                <w:szCs w:val="20"/>
              </w:rPr>
              <w:t>”综合交通运输</w:t>
            </w:r>
          </w:p>
          <w:p w14:paraId="74C30E0D">
            <w:pPr>
              <w:spacing w:before="81" w:line="229" w:lineRule="auto"/>
              <w:ind w:right="4"/>
              <w:jc w:val="right"/>
              <w:rPr>
                <w:rFonts w:ascii="宋体" w:hAnsi="宋体" w:eastAsia="宋体" w:cs="宋体"/>
                <w:sz w:val="20"/>
                <w:szCs w:val="20"/>
              </w:rPr>
            </w:pPr>
            <w:r>
              <w:rPr>
                <w:rFonts w:ascii="宋体" w:hAnsi="宋体" w:eastAsia="宋体" w:cs="宋体"/>
                <w:spacing w:val="8"/>
                <w:sz w:val="20"/>
                <w:szCs w:val="20"/>
              </w:rPr>
              <w:t>发展规划》新建项目；预计总投资</w:t>
            </w:r>
          </w:p>
          <w:p w14:paraId="24F00D53">
            <w:pPr>
              <w:spacing w:before="80" w:line="222" w:lineRule="auto"/>
              <w:ind w:left="1101"/>
              <w:rPr>
                <w:rFonts w:ascii="宋体" w:hAnsi="宋体" w:eastAsia="宋体" w:cs="宋体"/>
                <w:sz w:val="20"/>
                <w:szCs w:val="20"/>
              </w:rPr>
            </w:pPr>
            <w:r>
              <w:rPr>
                <w:rFonts w:ascii="宋体" w:hAnsi="宋体" w:eastAsia="宋体" w:cs="宋体"/>
                <w:spacing w:val="3"/>
                <w:sz w:val="20"/>
                <w:szCs w:val="20"/>
              </w:rPr>
              <w:t>22.14</w:t>
            </w:r>
            <w:r>
              <w:rPr>
                <w:rFonts w:ascii="宋体" w:hAnsi="宋体" w:eastAsia="宋体" w:cs="宋体"/>
                <w:spacing w:val="-39"/>
                <w:sz w:val="20"/>
                <w:szCs w:val="20"/>
              </w:rPr>
              <w:t xml:space="preserve"> </w:t>
            </w:r>
            <w:r>
              <w:rPr>
                <w:rFonts w:ascii="宋体" w:hAnsi="宋体" w:eastAsia="宋体" w:cs="宋体"/>
                <w:spacing w:val="3"/>
                <w:sz w:val="20"/>
                <w:szCs w:val="20"/>
              </w:rPr>
              <w:t>亿元</w:t>
            </w:r>
          </w:p>
        </w:tc>
      </w:tr>
      <w:tr w14:paraId="2FCB7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8450" w:type="dxa"/>
            <w:gridSpan w:val="4"/>
            <w:tcBorders>
              <w:left w:val="single" w:color="000000" w:sz="10" w:space="0"/>
            </w:tcBorders>
            <w:vAlign w:val="top"/>
          </w:tcPr>
          <w:p w14:paraId="69570852">
            <w:pPr>
              <w:spacing w:before="116" w:line="230" w:lineRule="auto"/>
              <w:ind w:left="3591"/>
              <w:rPr>
                <w:rFonts w:ascii="宋体" w:hAnsi="宋体" w:eastAsia="宋体" w:cs="宋体"/>
                <w:sz w:val="20"/>
                <w:szCs w:val="20"/>
              </w:rPr>
            </w:pPr>
            <w:r>
              <w:rPr>
                <w:rFonts w:ascii="宋体" w:hAnsi="宋体" w:eastAsia="宋体" w:cs="宋体"/>
                <w:b/>
                <w:bCs/>
                <w:spacing w:val="6"/>
                <w:sz w:val="20"/>
                <w:szCs w:val="20"/>
              </w:rPr>
              <w:t>六、智慧交通</w:t>
            </w:r>
          </w:p>
        </w:tc>
        <w:tc>
          <w:tcPr>
            <w:tcW w:w="2204" w:type="dxa"/>
            <w:vAlign w:val="top"/>
          </w:tcPr>
          <w:p w14:paraId="73E67D13">
            <w:pPr>
              <w:rPr>
                <w:rFonts w:ascii="Arial"/>
                <w:sz w:val="21"/>
              </w:rPr>
            </w:pPr>
          </w:p>
        </w:tc>
        <w:tc>
          <w:tcPr>
            <w:tcW w:w="2066" w:type="dxa"/>
            <w:vAlign w:val="top"/>
          </w:tcPr>
          <w:p w14:paraId="68183E15">
            <w:pPr>
              <w:rPr>
                <w:rFonts w:ascii="Arial"/>
                <w:sz w:val="21"/>
              </w:rPr>
            </w:pPr>
          </w:p>
        </w:tc>
        <w:tc>
          <w:tcPr>
            <w:tcW w:w="920" w:type="dxa"/>
            <w:vAlign w:val="top"/>
          </w:tcPr>
          <w:p w14:paraId="03E2DA5B">
            <w:pPr>
              <w:rPr>
                <w:rFonts w:ascii="Arial"/>
                <w:sz w:val="21"/>
              </w:rPr>
            </w:pPr>
          </w:p>
        </w:tc>
        <w:tc>
          <w:tcPr>
            <w:tcW w:w="963" w:type="dxa"/>
            <w:vAlign w:val="top"/>
          </w:tcPr>
          <w:p w14:paraId="4E546AF1">
            <w:pPr>
              <w:rPr>
                <w:rFonts w:ascii="Arial"/>
                <w:sz w:val="21"/>
              </w:rPr>
            </w:pPr>
          </w:p>
        </w:tc>
        <w:tc>
          <w:tcPr>
            <w:tcW w:w="1071" w:type="dxa"/>
            <w:vAlign w:val="top"/>
          </w:tcPr>
          <w:p w14:paraId="41139B99">
            <w:pPr>
              <w:rPr>
                <w:rFonts w:ascii="Arial"/>
                <w:sz w:val="21"/>
              </w:rPr>
            </w:pPr>
          </w:p>
        </w:tc>
        <w:tc>
          <w:tcPr>
            <w:tcW w:w="1113" w:type="dxa"/>
            <w:vAlign w:val="top"/>
          </w:tcPr>
          <w:p w14:paraId="5F2739E9">
            <w:pPr>
              <w:rPr>
                <w:rFonts w:ascii="Arial"/>
                <w:sz w:val="21"/>
              </w:rPr>
            </w:pPr>
          </w:p>
        </w:tc>
        <w:tc>
          <w:tcPr>
            <w:tcW w:w="1028" w:type="dxa"/>
            <w:vAlign w:val="top"/>
          </w:tcPr>
          <w:p w14:paraId="729BE6C4">
            <w:pPr>
              <w:rPr>
                <w:rFonts w:ascii="Arial"/>
                <w:sz w:val="21"/>
              </w:rPr>
            </w:pPr>
          </w:p>
        </w:tc>
        <w:tc>
          <w:tcPr>
            <w:tcW w:w="3175" w:type="dxa"/>
            <w:tcBorders>
              <w:right w:val="single" w:color="000000" w:sz="10" w:space="0"/>
            </w:tcBorders>
            <w:vAlign w:val="top"/>
          </w:tcPr>
          <w:p w14:paraId="28A1AE3F">
            <w:pPr>
              <w:rPr>
                <w:rFonts w:ascii="Arial"/>
                <w:sz w:val="21"/>
              </w:rPr>
            </w:pPr>
          </w:p>
        </w:tc>
      </w:tr>
      <w:tr w14:paraId="4529F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639" w:type="dxa"/>
            <w:tcBorders>
              <w:left w:val="single" w:color="000000" w:sz="10" w:space="0"/>
              <w:bottom w:val="single" w:color="000000" w:sz="10" w:space="0"/>
            </w:tcBorders>
            <w:vAlign w:val="top"/>
          </w:tcPr>
          <w:p w14:paraId="5E2CC138">
            <w:pPr>
              <w:pStyle w:val="6"/>
              <w:spacing w:before="89" w:line="274" w:lineRule="exact"/>
              <w:ind w:left="272"/>
            </w:pPr>
            <w:r>
              <w:rPr>
                <w:position w:val="1"/>
              </w:rPr>
              <w:t>1</w:t>
            </w:r>
          </w:p>
        </w:tc>
        <w:tc>
          <w:tcPr>
            <w:tcW w:w="1412" w:type="dxa"/>
            <w:tcBorders>
              <w:bottom w:val="single" w:color="000000" w:sz="10" w:space="0"/>
            </w:tcBorders>
            <w:vAlign w:val="top"/>
          </w:tcPr>
          <w:p w14:paraId="64C43956">
            <w:pPr>
              <w:rPr>
                <w:rFonts w:ascii="Arial"/>
                <w:sz w:val="21"/>
              </w:rPr>
            </w:pPr>
          </w:p>
        </w:tc>
        <w:tc>
          <w:tcPr>
            <w:tcW w:w="6399" w:type="dxa"/>
            <w:gridSpan w:val="2"/>
            <w:tcBorders>
              <w:bottom w:val="single" w:color="000000" w:sz="10" w:space="0"/>
            </w:tcBorders>
            <w:vAlign w:val="top"/>
          </w:tcPr>
          <w:p w14:paraId="617C4085">
            <w:pPr>
              <w:spacing w:before="117" w:line="228" w:lineRule="auto"/>
              <w:ind w:left="1542"/>
              <w:rPr>
                <w:rFonts w:ascii="宋体" w:hAnsi="宋体" w:eastAsia="宋体" w:cs="宋体"/>
                <w:sz w:val="20"/>
                <w:szCs w:val="20"/>
              </w:rPr>
            </w:pPr>
            <w:r>
              <w:rPr>
                <w:rFonts w:ascii="宋体" w:hAnsi="宋体" w:eastAsia="宋体" w:cs="宋体"/>
                <w:spacing w:val="6"/>
                <w:sz w:val="20"/>
                <w:szCs w:val="20"/>
              </w:rPr>
              <w:t>曲靖市“智慧交通</w:t>
            </w:r>
            <w:r>
              <w:rPr>
                <w:rFonts w:ascii="宋体" w:hAnsi="宋体" w:eastAsia="宋体" w:cs="宋体"/>
                <w:spacing w:val="-70"/>
                <w:sz w:val="20"/>
                <w:szCs w:val="20"/>
              </w:rPr>
              <w:t xml:space="preserve"> </w:t>
            </w:r>
            <w:r>
              <w:rPr>
                <w:rFonts w:ascii="宋体" w:hAnsi="宋体" w:eastAsia="宋体" w:cs="宋体"/>
                <w:spacing w:val="6"/>
                <w:sz w:val="20"/>
                <w:szCs w:val="20"/>
              </w:rPr>
              <w:t>”主平台建设项目</w:t>
            </w:r>
          </w:p>
        </w:tc>
        <w:tc>
          <w:tcPr>
            <w:tcW w:w="2204" w:type="dxa"/>
            <w:tcBorders>
              <w:bottom w:val="single" w:color="000000" w:sz="10" w:space="0"/>
            </w:tcBorders>
            <w:vAlign w:val="top"/>
          </w:tcPr>
          <w:p w14:paraId="63DE28BB">
            <w:pPr>
              <w:rPr>
                <w:rFonts w:ascii="Arial"/>
                <w:sz w:val="21"/>
              </w:rPr>
            </w:pPr>
          </w:p>
        </w:tc>
        <w:tc>
          <w:tcPr>
            <w:tcW w:w="2066" w:type="dxa"/>
            <w:tcBorders>
              <w:bottom w:val="single" w:color="000000" w:sz="10" w:space="0"/>
            </w:tcBorders>
            <w:vAlign w:val="top"/>
          </w:tcPr>
          <w:p w14:paraId="532BA184">
            <w:pPr>
              <w:rPr>
                <w:rFonts w:ascii="Arial"/>
                <w:sz w:val="21"/>
              </w:rPr>
            </w:pPr>
          </w:p>
        </w:tc>
        <w:tc>
          <w:tcPr>
            <w:tcW w:w="920" w:type="dxa"/>
            <w:tcBorders>
              <w:bottom w:val="single" w:color="000000" w:sz="10" w:space="0"/>
            </w:tcBorders>
            <w:vAlign w:val="top"/>
          </w:tcPr>
          <w:p w14:paraId="72FA8675">
            <w:pPr>
              <w:spacing w:before="118" w:line="229" w:lineRule="auto"/>
              <w:ind w:left="259"/>
              <w:rPr>
                <w:rFonts w:ascii="宋体" w:hAnsi="宋体" w:eastAsia="宋体" w:cs="宋体"/>
                <w:sz w:val="20"/>
                <w:szCs w:val="20"/>
              </w:rPr>
            </w:pPr>
            <w:r>
              <w:rPr>
                <w:rFonts w:ascii="宋体" w:hAnsi="宋体" w:eastAsia="宋体" w:cs="宋体"/>
                <w:spacing w:val="4"/>
                <w:sz w:val="20"/>
                <w:szCs w:val="20"/>
              </w:rPr>
              <w:t>新建</w:t>
            </w:r>
          </w:p>
        </w:tc>
        <w:tc>
          <w:tcPr>
            <w:tcW w:w="963" w:type="dxa"/>
            <w:tcBorders>
              <w:bottom w:val="single" w:color="000000" w:sz="10" w:space="0"/>
            </w:tcBorders>
            <w:vAlign w:val="top"/>
          </w:tcPr>
          <w:p w14:paraId="30F38363">
            <w:pPr>
              <w:rPr>
                <w:rFonts w:ascii="Arial"/>
                <w:sz w:val="21"/>
              </w:rPr>
            </w:pPr>
          </w:p>
        </w:tc>
        <w:tc>
          <w:tcPr>
            <w:tcW w:w="1071" w:type="dxa"/>
            <w:tcBorders>
              <w:bottom w:val="single" w:color="000000" w:sz="10" w:space="0"/>
            </w:tcBorders>
            <w:vAlign w:val="top"/>
          </w:tcPr>
          <w:p w14:paraId="4916B31B">
            <w:pPr>
              <w:rPr>
                <w:rFonts w:ascii="Arial"/>
                <w:sz w:val="21"/>
              </w:rPr>
            </w:pPr>
          </w:p>
        </w:tc>
        <w:tc>
          <w:tcPr>
            <w:tcW w:w="1113" w:type="dxa"/>
            <w:tcBorders>
              <w:bottom w:val="single" w:color="000000" w:sz="10" w:space="0"/>
            </w:tcBorders>
            <w:vAlign w:val="top"/>
          </w:tcPr>
          <w:p w14:paraId="5F8099B6">
            <w:pPr>
              <w:pStyle w:val="6"/>
              <w:spacing w:before="89" w:line="274" w:lineRule="exact"/>
              <w:ind w:left="111"/>
            </w:pPr>
            <w:r>
              <w:rPr>
                <w:spacing w:val="4"/>
                <w:position w:val="2"/>
              </w:rPr>
              <w:t>2022-2025</w:t>
            </w:r>
          </w:p>
        </w:tc>
        <w:tc>
          <w:tcPr>
            <w:tcW w:w="1028" w:type="dxa"/>
            <w:tcBorders>
              <w:bottom w:val="single" w:color="000000" w:sz="10" w:space="0"/>
            </w:tcBorders>
            <w:vAlign w:val="top"/>
          </w:tcPr>
          <w:p w14:paraId="60109F7F">
            <w:pPr>
              <w:pStyle w:val="6"/>
              <w:spacing w:before="89" w:line="274" w:lineRule="exact"/>
              <w:ind w:left="343"/>
            </w:pPr>
            <w:r>
              <w:rPr>
                <w:spacing w:val="2"/>
                <w:position w:val="2"/>
              </w:rPr>
              <w:t>0.81</w:t>
            </w:r>
          </w:p>
        </w:tc>
        <w:tc>
          <w:tcPr>
            <w:tcW w:w="3175" w:type="dxa"/>
            <w:tcBorders>
              <w:bottom w:val="single" w:color="000000" w:sz="10" w:space="0"/>
              <w:right w:val="single" w:color="000000" w:sz="10" w:space="0"/>
            </w:tcBorders>
            <w:vAlign w:val="top"/>
          </w:tcPr>
          <w:p w14:paraId="5EE7CAFC">
            <w:pPr>
              <w:rPr>
                <w:rFonts w:ascii="Arial"/>
                <w:sz w:val="21"/>
              </w:rPr>
            </w:pPr>
          </w:p>
        </w:tc>
      </w:tr>
    </w:tbl>
    <w:p w14:paraId="6D08C82A">
      <w:pPr>
        <w:pStyle w:val="2"/>
      </w:pPr>
    </w:p>
    <w:p w14:paraId="0647EB54">
      <w:pPr>
        <w:sectPr>
          <w:headerReference r:id="rId157" w:type="default"/>
          <w:footerReference r:id="rId158" w:type="default"/>
          <w:pgSz w:w="23812" w:h="16839"/>
          <w:pgMar w:top="1222" w:right="1407" w:bottom="1007" w:left="1387" w:header="885" w:footer="771" w:gutter="0"/>
          <w:cols w:space="720" w:num="1"/>
        </w:sectPr>
      </w:pPr>
    </w:p>
    <w:p w14:paraId="076F1FA9">
      <w:pPr>
        <w:spacing w:line="31667" w:lineRule="exact"/>
      </w:pPr>
      <w:r>
        <w:rPr>
          <w:position w:val="-633"/>
        </w:rPr>
        <w:drawing>
          <wp:inline distT="0" distB="0" distL="0" distR="0">
            <wp:extent cx="14319250" cy="2010854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62"/>
                    <a:stretch>
                      <a:fillRect/>
                    </a:stretch>
                  </pic:blipFill>
                  <pic:spPr>
                    <a:xfrm>
                      <a:off x="0" y="0"/>
                      <a:ext cx="14319510" cy="20108698"/>
                    </a:xfrm>
                    <a:prstGeom prst="rect">
                      <a:avLst/>
                    </a:prstGeom>
                  </pic:spPr>
                </pic:pic>
              </a:graphicData>
            </a:graphic>
          </wp:inline>
        </w:drawing>
      </w:r>
    </w:p>
    <w:p w14:paraId="328D2434">
      <w:pPr>
        <w:spacing w:line="31667" w:lineRule="exact"/>
        <w:sectPr>
          <w:headerReference r:id="rId159" w:type="default"/>
          <w:footerReference r:id="rId160" w:type="default"/>
          <w:pgSz w:w="22551" w:h="31680"/>
          <w:pgMar w:top="1" w:right="0" w:bottom="1" w:left="0" w:header="0" w:footer="0" w:gutter="0"/>
          <w:cols w:space="720" w:num="1"/>
        </w:sectPr>
      </w:pPr>
    </w:p>
    <w:p w14:paraId="4323148A">
      <w:pPr>
        <w:spacing w:line="31667" w:lineRule="exact"/>
      </w:pPr>
      <w:r>
        <w:rPr>
          <w:position w:val="-633"/>
        </w:rPr>
        <w:drawing>
          <wp:inline distT="0" distB="0" distL="0" distR="0">
            <wp:extent cx="14319250" cy="2010854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63"/>
                    <a:stretch>
                      <a:fillRect/>
                    </a:stretch>
                  </pic:blipFill>
                  <pic:spPr>
                    <a:xfrm>
                      <a:off x="0" y="0"/>
                      <a:ext cx="14319510" cy="20108698"/>
                    </a:xfrm>
                    <a:prstGeom prst="rect">
                      <a:avLst/>
                    </a:prstGeom>
                  </pic:spPr>
                </pic:pic>
              </a:graphicData>
            </a:graphic>
          </wp:inline>
        </w:drawing>
      </w:r>
    </w:p>
    <w:p w14:paraId="24816592">
      <w:pPr>
        <w:spacing w:line="31667" w:lineRule="exact"/>
        <w:sectPr>
          <w:pgSz w:w="22551" w:h="31680"/>
          <w:pgMar w:top="1" w:right="0" w:bottom="1" w:left="0" w:header="0" w:footer="0" w:gutter="0"/>
          <w:cols w:space="720" w:num="1"/>
        </w:sectPr>
      </w:pPr>
    </w:p>
    <w:p w14:paraId="293ABBD4">
      <w:pPr>
        <w:spacing w:line="31667" w:lineRule="exact"/>
      </w:pPr>
      <w:r>
        <w:rPr>
          <w:position w:val="-633"/>
        </w:rPr>
        <w:drawing>
          <wp:inline distT="0" distB="0" distL="0" distR="0">
            <wp:extent cx="14319250" cy="2010854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64"/>
                    <a:stretch>
                      <a:fillRect/>
                    </a:stretch>
                  </pic:blipFill>
                  <pic:spPr>
                    <a:xfrm>
                      <a:off x="0" y="0"/>
                      <a:ext cx="14319510" cy="20108698"/>
                    </a:xfrm>
                    <a:prstGeom prst="rect">
                      <a:avLst/>
                    </a:prstGeom>
                  </pic:spPr>
                </pic:pic>
              </a:graphicData>
            </a:graphic>
          </wp:inline>
        </w:drawing>
      </w:r>
    </w:p>
    <w:p w14:paraId="3ECCB656">
      <w:pPr>
        <w:spacing w:line="31667" w:lineRule="exact"/>
        <w:sectPr>
          <w:pgSz w:w="22551" w:h="31680"/>
          <w:pgMar w:top="1" w:right="0" w:bottom="1" w:left="0" w:header="0" w:footer="0" w:gutter="0"/>
          <w:cols w:space="720" w:num="1"/>
        </w:sectPr>
      </w:pPr>
    </w:p>
    <w:p w14:paraId="591EBE21">
      <w:pPr>
        <w:spacing w:line="31667" w:lineRule="exact"/>
      </w:pPr>
      <w:r>
        <w:rPr>
          <w:position w:val="-633"/>
        </w:rPr>
        <w:drawing>
          <wp:inline distT="0" distB="0" distL="0" distR="0">
            <wp:extent cx="14319250" cy="2010854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65"/>
                    <a:stretch>
                      <a:fillRect/>
                    </a:stretch>
                  </pic:blipFill>
                  <pic:spPr>
                    <a:xfrm>
                      <a:off x="0" y="0"/>
                      <a:ext cx="14319510" cy="20108698"/>
                    </a:xfrm>
                    <a:prstGeom prst="rect">
                      <a:avLst/>
                    </a:prstGeom>
                  </pic:spPr>
                </pic:pic>
              </a:graphicData>
            </a:graphic>
          </wp:inline>
        </w:drawing>
      </w:r>
    </w:p>
    <w:p w14:paraId="46FF86CB">
      <w:pPr>
        <w:spacing w:line="31667" w:lineRule="exact"/>
        <w:sectPr>
          <w:pgSz w:w="22551" w:h="31680"/>
          <w:pgMar w:top="1" w:right="0" w:bottom="1" w:left="0" w:header="0" w:footer="0" w:gutter="0"/>
          <w:cols w:space="720" w:num="1"/>
        </w:sectPr>
      </w:pPr>
    </w:p>
    <w:p w14:paraId="452F4E53">
      <w:pPr>
        <w:spacing w:line="31667" w:lineRule="exact"/>
      </w:pPr>
      <w:r>
        <w:rPr>
          <w:position w:val="-633"/>
        </w:rPr>
        <w:drawing>
          <wp:inline distT="0" distB="0" distL="0" distR="0">
            <wp:extent cx="14319250" cy="201085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66"/>
                    <a:stretch>
                      <a:fillRect/>
                    </a:stretch>
                  </pic:blipFill>
                  <pic:spPr>
                    <a:xfrm>
                      <a:off x="0" y="0"/>
                      <a:ext cx="14319510" cy="20108698"/>
                    </a:xfrm>
                    <a:prstGeom prst="rect">
                      <a:avLst/>
                    </a:prstGeom>
                  </pic:spPr>
                </pic:pic>
              </a:graphicData>
            </a:graphic>
          </wp:inline>
        </w:drawing>
      </w:r>
    </w:p>
    <w:p w14:paraId="70699E10">
      <w:pPr>
        <w:spacing w:line="31667" w:lineRule="exact"/>
        <w:sectPr>
          <w:pgSz w:w="22551" w:h="31680"/>
          <w:pgMar w:top="1" w:right="0" w:bottom="1" w:left="0" w:header="0" w:footer="0" w:gutter="0"/>
          <w:cols w:space="720" w:num="1"/>
        </w:sectPr>
      </w:pPr>
    </w:p>
    <w:p w14:paraId="67B9C611">
      <w:pPr>
        <w:spacing w:line="31667" w:lineRule="exact"/>
      </w:pPr>
      <w:r>
        <w:rPr>
          <w:position w:val="-633"/>
        </w:rPr>
        <w:drawing>
          <wp:inline distT="0" distB="0" distL="0" distR="0">
            <wp:extent cx="14319250" cy="2010854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67"/>
                    <a:stretch>
                      <a:fillRect/>
                    </a:stretch>
                  </pic:blipFill>
                  <pic:spPr>
                    <a:xfrm>
                      <a:off x="0" y="0"/>
                      <a:ext cx="14319510" cy="20108698"/>
                    </a:xfrm>
                    <a:prstGeom prst="rect">
                      <a:avLst/>
                    </a:prstGeom>
                  </pic:spPr>
                </pic:pic>
              </a:graphicData>
            </a:graphic>
          </wp:inline>
        </w:drawing>
      </w:r>
    </w:p>
    <w:p w14:paraId="7AC47B15">
      <w:pPr>
        <w:spacing w:line="31667" w:lineRule="exact"/>
        <w:sectPr>
          <w:pgSz w:w="22551" w:h="31680"/>
          <w:pgMar w:top="1" w:right="0" w:bottom="1" w:left="0" w:header="0" w:footer="0" w:gutter="0"/>
          <w:cols w:space="720" w:num="1"/>
        </w:sectPr>
      </w:pPr>
    </w:p>
    <w:p w14:paraId="31DB4EAB">
      <w:pPr>
        <w:spacing w:line="31667" w:lineRule="exact"/>
      </w:pPr>
      <w:r>
        <w:rPr>
          <w:position w:val="-633"/>
        </w:rPr>
        <w:drawing>
          <wp:inline distT="0" distB="0" distL="0" distR="0">
            <wp:extent cx="14319250" cy="2010854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68"/>
                    <a:stretch>
                      <a:fillRect/>
                    </a:stretch>
                  </pic:blipFill>
                  <pic:spPr>
                    <a:xfrm>
                      <a:off x="0" y="0"/>
                      <a:ext cx="14319510" cy="20108698"/>
                    </a:xfrm>
                    <a:prstGeom prst="rect">
                      <a:avLst/>
                    </a:prstGeom>
                  </pic:spPr>
                </pic:pic>
              </a:graphicData>
            </a:graphic>
          </wp:inline>
        </w:drawing>
      </w:r>
    </w:p>
    <w:sectPr>
      <w:pgSz w:w="22551" w:h="31680"/>
      <w:pgMar w:top="1" w:right="0" w:bottom="1"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CC3C4">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CB514">
    <w:pPr>
      <w:spacing w:line="173" w:lineRule="auto"/>
      <w:ind w:left="4523"/>
      <w:rPr>
        <w:rFonts w:ascii="Times New Roman" w:hAnsi="Times New Roman" w:eastAsia="Times New Roman" w:cs="Times New Roman"/>
        <w:sz w:val="18"/>
        <w:szCs w:val="18"/>
      </w:rPr>
    </w:pPr>
    <w:r>
      <w:rPr>
        <w:rFonts w:ascii="Times New Roman" w:hAnsi="Times New Roman" w:eastAsia="Times New Roman" w:cs="Times New Roman"/>
        <w:sz w:val="18"/>
        <w:szCs w:val="18"/>
      </w:rPr>
      <w:t>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34013">
    <w:pPr>
      <w:spacing w:line="173" w:lineRule="auto"/>
      <w:ind w:left="45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II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344E6">
    <w:pPr>
      <w:spacing w:line="173" w:lineRule="auto"/>
      <w:ind w:left="446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III</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C2EDC">
    <w:pPr>
      <w:pStyle w:val="2"/>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DAE83">
    <w:pPr>
      <w:spacing w:line="226" w:lineRule="exact"/>
      <w:ind w:left="4449"/>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w:t>
    </w:r>
    <w:r>
      <w:rPr>
        <w:rFonts w:ascii="Times New Roman" w:hAnsi="Times New Roman" w:eastAsia="Times New Roman" w:cs="Times New Roman"/>
        <w:spacing w:val="22"/>
        <w:position w:val="1"/>
        <w:sz w:val="18"/>
        <w:szCs w:val="18"/>
      </w:rPr>
      <w:t xml:space="preserve"> </w:t>
    </w:r>
    <w:r>
      <w:rPr>
        <w:rFonts w:ascii="Times New Roman" w:hAnsi="Times New Roman" w:eastAsia="Times New Roman" w:cs="Times New Roman"/>
        <w:spacing w:val="-10"/>
        <w:position w:val="1"/>
        <w:sz w:val="18"/>
        <w:szCs w:val="18"/>
      </w:rPr>
      <w:t>1</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10"/>
        <w:position w:val="1"/>
        <w:sz w:val="18"/>
        <w:szCs w:val="1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9E159">
    <w:pPr>
      <w:spacing w:line="226" w:lineRule="exact"/>
      <w:ind w:left="4458"/>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2"/>
        <w:position w:val="1"/>
        <w:sz w:val="18"/>
        <w:szCs w:val="18"/>
      </w:rPr>
      <w:t xml:space="preserve"> </w:t>
    </w:r>
    <w:r>
      <w:rPr>
        <w:rFonts w:ascii="Times New Roman" w:hAnsi="Times New Roman" w:eastAsia="Times New Roman" w:cs="Times New Roman"/>
        <w:spacing w:val="-4"/>
        <w:position w:val="1"/>
        <w:sz w:val="18"/>
        <w:szCs w:val="18"/>
      </w:rPr>
      <w:t>2</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12C47">
    <w:pPr>
      <w:spacing w:line="226" w:lineRule="exact"/>
      <w:ind w:left="4441"/>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5"/>
        <w:position w:val="1"/>
        <w:sz w:val="18"/>
        <w:szCs w:val="18"/>
      </w:rPr>
      <w:t>3</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5"/>
        <w:position w:val="1"/>
        <w:sz w:val="18"/>
        <w:szCs w:val="1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7734">
    <w:pPr>
      <w:spacing w:line="226" w:lineRule="exact"/>
      <w:ind w:left="4458"/>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1"/>
        <w:position w:val="1"/>
        <w:sz w:val="18"/>
        <w:szCs w:val="18"/>
      </w:rPr>
      <w:t xml:space="preserve"> </w:t>
    </w:r>
    <w:r>
      <w:rPr>
        <w:rFonts w:ascii="Times New Roman" w:hAnsi="Times New Roman" w:eastAsia="Times New Roman" w:cs="Times New Roman"/>
        <w:spacing w:val="-4"/>
        <w:position w:val="1"/>
        <w:sz w:val="18"/>
        <w:szCs w:val="18"/>
      </w:rPr>
      <w:t>4</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498B7">
    <w:pPr>
      <w:spacing w:line="173"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6"/>
        <w:sz w:val="18"/>
        <w:szCs w:val="18"/>
      </w:rPr>
      <w:t>5</w:t>
    </w:r>
    <w:r>
      <w:rPr>
        <w:rFonts w:ascii="Times New Roman" w:hAnsi="Times New Roman" w:eastAsia="Times New Roman" w:cs="Times New Roman"/>
        <w:spacing w:val="10"/>
        <w:sz w:val="18"/>
        <w:szCs w:val="18"/>
      </w:rPr>
      <w:t xml:space="preserve"> </w:t>
    </w:r>
    <w:r>
      <w:rPr>
        <w:rFonts w:ascii="Times New Roman" w:hAnsi="Times New Roman" w:eastAsia="Times New Roman" w:cs="Times New Roman"/>
        <w:spacing w:val="-6"/>
        <w:sz w:val="18"/>
        <w:szCs w:val="1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6F095">
    <w:pPr>
      <w:spacing w:line="226" w:lineRule="exact"/>
      <w:ind w:left="4458"/>
      <w:rPr>
        <w:rFonts w:ascii="Times New Roman" w:hAnsi="Times New Roman" w:eastAsia="Times New Roman" w:cs="Times New Roman"/>
        <w:sz w:val="18"/>
        <w:szCs w:val="18"/>
      </w:rPr>
    </w:pPr>
    <w:r>
      <w:rPr>
        <w:rFonts w:ascii="Times New Roman" w:hAnsi="Times New Roman" w:eastAsia="Times New Roman" w:cs="Times New Roman"/>
        <w:spacing w:val="-6"/>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6"/>
        <w:position w:val="1"/>
        <w:sz w:val="18"/>
        <w:szCs w:val="18"/>
      </w:rPr>
      <w:t>6</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6"/>
        <w:position w:val="1"/>
        <w:sz w:val="18"/>
        <w:szCs w:val="1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87A2F">
    <w:pPr>
      <w:spacing w:line="173" w:lineRule="auto"/>
      <w:ind w:left="444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w:t>
    </w:r>
    <w:r>
      <w:rPr>
        <w:rFonts w:ascii="Times New Roman" w:hAnsi="Times New Roman" w:eastAsia="Times New Roman" w:cs="Times New Roman"/>
        <w:spacing w:val="4"/>
        <w:sz w:val="18"/>
        <w:szCs w:val="18"/>
      </w:rPr>
      <w:t xml:space="preserve"> </w:t>
    </w:r>
    <w:r>
      <w:rPr>
        <w:rFonts w:ascii="Times New Roman" w:hAnsi="Times New Roman" w:eastAsia="Times New Roman" w:cs="Times New Roman"/>
        <w:spacing w:val="-5"/>
        <w:sz w:val="18"/>
        <w:szCs w:val="18"/>
      </w:rPr>
      <w:t>7</w:t>
    </w:r>
    <w:r>
      <w:rPr>
        <w:rFonts w:ascii="Times New Roman" w:hAnsi="Times New Roman" w:eastAsia="Times New Roman" w:cs="Times New Roman"/>
        <w:spacing w:val="10"/>
        <w:sz w:val="18"/>
        <w:szCs w:val="18"/>
      </w:rPr>
      <w:t xml:space="preserve"> </w:t>
    </w:r>
    <w:r>
      <w:rPr>
        <w:rFonts w:ascii="Times New Roman" w:hAnsi="Times New Roman" w:eastAsia="Times New Roman" w:cs="Times New Roman"/>
        <w:spacing w:val="-5"/>
        <w:sz w:val="18"/>
        <w:szCs w:val="1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37FE0">
    <w:pPr>
      <w:spacing w:line="226" w:lineRule="exact"/>
      <w:ind w:left="4458"/>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10"/>
        <w:position w:val="1"/>
        <w:sz w:val="18"/>
        <w:szCs w:val="18"/>
      </w:rPr>
      <w:t xml:space="preserve"> </w:t>
    </w:r>
    <w:r>
      <w:rPr>
        <w:rFonts w:ascii="Times New Roman" w:hAnsi="Times New Roman" w:eastAsia="Times New Roman" w:cs="Times New Roman"/>
        <w:spacing w:val="-7"/>
        <w:position w:val="1"/>
        <w:sz w:val="18"/>
        <w:szCs w:val="18"/>
      </w:rPr>
      <w:t>8</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7"/>
        <w:position w:val="1"/>
        <w:sz w:val="18"/>
        <w:szCs w:val="1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E3471">
    <w:pPr>
      <w:spacing w:line="226" w:lineRule="exact"/>
      <w:ind w:left="4441"/>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5"/>
        <w:position w:val="1"/>
        <w:sz w:val="18"/>
        <w:szCs w:val="18"/>
      </w:rPr>
      <w:t>9</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5"/>
        <w:position w:val="1"/>
        <w:sz w:val="18"/>
        <w:szCs w:val="1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0F5A0">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19"/>
        <w:position w:val="1"/>
        <w:sz w:val="18"/>
        <w:szCs w:val="18"/>
      </w:rPr>
      <w:t xml:space="preserve"> </w:t>
    </w:r>
    <w:r>
      <w:rPr>
        <w:rFonts w:ascii="Times New Roman" w:hAnsi="Times New Roman" w:eastAsia="Times New Roman" w:cs="Times New Roman"/>
        <w:spacing w:val="-7"/>
        <w:position w:val="1"/>
        <w:sz w:val="18"/>
        <w:szCs w:val="18"/>
      </w:rPr>
      <w:t>10</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7"/>
        <w:position w:val="1"/>
        <w:sz w:val="18"/>
        <w:szCs w:val="1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A55E2">
    <w:pPr>
      <w:spacing w:line="226" w:lineRule="exact"/>
      <w:ind w:left="4401"/>
      <w:rPr>
        <w:rFonts w:ascii="Times New Roman" w:hAnsi="Times New Roman" w:eastAsia="Times New Roman" w:cs="Times New Roman"/>
        <w:sz w:val="18"/>
        <w:szCs w:val="18"/>
      </w:rPr>
    </w:pPr>
    <w:r>
      <w:rPr>
        <w:rFonts w:ascii="Times New Roman" w:hAnsi="Times New Roman" w:eastAsia="Times New Roman" w:cs="Times New Roman"/>
        <w:spacing w:val="-9"/>
        <w:position w:val="1"/>
        <w:sz w:val="18"/>
        <w:szCs w:val="18"/>
      </w:rPr>
      <w:t>-</w:t>
    </w:r>
    <w:r>
      <w:rPr>
        <w:rFonts w:ascii="Times New Roman" w:hAnsi="Times New Roman" w:eastAsia="Times New Roman" w:cs="Times New Roman"/>
        <w:spacing w:val="22"/>
        <w:position w:val="1"/>
        <w:sz w:val="18"/>
        <w:szCs w:val="18"/>
      </w:rPr>
      <w:t xml:space="preserve"> </w:t>
    </w:r>
    <w:r>
      <w:rPr>
        <w:rFonts w:ascii="Times New Roman" w:hAnsi="Times New Roman" w:eastAsia="Times New Roman" w:cs="Times New Roman"/>
        <w:spacing w:val="-9"/>
        <w:position w:val="1"/>
        <w:sz w:val="18"/>
        <w:szCs w:val="18"/>
      </w:rPr>
      <w:t>11</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9"/>
        <w:position w:val="1"/>
        <w:sz w:val="18"/>
        <w:szCs w:val="1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76239">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19"/>
        <w:position w:val="1"/>
        <w:sz w:val="18"/>
        <w:szCs w:val="18"/>
      </w:rPr>
      <w:t xml:space="preserve"> </w:t>
    </w:r>
    <w:r>
      <w:rPr>
        <w:rFonts w:ascii="Times New Roman" w:hAnsi="Times New Roman" w:eastAsia="Times New Roman" w:cs="Times New Roman"/>
        <w:spacing w:val="-7"/>
        <w:position w:val="1"/>
        <w:sz w:val="18"/>
        <w:szCs w:val="18"/>
      </w:rPr>
      <w:t>12</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7"/>
        <w:position w:val="1"/>
        <w:sz w:val="18"/>
        <w:szCs w:val="18"/>
      </w:rPr>
      <w:t>-</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7AFDF">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21"/>
        <w:w w:val="101"/>
        <w:position w:val="1"/>
        <w:sz w:val="18"/>
        <w:szCs w:val="18"/>
      </w:rPr>
      <w:t xml:space="preserve"> </w:t>
    </w:r>
    <w:r>
      <w:rPr>
        <w:rFonts w:ascii="Times New Roman" w:hAnsi="Times New Roman" w:eastAsia="Times New Roman" w:cs="Times New Roman"/>
        <w:spacing w:val="-7"/>
        <w:position w:val="1"/>
        <w:sz w:val="18"/>
        <w:szCs w:val="18"/>
      </w:rPr>
      <w:t>13</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7"/>
        <w:position w:val="1"/>
        <w:sz w:val="18"/>
        <w:szCs w:val="18"/>
      </w:rP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952EA">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19"/>
        <w:position w:val="1"/>
        <w:sz w:val="18"/>
        <w:szCs w:val="18"/>
      </w:rPr>
      <w:t xml:space="preserve"> </w:t>
    </w:r>
    <w:r>
      <w:rPr>
        <w:rFonts w:ascii="Times New Roman" w:hAnsi="Times New Roman" w:eastAsia="Times New Roman" w:cs="Times New Roman"/>
        <w:spacing w:val="-7"/>
        <w:position w:val="1"/>
        <w:sz w:val="18"/>
        <w:szCs w:val="18"/>
      </w:rPr>
      <w:t>14</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7"/>
        <w:position w:val="1"/>
        <w:sz w:val="18"/>
        <w:szCs w:val="18"/>
      </w:rPr>
      <w:t>-</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DD9C8">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21"/>
        <w:w w:val="101"/>
        <w:position w:val="1"/>
        <w:sz w:val="18"/>
        <w:szCs w:val="18"/>
      </w:rPr>
      <w:t xml:space="preserve"> </w:t>
    </w:r>
    <w:r>
      <w:rPr>
        <w:rFonts w:ascii="Times New Roman" w:hAnsi="Times New Roman" w:eastAsia="Times New Roman" w:cs="Times New Roman"/>
        <w:spacing w:val="-7"/>
        <w:position w:val="1"/>
        <w:sz w:val="18"/>
        <w:szCs w:val="18"/>
      </w:rPr>
      <w:t>15</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7"/>
        <w:position w:val="1"/>
        <w:sz w:val="18"/>
        <w:szCs w:val="18"/>
      </w:rPr>
      <w:t>-</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9E8DB">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19"/>
        <w:position w:val="1"/>
        <w:sz w:val="18"/>
        <w:szCs w:val="18"/>
      </w:rPr>
      <w:t xml:space="preserve"> </w:t>
    </w:r>
    <w:r>
      <w:rPr>
        <w:rFonts w:ascii="Times New Roman" w:hAnsi="Times New Roman" w:eastAsia="Times New Roman" w:cs="Times New Roman"/>
        <w:spacing w:val="-7"/>
        <w:position w:val="1"/>
        <w:sz w:val="18"/>
        <w:szCs w:val="18"/>
      </w:rPr>
      <w:t>16</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7"/>
        <w:position w:val="1"/>
        <w:sz w:val="18"/>
        <w:szCs w:val="18"/>
      </w:rPr>
      <w:t>-</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2BD9A">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21"/>
        <w:w w:val="101"/>
        <w:position w:val="1"/>
        <w:sz w:val="18"/>
        <w:szCs w:val="18"/>
      </w:rPr>
      <w:t xml:space="preserve"> </w:t>
    </w:r>
    <w:r>
      <w:rPr>
        <w:rFonts w:ascii="Times New Roman" w:hAnsi="Times New Roman" w:eastAsia="Times New Roman" w:cs="Times New Roman"/>
        <w:spacing w:val="-7"/>
        <w:position w:val="1"/>
        <w:sz w:val="18"/>
        <w:szCs w:val="18"/>
      </w:rPr>
      <w:t>17</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7"/>
        <w:position w:val="1"/>
        <w:sz w:val="18"/>
        <w:szCs w:val="18"/>
      </w:rPr>
      <w:t>-</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B5888">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19"/>
        <w:position w:val="1"/>
        <w:sz w:val="18"/>
        <w:szCs w:val="18"/>
      </w:rPr>
      <w:t xml:space="preserve"> </w:t>
    </w:r>
    <w:r>
      <w:rPr>
        <w:rFonts w:ascii="Times New Roman" w:hAnsi="Times New Roman" w:eastAsia="Times New Roman" w:cs="Times New Roman"/>
        <w:spacing w:val="-7"/>
        <w:position w:val="1"/>
        <w:sz w:val="18"/>
        <w:szCs w:val="18"/>
      </w:rPr>
      <w:t>18</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7"/>
        <w:position w:val="1"/>
        <w:sz w:val="18"/>
        <w:szCs w:val="18"/>
      </w:rPr>
      <w:t>-</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410A0">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7"/>
        <w:position w:val="1"/>
        <w:sz w:val="18"/>
        <w:szCs w:val="18"/>
      </w:rPr>
      <w:t>-</w:t>
    </w:r>
    <w:r>
      <w:rPr>
        <w:rFonts w:ascii="Times New Roman" w:hAnsi="Times New Roman" w:eastAsia="Times New Roman" w:cs="Times New Roman"/>
        <w:spacing w:val="21"/>
        <w:w w:val="101"/>
        <w:position w:val="1"/>
        <w:sz w:val="18"/>
        <w:szCs w:val="18"/>
      </w:rPr>
      <w:t xml:space="preserve"> </w:t>
    </w:r>
    <w:r>
      <w:rPr>
        <w:rFonts w:ascii="Times New Roman" w:hAnsi="Times New Roman" w:eastAsia="Times New Roman" w:cs="Times New Roman"/>
        <w:spacing w:val="-7"/>
        <w:position w:val="1"/>
        <w:sz w:val="18"/>
        <w:szCs w:val="18"/>
      </w:rPr>
      <w:t>19</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7"/>
        <w:position w:val="1"/>
        <w:sz w:val="18"/>
        <w:szCs w:val="18"/>
      </w:rPr>
      <w:t>-</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A4E6B">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3"/>
        <w:position w:val="1"/>
        <w:sz w:val="18"/>
        <w:szCs w:val="18"/>
      </w:rPr>
      <w:t xml:space="preserve"> </w:t>
    </w:r>
    <w:r>
      <w:rPr>
        <w:rFonts w:ascii="Times New Roman" w:hAnsi="Times New Roman" w:eastAsia="Times New Roman" w:cs="Times New Roman"/>
        <w:spacing w:val="-3"/>
        <w:position w:val="1"/>
        <w:sz w:val="18"/>
        <w:szCs w:val="18"/>
      </w:rPr>
      <w:t>20</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3"/>
        <w:position w:val="1"/>
        <w:sz w:val="18"/>
        <w:szCs w:val="18"/>
      </w:rPr>
      <w:t>-</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34552">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21</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9AADA">
    <w:pPr>
      <w:spacing w:line="226" w:lineRule="exact"/>
      <w:ind w:left="4413"/>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3"/>
        <w:position w:val="1"/>
        <w:sz w:val="18"/>
        <w:szCs w:val="18"/>
      </w:rPr>
      <w:t xml:space="preserve"> </w:t>
    </w:r>
    <w:r>
      <w:rPr>
        <w:rFonts w:ascii="Times New Roman" w:hAnsi="Times New Roman" w:eastAsia="Times New Roman" w:cs="Times New Roman"/>
        <w:spacing w:val="-3"/>
        <w:position w:val="1"/>
        <w:sz w:val="18"/>
        <w:szCs w:val="18"/>
      </w:rPr>
      <w:t>22</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3"/>
        <w:position w:val="1"/>
        <w:sz w:val="18"/>
        <w:szCs w:val="18"/>
      </w:rPr>
      <w:t>-</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205E9">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23</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404E3">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3"/>
        <w:position w:val="1"/>
        <w:sz w:val="18"/>
        <w:szCs w:val="18"/>
      </w:rPr>
      <w:t xml:space="preserve"> </w:t>
    </w:r>
    <w:r>
      <w:rPr>
        <w:rFonts w:ascii="Times New Roman" w:hAnsi="Times New Roman" w:eastAsia="Times New Roman" w:cs="Times New Roman"/>
        <w:spacing w:val="-3"/>
        <w:position w:val="1"/>
        <w:sz w:val="18"/>
        <w:szCs w:val="18"/>
      </w:rPr>
      <w:t>24</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3"/>
        <w:position w:val="1"/>
        <w:sz w:val="18"/>
        <w:szCs w:val="18"/>
      </w:rPr>
      <w:t>-</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6796E">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25</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C7A96">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3"/>
        <w:position w:val="1"/>
        <w:sz w:val="18"/>
        <w:szCs w:val="18"/>
      </w:rPr>
      <w:t xml:space="preserve"> </w:t>
    </w:r>
    <w:r>
      <w:rPr>
        <w:rFonts w:ascii="Times New Roman" w:hAnsi="Times New Roman" w:eastAsia="Times New Roman" w:cs="Times New Roman"/>
        <w:spacing w:val="-3"/>
        <w:position w:val="1"/>
        <w:sz w:val="18"/>
        <w:szCs w:val="18"/>
      </w:rPr>
      <w:t>26</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3"/>
        <w:position w:val="1"/>
        <w:sz w:val="18"/>
        <w:szCs w:val="18"/>
      </w:rPr>
      <w:t>-</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B3CAC">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27</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59C01">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3"/>
        <w:position w:val="1"/>
        <w:sz w:val="18"/>
        <w:szCs w:val="18"/>
      </w:rPr>
      <w:t xml:space="preserve"> </w:t>
    </w:r>
    <w:r>
      <w:rPr>
        <w:rFonts w:ascii="Times New Roman" w:hAnsi="Times New Roman" w:eastAsia="Times New Roman" w:cs="Times New Roman"/>
        <w:spacing w:val="-3"/>
        <w:position w:val="1"/>
        <w:sz w:val="18"/>
        <w:szCs w:val="18"/>
      </w:rPr>
      <w:t>28</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3"/>
        <w:position w:val="1"/>
        <w:sz w:val="18"/>
        <w:szCs w:val="18"/>
      </w:rPr>
      <w:t>-</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5DF80">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29</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E5EDA">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30</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4DF38">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31</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0897A">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32</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9E144">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33</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16472">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34</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D0BCD">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35</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826FF">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36</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A8910">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37</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35F94">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38</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09624">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39</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BBCB4">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- 40</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2"/>
        <w:position w:val="1"/>
        <w:sz w:val="18"/>
        <w:szCs w:val="18"/>
      </w:rPr>
      <w:t>-</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C2673">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41</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6752E">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- 42</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2"/>
        <w:position w:val="1"/>
        <w:sz w:val="18"/>
        <w:szCs w:val="18"/>
      </w:rPr>
      <w:t>-</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BFF24">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43</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DA1FB">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- 44</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2"/>
        <w:position w:val="1"/>
        <w:sz w:val="18"/>
        <w:szCs w:val="18"/>
      </w:rPr>
      <w:t>-</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2B521">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45</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051AF">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- 46</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2"/>
        <w:position w:val="1"/>
        <w:sz w:val="18"/>
        <w:szCs w:val="18"/>
      </w:rPr>
      <w:t>-</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C9FE">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47</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5DDCC">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2"/>
        <w:position w:val="1"/>
        <w:sz w:val="18"/>
        <w:szCs w:val="18"/>
      </w:rPr>
      <w:t>- 48</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2"/>
        <w:position w:val="1"/>
        <w:sz w:val="18"/>
        <w:szCs w:val="18"/>
      </w:rPr>
      <w:t>-</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B842C">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3"/>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3"/>
        <w:position w:val="1"/>
        <w:sz w:val="18"/>
        <w:szCs w:val="18"/>
      </w:rPr>
      <w:t>49</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3"/>
        <w:position w:val="1"/>
        <w:sz w:val="18"/>
        <w:szCs w:val="18"/>
      </w:rPr>
      <w:t>-</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973AE">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50</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EB743">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51</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F0F1C">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52</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F2645">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53</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B5CE8">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54</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A0E54">
    <w:pPr>
      <w:spacing w:line="173" w:lineRule="auto"/>
      <w:ind w:left="439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9"/>
        <w:sz w:val="18"/>
        <w:szCs w:val="18"/>
      </w:rPr>
      <w:t xml:space="preserve"> </w:t>
    </w:r>
    <w:r>
      <w:rPr>
        <w:rFonts w:ascii="Times New Roman" w:hAnsi="Times New Roman" w:eastAsia="Times New Roman" w:cs="Times New Roman"/>
        <w:spacing w:val="-4"/>
        <w:sz w:val="18"/>
        <w:szCs w:val="18"/>
      </w:rPr>
      <w:t>55</w:t>
    </w:r>
    <w:r>
      <w:rPr>
        <w:rFonts w:ascii="Times New Roman" w:hAnsi="Times New Roman" w:eastAsia="Times New Roman" w:cs="Times New Roman"/>
        <w:spacing w:val="4"/>
        <w:sz w:val="18"/>
        <w:szCs w:val="18"/>
      </w:rPr>
      <w:t xml:space="preserve"> </w:t>
    </w:r>
    <w:r>
      <w:rPr>
        <w:rFonts w:ascii="Times New Roman" w:hAnsi="Times New Roman" w:eastAsia="Times New Roman" w:cs="Times New Roman"/>
        <w:spacing w:val="-4"/>
        <w:sz w:val="18"/>
        <w:szCs w:val="18"/>
      </w:rPr>
      <w:t>-</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A3E83">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56</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C0FE6">
    <w:pPr>
      <w:spacing w:line="173" w:lineRule="auto"/>
      <w:ind w:left="439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w:t>
    </w:r>
    <w:r>
      <w:rPr>
        <w:rFonts w:ascii="Times New Roman" w:hAnsi="Times New Roman" w:eastAsia="Times New Roman" w:cs="Times New Roman"/>
        <w:spacing w:val="9"/>
        <w:sz w:val="18"/>
        <w:szCs w:val="18"/>
      </w:rPr>
      <w:t xml:space="preserve"> </w:t>
    </w:r>
    <w:r>
      <w:rPr>
        <w:rFonts w:ascii="Times New Roman" w:hAnsi="Times New Roman" w:eastAsia="Times New Roman" w:cs="Times New Roman"/>
        <w:spacing w:val="-4"/>
        <w:sz w:val="18"/>
        <w:szCs w:val="18"/>
      </w:rPr>
      <w:t>57</w:t>
    </w:r>
    <w:r>
      <w:rPr>
        <w:rFonts w:ascii="Times New Roman" w:hAnsi="Times New Roman" w:eastAsia="Times New Roman" w:cs="Times New Roman"/>
        <w:spacing w:val="4"/>
        <w:sz w:val="18"/>
        <w:szCs w:val="18"/>
      </w:rPr>
      <w:t xml:space="preserve"> </w:t>
    </w:r>
    <w:r>
      <w:rPr>
        <w:rFonts w:ascii="Times New Roman" w:hAnsi="Times New Roman" w:eastAsia="Times New Roman" w:cs="Times New Roman"/>
        <w:spacing w:val="-4"/>
        <w:sz w:val="18"/>
        <w:szCs w:val="18"/>
      </w:rPr>
      <w:t>-</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D3BBB">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58</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5C584">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59</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03F7B">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60</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F69EE">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61</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42604">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62</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663BC">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63</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DB50E">
    <w:pPr>
      <w:spacing w:line="226" w:lineRule="exact"/>
      <w:ind w:left="4413"/>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64</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FBF88">
    <w:pPr>
      <w:spacing w:line="226" w:lineRule="exact"/>
      <w:ind w:left="4396"/>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65</w:t>
    </w:r>
    <w:r>
      <w:rPr>
        <w:rFonts w:ascii="Times New Roman" w:hAnsi="Times New Roman" w:eastAsia="Times New Roman" w:cs="Times New Roman"/>
        <w:spacing w:val="4"/>
        <w:position w:val="1"/>
        <w:sz w:val="18"/>
        <w:szCs w:val="18"/>
      </w:rPr>
      <w:t xml:space="preserve"> </w:t>
    </w:r>
    <w:r>
      <w:rPr>
        <w:rFonts w:ascii="Times New Roman" w:hAnsi="Times New Roman" w:eastAsia="Times New Roman" w:cs="Times New Roman"/>
        <w:spacing w:val="-4"/>
        <w:position w:val="1"/>
        <w:sz w:val="18"/>
        <w:szCs w:val="18"/>
      </w:rPr>
      <w:t>-</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F77F1">
    <w:pPr>
      <w:spacing w:line="226" w:lineRule="exact"/>
      <w:ind w:left="4412"/>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4"/>
        <w:position w:val="1"/>
        <w:sz w:val="18"/>
        <w:szCs w:val="18"/>
      </w:rPr>
      <w:t>66</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4"/>
        <w:position w:val="1"/>
        <w:sz w:val="18"/>
        <w:szCs w:val="18"/>
      </w:rPr>
      <w:t>-</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F7EAA">
    <w:pPr>
      <w:spacing w:line="226" w:lineRule="exact"/>
      <w:ind w:left="10384"/>
      <w:rPr>
        <w:rFonts w:ascii="Times New Roman" w:hAnsi="Times New Roman" w:eastAsia="Times New Roman" w:cs="Times New Roman"/>
        <w:sz w:val="18"/>
        <w:szCs w:val="18"/>
      </w:rPr>
    </w:pPr>
    <w:r>
      <w:rPr>
        <w:rFonts w:ascii="Times New Roman" w:hAnsi="Times New Roman" w:eastAsia="Times New Roman" w:cs="Times New Roman"/>
        <w:spacing w:val="-10"/>
        <w:position w:val="1"/>
        <w:sz w:val="18"/>
        <w:szCs w:val="18"/>
      </w:rPr>
      <w:t>-</w:t>
    </w:r>
    <w:r>
      <w:rPr>
        <w:rFonts w:ascii="Times New Roman" w:hAnsi="Times New Roman" w:eastAsia="Times New Roman" w:cs="Times New Roman"/>
        <w:spacing w:val="19"/>
        <w:w w:val="101"/>
        <w:position w:val="1"/>
        <w:sz w:val="18"/>
        <w:szCs w:val="18"/>
      </w:rPr>
      <w:t xml:space="preserve"> </w:t>
    </w:r>
    <w:r>
      <w:rPr>
        <w:rFonts w:ascii="Times New Roman" w:hAnsi="Times New Roman" w:eastAsia="Times New Roman" w:cs="Times New Roman"/>
        <w:spacing w:val="-10"/>
        <w:position w:val="1"/>
        <w:sz w:val="18"/>
        <w:szCs w:val="18"/>
      </w:rPr>
      <w:t>1</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10"/>
        <w:position w:val="1"/>
        <w:sz w:val="18"/>
        <w:szCs w:val="18"/>
      </w:rPr>
      <w:t>-</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7D3C">
    <w:pPr>
      <w:spacing w:line="226" w:lineRule="exact"/>
      <w:ind w:left="10367"/>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2"/>
        <w:position w:val="1"/>
        <w:sz w:val="18"/>
        <w:szCs w:val="18"/>
      </w:rPr>
      <w:t xml:space="preserve"> </w:t>
    </w:r>
    <w:r>
      <w:rPr>
        <w:rFonts w:ascii="Times New Roman" w:hAnsi="Times New Roman" w:eastAsia="Times New Roman" w:cs="Times New Roman"/>
        <w:spacing w:val="-4"/>
        <w:position w:val="1"/>
        <w:sz w:val="18"/>
        <w:szCs w:val="18"/>
      </w:rPr>
      <w:t>2</w:t>
    </w:r>
    <w:r>
      <w:rPr>
        <w:rFonts w:ascii="Times New Roman" w:hAnsi="Times New Roman" w:eastAsia="Times New Roman" w:cs="Times New Roman"/>
        <w:spacing w:val="9"/>
        <w:position w:val="1"/>
        <w:sz w:val="18"/>
        <w:szCs w:val="18"/>
      </w:rPr>
      <w:t xml:space="preserve"> </w:t>
    </w:r>
    <w:r>
      <w:rPr>
        <w:rFonts w:ascii="Times New Roman" w:hAnsi="Times New Roman" w:eastAsia="Times New Roman" w:cs="Times New Roman"/>
        <w:spacing w:val="-4"/>
        <w:position w:val="1"/>
        <w:sz w:val="18"/>
        <w:szCs w:val="18"/>
      </w:rPr>
      <w:t>-</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F3B1A">
    <w:pPr>
      <w:spacing w:line="226" w:lineRule="exact"/>
      <w:ind w:left="10384"/>
      <w:rPr>
        <w:rFonts w:ascii="Times New Roman" w:hAnsi="Times New Roman" w:eastAsia="Times New Roman" w:cs="Times New Roman"/>
        <w:sz w:val="18"/>
        <w:szCs w:val="18"/>
      </w:rPr>
    </w:pPr>
    <w:r>
      <w:rPr>
        <w:rFonts w:ascii="Times New Roman" w:hAnsi="Times New Roman" w:eastAsia="Times New Roman" w:cs="Times New Roman"/>
        <w:spacing w:val="-5"/>
        <w:position w:val="1"/>
        <w:sz w:val="18"/>
        <w:szCs w:val="18"/>
      </w:rPr>
      <w:t>-</w:t>
    </w:r>
    <w:r>
      <w:rPr>
        <w:rFonts w:ascii="Times New Roman" w:hAnsi="Times New Roman" w:eastAsia="Times New Roman" w:cs="Times New Roman"/>
        <w:spacing w:val="5"/>
        <w:position w:val="1"/>
        <w:sz w:val="18"/>
        <w:szCs w:val="18"/>
      </w:rPr>
      <w:t xml:space="preserve"> </w:t>
    </w:r>
    <w:r>
      <w:rPr>
        <w:rFonts w:ascii="Times New Roman" w:hAnsi="Times New Roman" w:eastAsia="Times New Roman" w:cs="Times New Roman"/>
        <w:spacing w:val="-5"/>
        <w:position w:val="1"/>
        <w:sz w:val="18"/>
        <w:szCs w:val="18"/>
      </w:rPr>
      <w:t>3</w:t>
    </w:r>
    <w:r>
      <w:rPr>
        <w:rFonts w:ascii="Times New Roman" w:hAnsi="Times New Roman" w:eastAsia="Times New Roman" w:cs="Times New Roman"/>
        <w:spacing w:val="6"/>
        <w:position w:val="1"/>
        <w:sz w:val="18"/>
        <w:szCs w:val="18"/>
      </w:rPr>
      <w:t xml:space="preserve"> </w:t>
    </w:r>
    <w:r>
      <w:rPr>
        <w:rFonts w:ascii="Times New Roman" w:hAnsi="Times New Roman" w:eastAsia="Times New Roman" w:cs="Times New Roman"/>
        <w:spacing w:val="-5"/>
        <w:position w:val="1"/>
        <w:sz w:val="18"/>
        <w:szCs w:val="18"/>
      </w:rPr>
      <w:t>-</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3E595">
    <w:pPr>
      <w:spacing w:line="226" w:lineRule="exact"/>
      <w:ind w:left="10367"/>
      <w:rPr>
        <w:rFonts w:ascii="Times New Roman" w:hAnsi="Times New Roman" w:eastAsia="Times New Roman" w:cs="Times New Roman"/>
        <w:sz w:val="18"/>
        <w:szCs w:val="18"/>
      </w:rPr>
    </w:pPr>
    <w:r>
      <w:rPr>
        <w:rFonts w:ascii="Times New Roman" w:hAnsi="Times New Roman" w:eastAsia="Times New Roman" w:cs="Times New Roman"/>
        <w:spacing w:val="-4"/>
        <w:position w:val="1"/>
        <w:sz w:val="18"/>
        <w:szCs w:val="18"/>
      </w:rPr>
      <w:t>-</w:t>
    </w:r>
    <w:r>
      <w:rPr>
        <w:rFonts w:ascii="Times New Roman" w:hAnsi="Times New Roman" w:eastAsia="Times New Roman" w:cs="Times New Roman"/>
        <w:spacing w:val="1"/>
        <w:position w:val="1"/>
        <w:sz w:val="18"/>
        <w:szCs w:val="18"/>
      </w:rPr>
      <w:t xml:space="preserve"> </w:t>
    </w:r>
    <w:r>
      <w:rPr>
        <w:rFonts w:ascii="Times New Roman" w:hAnsi="Times New Roman" w:eastAsia="Times New Roman" w:cs="Times New Roman"/>
        <w:spacing w:val="-4"/>
        <w:position w:val="1"/>
        <w:sz w:val="18"/>
        <w:szCs w:val="18"/>
      </w:rPr>
      <w:t>4</w:t>
    </w:r>
    <w:r>
      <w:rPr>
        <w:rFonts w:ascii="Times New Roman" w:hAnsi="Times New Roman" w:eastAsia="Times New Roman" w:cs="Times New Roman"/>
        <w:spacing w:val="10"/>
        <w:position w:val="1"/>
        <w:sz w:val="18"/>
        <w:szCs w:val="18"/>
      </w:rPr>
      <w:t xml:space="preserve"> </w:t>
    </w:r>
    <w:r>
      <w:rPr>
        <w:rFonts w:ascii="Times New Roman" w:hAnsi="Times New Roman" w:eastAsia="Times New Roman" w:cs="Times New Roman"/>
        <w:spacing w:val="-4"/>
        <w:position w:val="1"/>
        <w:sz w:val="18"/>
        <w:szCs w:val="18"/>
      </w:rPr>
      <w:t>-</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727B8">
    <w:pPr>
      <w:spacing w:line="173" w:lineRule="auto"/>
      <w:ind w:left="10384"/>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6"/>
        <w:sz w:val="18"/>
        <w:szCs w:val="18"/>
      </w:rPr>
      <w:t>5</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6"/>
        <w:sz w:val="18"/>
        <w:szCs w:val="18"/>
      </w:rPr>
      <w:t>-</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42AF6">
    <w:pPr>
      <w:spacing w:line="226" w:lineRule="exact"/>
      <w:ind w:left="10367"/>
      <w:rPr>
        <w:rFonts w:ascii="Times New Roman" w:hAnsi="Times New Roman" w:eastAsia="Times New Roman" w:cs="Times New Roman"/>
        <w:sz w:val="18"/>
        <w:szCs w:val="18"/>
      </w:rPr>
    </w:pPr>
    <w:r>
      <w:rPr>
        <w:rFonts w:ascii="Times New Roman" w:hAnsi="Times New Roman" w:eastAsia="Times New Roman" w:cs="Times New Roman"/>
        <w:spacing w:val="-6"/>
        <w:position w:val="1"/>
        <w:sz w:val="18"/>
        <w:szCs w:val="18"/>
      </w:rPr>
      <w:t>-</w:t>
    </w:r>
    <w:r>
      <w:rPr>
        <w:rFonts w:ascii="Times New Roman" w:hAnsi="Times New Roman" w:eastAsia="Times New Roman" w:cs="Times New Roman"/>
        <w:spacing w:val="7"/>
        <w:position w:val="1"/>
        <w:sz w:val="18"/>
        <w:szCs w:val="18"/>
      </w:rPr>
      <w:t xml:space="preserve"> </w:t>
    </w:r>
    <w:r>
      <w:rPr>
        <w:rFonts w:ascii="Times New Roman" w:hAnsi="Times New Roman" w:eastAsia="Times New Roman" w:cs="Times New Roman"/>
        <w:spacing w:val="-6"/>
        <w:position w:val="1"/>
        <w:sz w:val="18"/>
        <w:szCs w:val="18"/>
      </w:rPr>
      <w:t>6</w:t>
    </w:r>
    <w:r>
      <w:rPr>
        <w:rFonts w:ascii="Times New Roman" w:hAnsi="Times New Roman" w:eastAsia="Times New Roman" w:cs="Times New Roman"/>
        <w:spacing w:val="10"/>
        <w:position w:val="1"/>
        <w:sz w:val="18"/>
        <w:szCs w:val="18"/>
      </w:rPr>
      <w:t xml:space="preserve"> </w:t>
    </w:r>
    <w:r>
      <w:rPr>
        <w:rFonts w:ascii="Times New Roman" w:hAnsi="Times New Roman" w:eastAsia="Times New Roman" w:cs="Times New Roman"/>
        <w:spacing w:val="-6"/>
        <w:position w:val="1"/>
        <w:sz w:val="18"/>
        <w:szCs w:val="18"/>
      </w:rPr>
      <w:t>-</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A6017">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C64D9">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7A2D5">
    <w:pPr>
      <w:spacing w:before="48" w:line="219" w:lineRule="auto"/>
      <w:ind w:right="3"/>
      <w:jc w:val="right"/>
      <w:rPr>
        <w:rFonts w:ascii="宋体" w:hAnsi="宋体" w:eastAsia="宋体" w:cs="宋体"/>
        <w:sz w:val="18"/>
        <w:szCs w:val="18"/>
      </w:rPr>
    </w:pPr>
    <w:r>
      <w:pict>
        <v:shape id="_x0000_s4097" o:spid="_x0000_s4097" style="position:absolute;left:0pt;margin-left:79.35pt;margin-top:58pt;height:0.75pt;width:459.25pt;mso-position-horizontal-relative:page;mso-position-vertical-relative:page;z-index:251659264;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pacing w:val="-2"/>
        <w:sz w:val="18"/>
        <w:szCs w:val="18"/>
      </w:rPr>
      <w:t>曲靖市“十四五</w:t>
    </w:r>
    <w:r>
      <w:rPr>
        <w:rFonts w:ascii="宋体" w:hAnsi="宋体" w:eastAsia="宋体" w:cs="宋体"/>
        <w:spacing w:val="-66"/>
        <w:sz w:val="18"/>
        <w:szCs w:val="18"/>
      </w:rPr>
      <w:t xml:space="preserve"> </w:t>
    </w:r>
    <w:r>
      <w:rPr>
        <w:rFonts w:ascii="宋体" w:hAnsi="宋体" w:eastAsia="宋体" w:cs="宋体"/>
        <w:spacing w:val="-2"/>
        <w:sz w:val="18"/>
        <w:szCs w:val="18"/>
      </w:rPr>
      <w:t xml:space="preserve">”综合交通运输发展规划              </w:t>
    </w:r>
    <w:r>
      <w:rPr>
        <w:rFonts w:ascii="宋体" w:hAnsi="宋体" w:eastAsia="宋体" w:cs="宋体"/>
        <w:spacing w:val="-3"/>
        <w:sz w:val="18"/>
        <w:szCs w:val="18"/>
      </w:rPr>
      <w:t xml:space="preserve">                                             【</w:t>
    </w:r>
    <w:r>
      <w:rPr>
        <w:rFonts w:ascii="宋体" w:hAnsi="宋体" w:eastAsia="宋体" w:cs="宋体"/>
        <w:spacing w:val="-23"/>
        <w:sz w:val="18"/>
        <w:szCs w:val="18"/>
      </w:rPr>
      <w:t xml:space="preserve"> </w:t>
    </w:r>
    <w:r>
      <w:rPr>
        <w:rFonts w:ascii="宋体" w:hAnsi="宋体" w:eastAsia="宋体" w:cs="宋体"/>
        <w:spacing w:val="-3"/>
        <w:sz w:val="18"/>
        <w:szCs w:val="18"/>
      </w:rPr>
      <w:t>目录】</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4F113">
    <w:pPr>
      <w:spacing w:before="48" w:line="219" w:lineRule="auto"/>
      <w:ind w:left="4"/>
      <w:rPr>
        <w:rFonts w:ascii="宋体" w:hAnsi="宋体" w:eastAsia="宋体" w:cs="宋体"/>
        <w:sz w:val="18"/>
        <w:szCs w:val="18"/>
      </w:rPr>
    </w:pPr>
    <w:r>
      <w:pict>
        <v:shape id="_x0000_s4098" o:spid="_x0000_s4098" style="position:absolute;left:0pt;margin-left:56.7pt;margin-top:58pt;height:0.75pt;width:459.25pt;mso-position-horizontal-relative:page;mso-position-vertical-relative:page;z-index:25166028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w:t>
    </w:r>
    <w:r>
      <w:rPr>
        <w:rFonts w:ascii="宋体" w:hAnsi="宋体" w:eastAsia="宋体" w:cs="宋体"/>
        <w:spacing w:val="-47"/>
        <w:sz w:val="18"/>
        <w:szCs w:val="18"/>
      </w:rPr>
      <w:t xml:space="preserve"> </w:t>
    </w:r>
    <w:r>
      <w:rPr>
        <w:rFonts w:ascii="宋体" w:hAnsi="宋体" w:eastAsia="宋体" w:cs="宋体"/>
        <w:spacing w:val="-2"/>
        <w:sz w:val="18"/>
        <w:szCs w:val="18"/>
      </w:rPr>
      <w:t>目录】                                                           曲靖市“十四五</w:t>
    </w:r>
    <w:r>
      <w:rPr>
        <w:rFonts w:ascii="宋体" w:hAnsi="宋体" w:eastAsia="宋体" w:cs="宋体"/>
        <w:spacing w:val="-66"/>
        <w:sz w:val="18"/>
        <w:szCs w:val="18"/>
      </w:rPr>
      <w:t xml:space="preserve"> </w:t>
    </w:r>
    <w:r>
      <w:rPr>
        <w:rFonts w:ascii="宋体" w:hAnsi="宋体" w:eastAsia="宋体" w:cs="宋体"/>
        <w:spacing w:val="-2"/>
        <w:sz w:val="18"/>
        <w:szCs w:val="18"/>
      </w:rPr>
      <w:t>”综合交通运输发展规划</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E5F61">
    <w:pPr>
      <w:spacing w:before="48" w:line="219" w:lineRule="auto"/>
      <w:ind w:right="3"/>
      <w:jc w:val="right"/>
      <w:rPr>
        <w:rFonts w:ascii="宋体" w:hAnsi="宋体" w:eastAsia="宋体" w:cs="宋体"/>
        <w:sz w:val="18"/>
        <w:szCs w:val="18"/>
      </w:rPr>
    </w:pPr>
    <w:r>
      <w:pict>
        <v:shape id="_x0000_s4099" o:spid="_x0000_s4099" style="position:absolute;left:0pt;margin-left:79.35pt;margin-top:58pt;height:0.75pt;width:459.25pt;mso-position-horizontal-relative:page;mso-position-vertical-relative:page;z-index:251659264;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pacing w:val="-2"/>
        <w:sz w:val="18"/>
        <w:szCs w:val="18"/>
      </w:rPr>
      <w:t>曲靖市“十四五</w:t>
    </w:r>
    <w:r>
      <w:rPr>
        <w:rFonts w:ascii="宋体" w:hAnsi="宋体" w:eastAsia="宋体" w:cs="宋体"/>
        <w:spacing w:val="-66"/>
        <w:sz w:val="18"/>
        <w:szCs w:val="18"/>
      </w:rPr>
      <w:t xml:space="preserve"> </w:t>
    </w:r>
    <w:r>
      <w:rPr>
        <w:rFonts w:ascii="宋体" w:hAnsi="宋体" w:eastAsia="宋体" w:cs="宋体"/>
        <w:spacing w:val="-2"/>
        <w:sz w:val="18"/>
        <w:szCs w:val="18"/>
      </w:rPr>
      <w:t xml:space="preserve">”综合交通运输发展规划              </w:t>
    </w:r>
    <w:r>
      <w:rPr>
        <w:rFonts w:ascii="宋体" w:hAnsi="宋体" w:eastAsia="宋体" w:cs="宋体"/>
        <w:spacing w:val="-3"/>
        <w:sz w:val="18"/>
        <w:szCs w:val="18"/>
      </w:rPr>
      <w:t xml:space="preserve">                                             【</w:t>
    </w:r>
    <w:r>
      <w:rPr>
        <w:rFonts w:ascii="宋体" w:hAnsi="宋体" w:eastAsia="宋体" w:cs="宋体"/>
        <w:spacing w:val="-23"/>
        <w:sz w:val="18"/>
        <w:szCs w:val="18"/>
      </w:rPr>
      <w:t xml:space="preserve"> </w:t>
    </w:r>
    <w:r>
      <w:rPr>
        <w:rFonts w:ascii="宋体" w:hAnsi="宋体" w:eastAsia="宋体" w:cs="宋体"/>
        <w:spacing w:val="-3"/>
        <w:sz w:val="18"/>
        <w:szCs w:val="18"/>
      </w:rPr>
      <w:t>目录】</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DE4FD">
    <w:pPr>
      <w:pStyle w:val="2"/>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0270B">
    <w:pPr>
      <w:spacing w:before="48" w:line="219" w:lineRule="auto"/>
      <w:jc w:val="right"/>
      <w:rPr>
        <w:rFonts w:ascii="宋体" w:hAnsi="宋体" w:eastAsia="宋体" w:cs="宋体"/>
        <w:sz w:val="18"/>
        <w:szCs w:val="18"/>
      </w:rPr>
    </w:pPr>
    <w:r>
      <w:pict>
        <v:shape id="_x0000_s4100" o:spid="_x0000_s4100" style="position:absolute;left:0pt;margin-left:79.35pt;margin-top:58pt;height:0.75pt;width:459.25pt;mso-position-horizontal-relative:page;mso-position-vertical-relative:page;z-index:251661312;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E231F">
    <w:pPr>
      <w:spacing w:before="48" w:line="219" w:lineRule="auto"/>
      <w:ind w:left="4"/>
      <w:rPr>
        <w:rFonts w:ascii="宋体" w:hAnsi="宋体" w:eastAsia="宋体" w:cs="宋体"/>
        <w:sz w:val="18"/>
        <w:szCs w:val="18"/>
      </w:rPr>
    </w:pPr>
    <w:r>
      <w:pict>
        <v:shape id="_x0000_s4101" o:spid="_x0000_s4101" style="position:absolute;left:0pt;margin-left:56.7pt;margin-top:58pt;height:0.75pt;width:459.25pt;mso-position-horizontal-relative:page;mso-position-vertical-relative:page;z-index:251662336;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D0DCF">
    <w:pPr>
      <w:spacing w:before="48" w:line="219" w:lineRule="auto"/>
      <w:jc w:val="right"/>
      <w:rPr>
        <w:rFonts w:ascii="宋体" w:hAnsi="宋体" w:eastAsia="宋体" w:cs="宋体"/>
        <w:sz w:val="18"/>
        <w:szCs w:val="18"/>
      </w:rPr>
    </w:pPr>
    <w:r>
      <w:pict>
        <v:shape id="_x0000_s4102" o:spid="_x0000_s4102"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75860">
    <w:pPr>
      <w:spacing w:before="48" w:line="219" w:lineRule="auto"/>
      <w:ind w:left="4"/>
      <w:rPr>
        <w:rFonts w:ascii="宋体" w:hAnsi="宋体" w:eastAsia="宋体" w:cs="宋体"/>
        <w:sz w:val="18"/>
        <w:szCs w:val="18"/>
      </w:rPr>
    </w:pPr>
    <w:r>
      <w:pict>
        <v:shape id="_x0000_s4103" o:spid="_x0000_s4103" style="position:absolute;left:0pt;margin-left:56.7pt;margin-top:58pt;height:0.75pt;width:459.25pt;mso-position-horizontal-relative:page;mso-position-vertical-relative:page;z-index:251664384;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0B73">
    <w:pPr>
      <w:spacing w:before="48" w:line="219" w:lineRule="auto"/>
      <w:jc w:val="right"/>
      <w:rPr>
        <w:rFonts w:ascii="宋体" w:hAnsi="宋体" w:eastAsia="宋体" w:cs="宋体"/>
        <w:sz w:val="18"/>
        <w:szCs w:val="18"/>
      </w:rPr>
    </w:pPr>
    <w:r>
      <w:pict>
        <v:shape id="_x0000_s4104" o:spid="_x0000_s4104"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22CFF">
    <w:pPr>
      <w:spacing w:before="48" w:line="219" w:lineRule="auto"/>
      <w:ind w:left="4"/>
      <w:rPr>
        <w:rFonts w:ascii="宋体" w:hAnsi="宋体" w:eastAsia="宋体" w:cs="宋体"/>
        <w:sz w:val="18"/>
        <w:szCs w:val="18"/>
      </w:rPr>
    </w:pPr>
    <w:r>
      <w:pict>
        <v:shape id="_x0000_s4105" o:spid="_x0000_s4105" style="position:absolute;left:0pt;margin-left:56.7pt;margin-top:58pt;height:0.75pt;width:459.25pt;mso-position-horizontal-relative:page;mso-position-vertical-relative:page;z-index:25166540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1F968">
    <w:pPr>
      <w:spacing w:before="48" w:line="219" w:lineRule="auto"/>
      <w:jc w:val="right"/>
      <w:rPr>
        <w:rFonts w:ascii="宋体" w:hAnsi="宋体" w:eastAsia="宋体" w:cs="宋体"/>
        <w:sz w:val="18"/>
        <w:szCs w:val="18"/>
      </w:rPr>
    </w:pPr>
    <w:r>
      <w:pict>
        <v:shape id="_x0000_s4106" o:spid="_x0000_s4106" style="position:absolute;left:0pt;margin-left:79.35pt;margin-top:58pt;height:0.75pt;width:459.25pt;mso-position-horizontal-relative:page;mso-position-vertical-relative:page;z-index:251666432;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34C74">
    <w:pPr>
      <w:spacing w:before="48" w:line="219" w:lineRule="auto"/>
      <w:ind w:left="4"/>
      <w:rPr>
        <w:rFonts w:ascii="宋体" w:hAnsi="宋体" w:eastAsia="宋体" w:cs="宋体"/>
        <w:sz w:val="18"/>
        <w:szCs w:val="18"/>
      </w:rPr>
    </w:pPr>
    <w:r>
      <w:pict>
        <v:shape id="_x0000_s4107" o:spid="_x0000_s4107" style="position:absolute;left:0pt;margin-left:56.7pt;margin-top:58pt;height:0.75pt;width:459.25pt;mso-position-horizontal-relative:page;mso-position-vertical-relative:page;z-index:251667456;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241C6">
    <w:pPr>
      <w:spacing w:before="48" w:line="219" w:lineRule="auto"/>
      <w:ind w:left="27"/>
      <w:rPr>
        <w:rFonts w:ascii="宋体" w:hAnsi="宋体" w:eastAsia="宋体" w:cs="宋体"/>
        <w:sz w:val="18"/>
        <w:szCs w:val="18"/>
      </w:rPr>
    </w:pPr>
    <w:r>
      <w:pict>
        <v:shape id="_x0000_s4108" o:spid="_x0000_s4108" style="position:absolute;left:0pt;margin-left:79.35pt;margin-top:58pt;height:0.75pt;width:459.25pt;mso-position-horizontal-relative:page;mso-position-vertical-relative:page;z-index:25166848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0758D">
    <w:pPr>
      <w:spacing w:before="48" w:line="219" w:lineRule="auto"/>
      <w:ind w:left="4"/>
      <w:rPr>
        <w:rFonts w:ascii="宋体" w:hAnsi="宋体" w:eastAsia="宋体" w:cs="宋体"/>
        <w:sz w:val="18"/>
        <w:szCs w:val="18"/>
      </w:rPr>
    </w:pPr>
    <w:r>
      <w:pict>
        <v:shape id="_x0000_s4109" o:spid="_x0000_s4109" style="position:absolute;left:0pt;margin-left:56.7pt;margin-top:58pt;height:0.75pt;width:459.25pt;mso-position-horizontal-relative:page;mso-position-vertical-relative:page;z-index:251669504;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EBABB">
    <w:pPr>
      <w:spacing w:before="48" w:line="219" w:lineRule="auto"/>
      <w:jc w:val="right"/>
      <w:rPr>
        <w:rFonts w:ascii="宋体" w:hAnsi="宋体" w:eastAsia="宋体" w:cs="宋体"/>
        <w:sz w:val="18"/>
        <w:szCs w:val="18"/>
      </w:rPr>
    </w:pPr>
    <w:r>
      <w:pict>
        <v:shape id="_x0000_s4110" o:spid="_x0000_s4110"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B789D">
    <w:pPr>
      <w:spacing w:before="48" w:line="219" w:lineRule="auto"/>
      <w:ind w:left="4"/>
      <w:rPr>
        <w:rFonts w:ascii="宋体" w:hAnsi="宋体" w:eastAsia="宋体" w:cs="宋体"/>
        <w:sz w:val="18"/>
        <w:szCs w:val="18"/>
      </w:rPr>
    </w:pPr>
    <w:r>
      <w:pict>
        <v:shape id="_x0000_s4111" o:spid="_x0000_s4111" style="position:absolute;left:0pt;margin-left:56.7pt;margin-top:58pt;height:0.75pt;width:459.25pt;mso-position-horizontal-relative:page;mso-position-vertical-relative:page;z-index:25167052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B1406">
    <w:pPr>
      <w:spacing w:before="48" w:line="219" w:lineRule="auto"/>
      <w:jc w:val="right"/>
      <w:rPr>
        <w:rFonts w:ascii="宋体" w:hAnsi="宋体" w:eastAsia="宋体" w:cs="宋体"/>
        <w:sz w:val="18"/>
        <w:szCs w:val="18"/>
      </w:rPr>
    </w:pPr>
    <w:r>
      <w:pict>
        <v:shape id="_x0000_s4112" o:spid="_x0000_s4112"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C02F1">
    <w:pPr>
      <w:spacing w:before="48" w:line="219" w:lineRule="auto"/>
      <w:ind w:left="4"/>
      <w:rPr>
        <w:rFonts w:ascii="宋体" w:hAnsi="宋体" w:eastAsia="宋体" w:cs="宋体"/>
        <w:sz w:val="18"/>
        <w:szCs w:val="18"/>
      </w:rPr>
    </w:pPr>
    <w:r>
      <w:pict>
        <v:shape id="_x0000_s4113" o:spid="_x0000_s4113" style="position:absolute;left:0pt;margin-left:56.7pt;margin-top:58pt;height:0.75pt;width:459.25pt;mso-position-horizontal-relative:page;mso-position-vertical-relative:page;z-index:251671552;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744E4">
    <w:pPr>
      <w:spacing w:before="48" w:line="219" w:lineRule="auto"/>
      <w:ind w:left="27"/>
      <w:rPr>
        <w:rFonts w:ascii="宋体" w:hAnsi="宋体" w:eastAsia="宋体" w:cs="宋体"/>
        <w:sz w:val="18"/>
        <w:szCs w:val="18"/>
      </w:rPr>
    </w:pPr>
    <w:r>
      <w:pict>
        <v:shape id="_x0000_s4114" o:spid="_x0000_s4114" style="position:absolute;left:0pt;margin-left:79.35pt;margin-top:58pt;height:0.75pt;width:459.25pt;mso-position-horizontal-relative:page;mso-position-vertical-relative:page;z-index:25166848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A3F87">
    <w:pPr>
      <w:spacing w:before="48" w:line="219" w:lineRule="auto"/>
      <w:ind w:left="4"/>
      <w:rPr>
        <w:rFonts w:ascii="宋体" w:hAnsi="宋体" w:eastAsia="宋体" w:cs="宋体"/>
        <w:sz w:val="18"/>
        <w:szCs w:val="18"/>
      </w:rPr>
    </w:pPr>
    <w:r>
      <w:pict>
        <v:shape id="_x0000_s4115" o:spid="_x0000_s4115" style="position:absolute;left:0pt;margin-left:56.7pt;margin-top:58pt;height:0.75pt;width:459.25pt;mso-position-horizontal-relative:page;mso-position-vertical-relative:page;z-index:251671552;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096EB">
    <w:pPr>
      <w:spacing w:before="48" w:line="219" w:lineRule="auto"/>
      <w:ind w:left="27"/>
      <w:rPr>
        <w:rFonts w:ascii="宋体" w:hAnsi="宋体" w:eastAsia="宋体" w:cs="宋体"/>
        <w:sz w:val="18"/>
        <w:szCs w:val="18"/>
      </w:rPr>
    </w:pPr>
    <w:r>
      <w:pict>
        <v:shape id="_x0000_s4116" o:spid="_x0000_s4116" style="position:absolute;left:0pt;margin-left:79.35pt;margin-top:58pt;height:0.75pt;width:459.25pt;mso-position-horizontal-relative:page;mso-position-vertical-relative:page;z-index:251672576;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5635F">
    <w:pPr>
      <w:spacing w:before="48" w:line="219" w:lineRule="auto"/>
      <w:ind w:left="4"/>
      <w:rPr>
        <w:rFonts w:ascii="宋体" w:hAnsi="宋体" w:eastAsia="宋体" w:cs="宋体"/>
        <w:sz w:val="18"/>
        <w:szCs w:val="18"/>
      </w:rPr>
    </w:pPr>
    <w:r>
      <w:pict>
        <v:shape id="_x0000_s4117" o:spid="_x0000_s4117" style="position:absolute;left:0pt;margin-left:56.7pt;margin-top:58pt;height:0.75pt;width:459.25pt;mso-position-horizontal-relative:page;mso-position-vertical-relative:page;z-index:25166540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55E26">
    <w:pPr>
      <w:spacing w:before="48" w:line="219" w:lineRule="auto"/>
      <w:jc w:val="right"/>
      <w:rPr>
        <w:rFonts w:ascii="宋体" w:hAnsi="宋体" w:eastAsia="宋体" w:cs="宋体"/>
        <w:sz w:val="18"/>
        <w:szCs w:val="18"/>
      </w:rPr>
    </w:pPr>
    <w:r>
      <w:pict>
        <v:shape id="_x0000_s4118" o:spid="_x0000_s4118"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D7C68">
    <w:pPr>
      <w:spacing w:before="48" w:line="219" w:lineRule="auto"/>
      <w:ind w:left="4"/>
      <w:rPr>
        <w:rFonts w:ascii="宋体" w:hAnsi="宋体" w:eastAsia="宋体" w:cs="宋体"/>
        <w:sz w:val="18"/>
        <w:szCs w:val="18"/>
      </w:rPr>
    </w:pPr>
    <w:r>
      <w:pict>
        <v:shape id="_x0000_s4119" o:spid="_x0000_s4119" style="position:absolute;left:0pt;margin-left:56.7pt;margin-top:58pt;height:0.75pt;width:459.25pt;mso-position-horizontal-relative:page;mso-position-vertical-relative:page;z-index:251673600;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1D848">
    <w:pPr>
      <w:spacing w:before="48" w:line="219" w:lineRule="auto"/>
      <w:jc w:val="right"/>
      <w:rPr>
        <w:rFonts w:ascii="宋体" w:hAnsi="宋体" w:eastAsia="宋体" w:cs="宋体"/>
        <w:sz w:val="18"/>
        <w:szCs w:val="18"/>
      </w:rPr>
    </w:pPr>
    <w:r>
      <w:pict>
        <v:shape id="_x0000_s4120" o:spid="_x0000_s4120"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BF9EE">
    <w:pPr>
      <w:spacing w:before="48" w:line="219" w:lineRule="auto"/>
      <w:ind w:left="5"/>
      <w:rPr>
        <w:rFonts w:ascii="宋体" w:hAnsi="宋体" w:eastAsia="宋体" w:cs="宋体"/>
        <w:sz w:val="18"/>
        <w:szCs w:val="18"/>
      </w:rPr>
    </w:pPr>
    <w:r>
      <w:pict>
        <v:shape id="_x0000_s4121" o:spid="_x0000_s4121" style="position:absolute;left:0pt;margin-left:56.7pt;margin-top:58pt;height:0.75pt;width:459.25pt;mso-position-horizontal-relative:page;mso-position-vertical-relative:page;z-index:251674624;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A42B">
    <w:pPr>
      <w:spacing w:before="48" w:line="219" w:lineRule="auto"/>
      <w:ind w:left="27"/>
      <w:rPr>
        <w:rFonts w:ascii="宋体" w:hAnsi="宋体" w:eastAsia="宋体" w:cs="宋体"/>
        <w:sz w:val="18"/>
        <w:szCs w:val="18"/>
      </w:rPr>
    </w:pPr>
    <w:r>
      <w:pict>
        <v:shape id="_x0000_s4122" o:spid="_x0000_s4122" style="position:absolute;left:0pt;margin-left:79.35pt;margin-top:58pt;height:0.75pt;width:459.25pt;mso-position-horizontal-relative:page;mso-position-vertical-relative:page;z-index:251675648;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B6601">
    <w:pPr>
      <w:spacing w:before="48" w:line="219" w:lineRule="auto"/>
      <w:ind w:left="4"/>
      <w:rPr>
        <w:rFonts w:ascii="宋体" w:hAnsi="宋体" w:eastAsia="宋体" w:cs="宋体"/>
        <w:sz w:val="18"/>
        <w:szCs w:val="18"/>
      </w:rPr>
    </w:pPr>
    <w:r>
      <w:pict>
        <v:shape id="_x0000_s4123" o:spid="_x0000_s4123" style="position:absolute;left:0pt;margin-left:56.7pt;margin-top:58pt;height:0.75pt;width:459.25pt;mso-position-horizontal-relative:page;mso-position-vertical-relative:page;z-index:251676672;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【规划文本】                                                        曲</w:t>
    </w:r>
    <w:r>
      <w:rPr>
        <w:rFonts w:ascii="宋体" w:hAnsi="宋体" w:eastAsia="宋体" w:cs="宋体"/>
        <w:spacing w:val="-3"/>
        <w:sz w:val="18"/>
        <w:szCs w:val="18"/>
      </w:rPr>
      <w:t>靖市“十四五”综合交通运输发展规划</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46874">
    <w:pPr>
      <w:spacing w:before="48" w:line="219" w:lineRule="auto"/>
      <w:ind w:left="27"/>
      <w:rPr>
        <w:rFonts w:ascii="宋体" w:hAnsi="宋体" w:eastAsia="宋体" w:cs="宋体"/>
        <w:sz w:val="18"/>
        <w:szCs w:val="18"/>
      </w:rPr>
    </w:pPr>
    <w:r>
      <w:pict>
        <v:shape id="_x0000_s4124" o:spid="_x0000_s4124" style="position:absolute;left:0pt;margin-left:79.35pt;margin-top:58pt;height:0.75pt;width:459.25pt;mso-position-horizontal-relative:page;mso-position-vertical-relative:page;z-index:251677696;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7CC5">
    <w:pPr>
      <w:spacing w:before="48" w:line="219" w:lineRule="auto"/>
      <w:ind w:left="4"/>
      <w:rPr>
        <w:rFonts w:ascii="宋体" w:hAnsi="宋体" w:eastAsia="宋体" w:cs="宋体"/>
        <w:sz w:val="18"/>
        <w:szCs w:val="18"/>
      </w:rPr>
    </w:pPr>
    <w:r>
      <w:pict>
        <v:shape id="_x0000_s4125" o:spid="_x0000_s4125" style="position:absolute;left:0pt;margin-left:56.7pt;margin-top:58pt;height:0.75pt;width:459.25pt;mso-position-horizontal-relative:page;mso-position-vertical-relative:page;z-index:251678720;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85EE2">
    <w:pPr>
      <w:spacing w:before="48" w:line="219" w:lineRule="auto"/>
      <w:jc w:val="right"/>
      <w:rPr>
        <w:rFonts w:ascii="宋体" w:hAnsi="宋体" w:eastAsia="宋体" w:cs="宋体"/>
        <w:sz w:val="18"/>
        <w:szCs w:val="18"/>
      </w:rPr>
    </w:pPr>
    <w:r>
      <w:pict>
        <v:shape id="_x0000_s4126" o:spid="_x0000_s4126"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FA07D">
    <w:pPr>
      <w:spacing w:before="48" w:line="219" w:lineRule="auto"/>
      <w:ind w:left="4"/>
      <w:rPr>
        <w:rFonts w:ascii="宋体" w:hAnsi="宋体" w:eastAsia="宋体" w:cs="宋体"/>
        <w:sz w:val="18"/>
        <w:szCs w:val="18"/>
      </w:rPr>
    </w:pPr>
    <w:r>
      <w:pict>
        <v:shape id="_x0000_s4127" o:spid="_x0000_s4127" style="position:absolute;left:0pt;margin-left:56.7pt;margin-top:58pt;height:0.75pt;width:459.25pt;mso-position-horizontal-relative:page;mso-position-vertical-relative:page;z-index:25167052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B281F">
    <w:pPr>
      <w:spacing w:before="48" w:line="219" w:lineRule="auto"/>
      <w:ind w:left="27"/>
      <w:rPr>
        <w:rFonts w:ascii="宋体" w:hAnsi="宋体" w:eastAsia="宋体" w:cs="宋体"/>
        <w:sz w:val="18"/>
        <w:szCs w:val="18"/>
      </w:rPr>
    </w:pPr>
    <w:r>
      <w:pict>
        <v:shape id="_x0000_s4128" o:spid="_x0000_s4128" style="position:absolute;left:0pt;margin-left:79.35pt;margin-top:58pt;height:0.75pt;width:459.25pt;mso-position-horizontal-relative:page;mso-position-vertical-relative:page;z-index:251679744;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 xml:space="preserve">曲靖市“十四五”综合交通运输发展规划                           </w:t>
    </w:r>
    <w:r>
      <w:rPr>
        <w:rFonts w:ascii="宋体" w:hAnsi="宋体" w:eastAsia="宋体" w:cs="宋体"/>
        <w:spacing w:val="-1"/>
        <w:sz w:val="18"/>
        <w:szCs w:val="18"/>
      </w:rPr>
      <w:t xml:space="preserve">                            【规划文本】</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6ACE9">
    <w:pPr>
      <w:spacing w:before="48" w:line="219" w:lineRule="auto"/>
      <w:ind w:left="4"/>
      <w:rPr>
        <w:rFonts w:ascii="宋体" w:hAnsi="宋体" w:eastAsia="宋体" w:cs="宋体"/>
        <w:sz w:val="18"/>
        <w:szCs w:val="18"/>
      </w:rPr>
    </w:pPr>
    <w:r>
      <w:pict>
        <v:shape id="_x0000_s4129" o:spid="_x0000_s4129" style="position:absolute;left:0pt;margin-left:56.7pt;margin-top:58pt;height:0.75pt;width:459.25pt;mso-position-horizontal-relative:page;mso-position-vertical-relative:page;z-index:25167052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D8820">
    <w:pPr>
      <w:spacing w:before="48" w:line="219" w:lineRule="auto"/>
      <w:ind w:left="27"/>
      <w:rPr>
        <w:rFonts w:ascii="宋体" w:hAnsi="宋体" w:eastAsia="宋体" w:cs="宋体"/>
        <w:sz w:val="18"/>
        <w:szCs w:val="18"/>
      </w:rPr>
    </w:pPr>
    <w:r>
      <w:pict>
        <v:shape id="_x0000_s4130" o:spid="_x0000_s4130" style="position:absolute;left:0pt;margin-left:79.35pt;margin-top:58pt;height:0.75pt;width:459.25pt;mso-position-horizontal-relative:page;mso-position-vertical-relative:page;z-index:25166848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CB35C">
    <w:pPr>
      <w:spacing w:before="48" w:line="219" w:lineRule="auto"/>
      <w:ind w:left="4"/>
      <w:rPr>
        <w:rFonts w:ascii="宋体" w:hAnsi="宋体" w:eastAsia="宋体" w:cs="宋体"/>
        <w:sz w:val="18"/>
        <w:szCs w:val="18"/>
      </w:rPr>
    </w:pPr>
    <w:r>
      <w:pict>
        <v:shape id="_x0000_s4131" o:spid="_x0000_s4131" style="position:absolute;left:0pt;margin-left:56.7pt;margin-top:58pt;height:0.75pt;width:459.25pt;mso-position-horizontal-relative:page;mso-position-vertical-relative:page;z-index:25167052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43AE1">
    <w:pPr>
      <w:spacing w:before="48" w:line="219" w:lineRule="auto"/>
      <w:ind w:left="27"/>
      <w:rPr>
        <w:rFonts w:ascii="宋体" w:hAnsi="宋体" w:eastAsia="宋体" w:cs="宋体"/>
        <w:sz w:val="18"/>
        <w:szCs w:val="18"/>
      </w:rPr>
    </w:pPr>
    <w:r>
      <w:pict>
        <v:shape id="_x0000_s4132" o:spid="_x0000_s4132" style="position:absolute;left:0pt;margin-left:79.35pt;margin-top:58pt;height:0.75pt;width:459.25pt;mso-position-horizontal-relative:page;mso-position-vertical-relative:page;z-index:25166848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81FAB">
    <w:pPr>
      <w:spacing w:before="48" w:line="219" w:lineRule="auto"/>
      <w:ind w:left="4"/>
      <w:rPr>
        <w:rFonts w:ascii="宋体" w:hAnsi="宋体" w:eastAsia="宋体" w:cs="宋体"/>
        <w:sz w:val="18"/>
        <w:szCs w:val="18"/>
      </w:rPr>
    </w:pPr>
    <w:r>
      <w:pict>
        <v:shape id="_x0000_s4133" o:spid="_x0000_s4133" style="position:absolute;left:0pt;margin-left:56.7pt;margin-top:58pt;height:0.75pt;width:459.25pt;mso-position-horizontal-relative:page;mso-position-vertical-relative:page;z-index:251673600;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B91CD">
    <w:pPr>
      <w:spacing w:before="48" w:line="219" w:lineRule="auto"/>
      <w:jc w:val="right"/>
      <w:rPr>
        <w:rFonts w:ascii="宋体" w:hAnsi="宋体" w:eastAsia="宋体" w:cs="宋体"/>
        <w:sz w:val="18"/>
        <w:szCs w:val="18"/>
      </w:rPr>
    </w:pPr>
    <w:r>
      <w:pict>
        <v:shape id="_x0000_s4134" o:spid="_x0000_s4134"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30B81">
    <w:pPr>
      <w:spacing w:before="48" w:line="219" w:lineRule="auto"/>
      <w:ind w:left="4"/>
      <w:rPr>
        <w:rFonts w:ascii="宋体" w:hAnsi="宋体" w:eastAsia="宋体" w:cs="宋体"/>
        <w:sz w:val="18"/>
        <w:szCs w:val="18"/>
      </w:rPr>
    </w:pPr>
    <w:r>
      <w:pict>
        <v:shape id="_x0000_s4135" o:spid="_x0000_s4135" style="position:absolute;left:0pt;margin-left:56.7pt;margin-top:58pt;height:0.75pt;width:459.25pt;mso-position-horizontal-relative:page;mso-position-vertical-relative:page;z-index:25168076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C203E">
    <w:pPr>
      <w:spacing w:before="48" w:line="219" w:lineRule="auto"/>
      <w:jc w:val="right"/>
      <w:rPr>
        <w:rFonts w:ascii="宋体" w:hAnsi="宋体" w:eastAsia="宋体" w:cs="宋体"/>
        <w:sz w:val="18"/>
        <w:szCs w:val="18"/>
      </w:rPr>
    </w:pPr>
    <w:r>
      <w:pict>
        <v:shape id="_x0000_s4136" o:spid="_x0000_s4136"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B470D">
    <w:pPr>
      <w:spacing w:before="48" w:line="219" w:lineRule="auto"/>
      <w:ind w:left="4"/>
      <w:rPr>
        <w:rFonts w:ascii="宋体" w:hAnsi="宋体" w:eastAsia="宋体" w:cs="宋体"/>
        <w:sz w:val="18"/>
        <w:szCs w:val="18"/>
      </w:rPr>
    </w:pPr>
    <w:r>
      <w:pict>
        <v:shape id="_x0000_s4137" o:spid="_x0000_s4137" style="position:absolute;left:0pt;margin-left:56.7pt;margin-top:58pt;height:0.75pt;width:459.25pt;mso-position-horizontal-relative:page;mso-position-vertical-relative:page;z-index:251681792;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F7CE0">
    <w:pPr>
      <w:spacing w:before="48" w:line="219" w:lineRule="auto"/>
      <w:jc w:val="right"/>
      <w:rPr>
        <w:rFonts w:ascii="宋体" w:hAnsi="宋体" w:eastAsia="宋体" w:cs="宋体"/>
        <w:sz w:val="18"/>
        <w:szCs w:val="18"/>
      </w:rPr>
    </w:pPr>
    <w:r>
      <w:pict>
        <v:shape id="_x0000_s4138" o:spid="_x0000_s4138"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722F">
    <w:pPr>
      <w:spacing w:before="48" w:line="219" w:lineRule="auto"/>
      <w:ind w:left="4"/>
      <w:rPr>
        <w:rFonts w:ascii="宋体" w:hAnsi="宋体" w:eastAsia="宋体" w:cs="宋体"/>
        <w:sz w:val="18"/>
        <w:szCs w:val="18"/>
      </w:rPr>
    </w:pPr>
    <w:r>
      <w:pict>
        <v:shape id="_x0000_s4139" o:spid="_x0000_s4139" style="position:absolute;left:0pt;margin-left:56.7pt;margin-top:58pt;height:0.75pt;width:459.25pt;mso-position-horizontal-relative:page;mso-position-vertical-relative:page;z-index:251682816;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C0309">
    <w:pPr>
      <w:spacing w:before="48" w:line="219" w:lineRule="auto"/>
      <w:jc w:val="right"/>
      <w:rPr>
        <w:rFonts w:ascii="宋体" w:hAnsi="宋体" w:eastAsia="宋体" w:cs="宋体"/>
        <w:sz w:val="18"/>
        <w:szCs w:val="18"/>
      </w:rPr>
    </w:pPr>
    <w:r>
      <w:pict>
        <v:shape id="_x0000_s4140" o:spid="_x0000_s4140"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20273">
    <w:pPr>
      <w:spacing w:before="48" w:line="219" w:lineRule="auto"/>
      <w:ind w:left="4"/>
      <w:rPr>
        <w:rFonts w:ascii="宋体" w:hAnsi="宋体" w:eastAsia="宋体" w:cs="宋体"/>
        <w:sz w:val="18"/>
        <w:szCs w:val="18"/>
      </w:rPr>
    </w:pPr>
    <w:r>
      <w:pict>
        <v:shape id="_x0000_s4141" o:spid="_x0000_s4141" style="position:absolute;left:0pt;margin-left:56.7pt;margin-top:58pt;height:0.75pt;width:459.25pt;mso-position-horizontal-relative:page;mso-position-vertical-relative:page;z-index:251671552;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BC813">
    <w:pPr>
      <w:spacing w:before="48" w:line="219" w:lineRule="auto"/>
      <w:jc w:val="right"/>
      <w:rPr>
        <w:rFonts w:ascii="宋体" w:hAnsi="宋体" w:eastAsia="宋体" w:cs="宋体"/>
        <w:sz w:val="18"/>
        <w:szCs w:val="18"/>
      </w:rPr>
    </w:pPr>
    <w:r>
      <w:pict>
        <v:shape id="_x0000_s4142" o:spid="_x0000_s4142"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D7D9B">
    <w:pPr>
      <w:spacing w:before="48" w:line="219" w:lineRule="auto"/>
      <w:ind w:left="4"/>
      <w:rPr>
        <w:rFonts w:ascii="宋体" w:hAnsi="宋体" w:eastAsia="宋体" w:cs="宋体"/>
        <w:sz w:val="18"/>
        <w:szCs w:val="18"/>
      </w:rPr>
    </w:pPr>
    <w:r>
      <w:pict>
        <v:shape id="_x0000_s4143" o:spid="_x0000_s4143" style="position:absolute;left:0pt;margin-left:56.7pt;margin-top:58pt;height:0.75pt;width:459.25pt;mso-position-horizontal-relative:page;mso-position-vertical-relative:page;z-index:251673600;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A9D48">
    <w:pPr>
      <w:spacing w:before="48" w:line="219" w:lineRule="auto"/>
      <w:jc w:val="right"/>
      <w:rPr>
        <w:rFonts w:ascii="宋体" w:hAnsi="宋体" w:eastAsia="宋体" w:cs="宋体"/>
        <w:sz w:val="18"/>
        <w:szCs w:val="18"/>
      </w:rPr>
    </w:pPr>
    <w:r>
      <w:pict>
        <v:shape id="_x0000_s4144" o:spid="_x0000_s4144"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B5897">
    <w:pPr>
      <w:spacing w:before="48" w:line="219" w:lineRule="auto"/>
      <w:ind w:left="4"/>
      <w:rPr>
        <w:rFonts w:ascii="宋体" w:hAnsi="宋体" w:eastAsia="宋体" w:cs="宋体"/>
        <w:sz w:val="18"/>
        <w:szCs w:val="18"/>
      </w:rPr>
    </w:pPr>
    <w:r>
      <w:pict>
        <v:shape id="_x0000_s4145" o:spid="_x0000_s4145" style="position:absolute;left:0pt;margin-left:56.7pt;margin-top:58pt;height:0.75pt;width:459.25pt;mso-position-horizontal-relative:page;mso-position-vertical-relative:page;z-index:251681792;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F074A">
    <w:pPr>
      <w:spacing w:before="48" w:line="219" w:lineRule="auto"/>
      <w:ind w:left="27"/>
      <w:rPr>
        <w:rFonts w:ascii="宋体" w:hAnsi="宋体" w:eastAsia="宋体" w:cs="宋体"/>
        <w:sz w:val="18"/>
        <w:szCs w:val="18"/>
      </w:rPr>
    </w:pPr>
    <w:r>
      <w:pict>
        <v:shape id="_x0000_s4146" o:spid="_x0000_s4146" style="position:absolute;left:0pt;margin-left:79.35pt;margin-top:58pt;height:0.75pt;width:459.25pt;mso-position-horizontal-relative:page;mso-position-vertical-relative:page;z-index:25168384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32A6A">
    <w:pPr>
      <w:spacing w:before="48" w:line="219" w:lineRule="auto"/>
      <w:ind w:left="4"/>
      <w:rPr>
        <w:rFonts w:ascii="宋体" w:hAnsi="宋体" w:eastAsia="宋体" w:cs="宋体"/>
        <w:sz w:val="18"/>
        <w:szCs w:val="18"/>
      </w:rPr>
    </w:pPr>
    <w:r>
      <w:pict>
        <v:shape id="_x0000_s4147" o:spid="_x0000_s4147" style="position:absolute;left:0pt;margin-left:56.7pt;margin-top:58pt;height:0.75pt;width:459.25pt;mso-position-horizontal-relative:page;mso-position-vertical-relative:page;z-index:251684864;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04878">
    <w:pPr>
      <w:spacing w:before="48" w:line="219" w:lineRule="auto"/>
      <w:ind w:left="27"/>
      <w:rPr>
        <w:rFonts w:ascii="宋体" w:hAnsi="宋体" w:eastAsia="宋体" w:cs="宋体"/>
        <w:sz w:val="18"/>
        <w:szCs w:val="18"/>
      </w:rPr>
    </w:pPr>
    <w:r>
      <w:pict>
        <v:shape id="_x0000_s4148" o:spid="_x0000_s4148" style="position:absolute;left:0pt;margin-left:79.35pt;margin-top:58pt;height:0.75pt;width:459.25pt;mso-position-horizontal-relative:page;mso-position-vertical-relative:page;z-index:251685888;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40F5C">
    <w:pPr>
      <w:spacing w:before="48" w:line="219" w:lineRule="auto"/>
      <w:ind w:left="4"/>
      <w:rPr>
        <w:rFonts w:ascii="宋体" w:hAnsi="宋体" w:eastAsia="宋体" w:cs="宋体"/>
        <w:sz w:val="18"/>
        <w:szCs w:val="18"/>
      </w:rPr>
    </w:pPr>
    <w:r>
      <w:pict>
        <v:shape id="_x0000_s4149" o:spid="_x0000_s4149" style="position:absolute;left:0pt;margin-left:56.7pt;margin-top:58pt;height:0.75pt;width:459.25pt;mso-position-horizontal-relative:page;mso-position-vertical-relative:page;z-index:251667456;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4081D">
    <w:pPr>
      <w:spacing w:before="48" w:line="219" w:lineRule="auto"/>
      <w:jc w:val="right"/>
      <w:rPr>
        <w:rFonts w:ascii="宋体" w:hAnsi="宋体" w:eastAsia="宋体" w:cs="宋体"/>
        <w:sz w:val="18"/>
        <w:szCs w:val="18"/>
      </w:rPr>
    </w:pPr>
    <w:r>
      <w:pict>
        <v:shape id="_x0000_s4150" o:spid="_x0000_s4150"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EFA19">
    <w:pPr>
      <w:spacing w:before="48" w:line="219" w:lineRule="auto"/>
      <w:ind w:left="4"/>
      <w:rPr>
        <w:rFonts w:ascii="宋体" w:hAnsi="宋体" w:eastAsia="宋体" w:cs="宋体"/>
        <w:sz w:val="18"/>
        <w:szCs w:val="18"/>
      </w:rPr>
    </w:pPr>
    <w:r>
      <w:pict>
        <v:shape id="_x0000_s4151" o:spid="_x0000_s4151" style="position:absolute;left:0pt;margin-left:56.7pt;margin-top:58pt;height:0.75pt;width:459.25pt;mso-position-horizontal-relative:page;mso-position-vertical-relative:page;z-index:251686912;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5F7D7">
    <w:pPr>
      <w:spacing w:before="48" w:line="219" w:lineRule="auto"/>
      <w:jc w:val="right"/>
      <w:rPr>
        <w:rFonts w:ascii="宋体" w:hAnsi="宋体" w:eastAsia="宋体" w:cs="宋体"/>
        <w:sz w:val="18"/>
        <w:szCs w:val="18"/>
      </w:rPr>
    </w:pPr>
    <w:r>
      <w:pict>
        <v:shape id="_x0000_s4152" o:spid="_x0000_s4152" style="position:absolute;left:0pt;margin-left:79.35pt;margin-top:58pt;height:0.75pt;width:459.25pt;mso-position-horizontal-relative:page;mso-position-vertical-relative:page;z-index:251687936;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E0736">
    <w:pPr>
      <w:spacing w:before="48" w:line="219" w:lineRule="auto"/>
      <w:ind w:left="4"/>
      <w:rPr>
        <w:rFonts w:ascii="宋体" w:hAnsi="宋体" w:eastAsia="宋体" w:cs="宋体"/>
        <w:sz w:val="18"/>
        <w:szCs w:val="18"/>
      </w:rPr>
    </w:pPr>
    <w:r>
      <w:pict>
        <v:shape id="_x0000_s4153" o:spid="_x0000_s4153" style="position:absolute;left:0pt;margin-left:56.7pt;margin-top:58pt;height:0.75pt;width:459.25pt;mso-position-horizontal-relative:page;mso-position-vertical-relative:page;z-index:25167052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59ADE">
    <w:pPr>
      <w:spacing w:before="48" w:line="219" w:lineRule="auto"/>
      <w:jc w:val="right"/>
      <w:rPr>
        <w:rFonts w:ascii="宋体" w:hAnsi="宋体" w:eastAsia="宋体" w:cs="宋体"/>
        <w:sz w:val="18"/>
        <w:szCs w:val="18"/>
      </w:rPr>
    </w:pPr>
    <w:r>
      <w:pict>
        <v:shape id="_x0000_s4154" o:spid="_x0000_s4154" style="position:absolute;left:0pt;margin-left:79.35pt;margin-top:58pt;height:0.75pt;width:459.25pt;mso-position-horizontal-relative:page;mso-position-vertical-relative:page;z-index:2516889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4615F">
    <w:pPr>
      <w:spacing w:before="48" w:line="219" w:lineRule="auto"/>
      <w:ind w:left="4"/>
      <w:rPr>
        <w:rFonts w:ascii="宋体" w:hAnsi="宋体" w:eastAsia="宋体" w:cs="宋体"/>
        <w:sz w:val="18"/>
        <w:szCs w:val="18"/>
      </w:rPr>
    </w:pPr>
    <w:r>
      <w:pict>
        <v:shape id="_x0000_s4155" o:spid="_x0000_s4155" style="position:absolute;left:0pt;margin-left:56.7pt;margin-top:58pt;height:0.75pt;width:459.25pt;mso-position-horizontal-relative:page;mso-position-vertical-relative:page;z-index:251673600;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EE7E8">
    <w:pPr>
      <w:spacing w:before="48" w:line="219" w:lineRule="auto"/>
      <w:jc w:val="right"/>
      <w:rPr>
        <w:rFonts w:ascii="宋体" w:hAnsi="宋体" w:eastAsia="宋体" w:cs="宋体"/>
        <w:sz w:val="18"/>
        <w:szCs w:val="18"/>
      </w:rPr>
    </w:pPr>
    <w:r>
      <w:pict>
        <v:shape id="_x0000_s4156" o:spid="_x0000_s4156" style="position:absolute;left:0pt;margin-left:79.35pt;margin-top:58pt;height:0.75pt;width:459.25pt;mso-position-horizontal-relative:page;mso-position-vertical-relative:page;z-index:251689984;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B3E9D">
    <w:pPr>
      <w:spacing w:before="48" w:line="219" w:lineRule="auto"/>
      <w:ind w:left="4"/>
      <w:rPr>
        <w:rFonts w:ascii="宋体" w:hAnsi="宋体" w:eastAsia="宋体" w:cs="宋体"/>
        <w:sz w:val="18"/>
        <w:szCs w:val="18"/>
      </w:rPr>
    </w:pPr>
    <w:r>
      <w:pict>
        <v:shape id="_x0000_s4157" o:spid="_x0000_s4157" style="position:absolute;left:0pt;margin-left:56.7pt;margin-top:58pt;height:0.75pt;width:459.25pt;mso-position-horizontal-relative:page;mso-position-vertical-relative:page;z-index:251664384;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0D19F">
    <w:pPr>
      <w:spacing w:before="48" w:line="219" w:lineRule="auto"/>
      <w:jc w:val="right"/>
      <w:rPr>
        <w:rFonts w:ascii="宋体" w:hAnsi="宋体" w:eastAsia="宋体" w:cs="宋体"/>
        <w:sz w:val="18"/>
        <w:szCs w:val="18"/>
      </w:rPr>
    </w:pPr>
    <w:r>
      <w:pict>
        <v:shape id="_x0000_s4158" o:spid="_x0000_s4158"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4377B">
    <w:pPr>
      <w:spacing w:before="48" w:line="219" w:lineRule="auto"/>
      <w:ind w:left="4"/>
      <w:rPr>
        <w:rFonts w:ascii="宋体" w:hAnsi="宋体" w:eastAsia="宋体" w:cs="宋体"/>
        <w:sz w:val="18"/>
        <w:szCs w:val="18"/>
      </w:rPr>
    </w:pPr>
    <w:r>
      <w:pict>
        <v:shape id="_x0000_s4159" o:spid="_x0000_s4159" style="position:absolute;left:0pt;margin-left:56.7pt;margin-top:58pt;height:0.75pt;width:459.25pt;mso-position-horizontal-relative:page;mso-position-vertical-relative:page;z-index:25166540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70405">
    <w:pPr>
      <w:spacing w:before="48" w:line="219" w:lineRule="auto"/>
      <w:jc w:val="right"/>
      <w:rPr>
        <w:rFonts w:ascii="宋体" w:hAnsi="宋体" w:eastAsia="宋体" w:cs="宋体"/>
        <w:sz w:val="18"/>
        <w:szCs w:val="18"/>
      </w:rPr>
    </w:pPr>
    <w:r>
      <w:pict>
        <v:shape id="_x0000_s4160" o:spid="_x0000_s4160"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81063">
    <w:pPr>
      <w:spacing w:before="48" w:line="219" w:lineRule="auto"/>
      <w:ind w:left="4"/>
      <w:rPr>
        <w:rFonts w:ascii="宋体" w:hAnsi="宋体" w:eastAsia="宋体" w:cs="宋体"/>
        <w:sz w:val="18"/>
        <w:szCs w:val="18"/>
      </w:rPr>
    </w:pPr>
    <w:r>
      <w:pict>
        <v:shape id="_x0000_s4161" o:spid="_x0000_s4161" style="position:absolute;left:0pt;margin-left:56.7pt;margin-top:58pt;height:0.75pt;width:459.25pt;mso-position-horizontal-relative:page;mso-position-vertical-relative:page;z-index:25167052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AD841">
    <w:pPr>
      <w:spacing w:before="48" w:line="219" w:lineRule="auto"/>
      <w:jc w:val="right"/>
      <w:rPr>
        <w:rFonts w:ascii="宋体" w:hAnsi="宋体" w:eastAsia="宋体" w:cs="宋体"/>
        <w:sz w:val="18"/>
        <w:szCs w:val="18"/>
      </w:rPr>
    </w:pPr>
    <w:r>
      <w:pict>
        <v:shape id="_x0000_s4162" o:spid="_x0000_s4162" style="position:absolute;left:0pt;margin-left:79.35pt;margin-top:58pt;height:0.75pt;width:459.25pt;mso-position-horizontal-relative:page;mso-position-vertical-relative:page;z-index:251663360;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7FCC2">
    <w:pPr>
      <w:spacing w:before="48" w:line="219" w:lineRule="auto"/>
      <w:ind w:left="5"/>
      <w:rPr>
        <w:rFonts w:ascii="宋体" w:hAnsi="宋体" w:eastAsia="宋体" w:cs="宋体"/>
        <w:sz w:val="18"/>
        <w:szCs w:val="18"/>
      </w:rPr>
    </w:pPr>
    <w:r>
      <w:pict>
        <v:shape id="_x0000_s4163" o:spid="_x0000_s4163" style="position:absolute;left:0pt;margin-left:56.7pt;margin-top:58pt;height:0.75pt;width:459.25pt;mso-position-horizontal-relative:page;mso-position-vertical-relative:page;z-index:25169100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2AC7">
    <w:pPr>
      <w:spacing w:before="48" w:line="219" w:lineRule="auto"/>
      <w:jc w:val="right"/>
      <w:rPr>
        <w:rFonts w:ascii="宋体" w:hAnsi="宋体" w:eastAsia="宋体" w:cs="宋体"/>
        <w:sz w:val="18"/>
        <w:szCs w:val="18"/>
      </w:rPr>
    </w:pPr>
    <w:r>
      <w:pict>
        <v:shape id="_x0000_s4164" o:spid="_x0000_s4164" style="position:absolute;left:0pt;margin-left:79.35pt;margin-top:58pt;height:0.75pt;width:459.25pt;mso-position-horizontal-relative:page;mso-position-vertical-relative:page;z-index:251666432;mso-width-relative:page;mso-height-relative:page;" fillcolor="#000000" filled="t" stroked="f" coordsize="9185,15" o:allowincell="f" path="m0,0l9184,0,9184,14,0,14,0,0xe">
          <v:path/>
          <v:fill on="t" focussize="0,0"/>
          <v:stroke on="f"/>
          <v:imagedata o:title=""/>
          <o:lock v:ext="edit"/>
        </v:shape>
      </w:pict>
    </w:r>
    <w:r>
      <w:rPr>
        <w:rFonts w:ascii="宋体" w:hAnsi="宋体" w:eastAsia="宋体" w:cs="宋体"/>
        <w:sz w:val="18"/>
        <w:szCs w:val="18"/>
      </w:rPr>
      <w:t>曲靖市“十四五</w:t>
    </w:r>
    <w:r>
      <w:rPr>
        <w:rFonts w:ascii="宋体" w:hAnsi="宋体" w:eastAsia="宋体" w:cs="宋体"/>
        <w:spacing w:val="-66"/>
        <w:sz w:val="18"/>
        <w:szCs w:val="18"/>
      </w:rPr>
      <w:t xml:space="preserve"> </w:t>
    </w:r>
    <w:r>
      <w:rPr>
        <w:rFonts w:ascii="宋体" w:hAnsi="宋体" w:eastAsia="宋体" w:cs="宋体"/>
        <w:sz w:val="18"/>
        <w:szCs w:val="18"/>
      </w:rPr>
      <w:t xml:space="preserve">”综合交通运输发展规划         </w:t>
    </w:r>
    <w:r>
      <w:rPr>
        <w:rFonts w:ascii="宋体" w:hAnsi="宋体" w:eastAsia="宋体" w:cs="宋体"/>
        <w:spacing w:val="-1"/>
        <w:sz w:val="18"/>
        <w:szCs w:val="18"/>
      </w:rPr>
      <w:t xml:space="preserve">                                              【规划文本】</w: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CDCE9">
    <w:pPr>
      <w:spacing w:before="48" w:line="219" w:lineRule="auto"/>
      <w:ind w:left="4"/>
      <w:rPr>
        <w:rFonts w:ascii="宋体" w:hAnsi="宋体" w:eastAsia="宋体" w:cs="宋体"/>
        <w:sz w:val="18"/>
        <w:szCs w:val="18"/>
      </w:rPr>
    </w:pPr>
    <w:r>
      <w:pict>
        <v:shape id="_x0000_s4165" o:spid="_x0000_s4165" style="position:absolute;left:0pt;margin-left:56.7pt;margin-top:58pt;height:0.75pt;width:459.25pt;mso-position-horizontal-relative:page;mso-position-vertical-relative:page;z-index:251665408;mso-width-relative:page;mso-height-relative:page;" fillcolor="#000000" filled="t" stroked="f" coordsize="9185,15" o:allowincell="f" path="m0,0l9185,0,9185,14,0,14,0,0xe">
          <v:path/>
          <v:fill on="t" focussize="0,0"/>
          <v:stroke on="f"/>
          <v:imagedata o:title=""/>
          <o:lock v:ext="edit"/>
        </v:shape>
      </w:pict>
    </w:r>
    <w:r>
      <w:rPr>
        <w:rFonts w:ascii="宋体" w:hAnsi="宋体" w:eastAsia="宋体" w:cs="宋体"/>
        <w:spacing w:val="-2"/>
        <w:sz w:val="18"/>
        <w:szCs w:val="18"/>
      </w:rPr>
      <w:t xml:space="preserve">【规划文本】                              </w:t>
    </w:r>
    <w:r>
      <w:rPr>
        <w:rFonts w:ascii="宋体" w:hAnsi="宋体" w:eastAsia="宋体" w:cs="宋体"/>
        <w:spacing w:val="-3"/>
        <w:sz w:val="18"/>
        <w:szCs w:val="18"/>
      </w:rPr>
      <w:t xml:space="preserve">                          曲靖市“十四五</w:t>
    </w:r>
    <w:r>
      <w:rPr>
        <w:rFonts w:ascii="宋体" w:hAnsi="宋体" w:eastAsia="宋体" w:cs="宋体"/>
        <w:spacing w:val="-66"/>
        <w:sz w:val="18"/>
        <w:szCs w:val="18"/>
      </w:rPr>
      <w:t xml:space="preserve"> </w:t>
    </w:r>
    <w:r>
      <w:rPr>
        <w:rFonts w:ascii="宋体" w:hAnsi="宋体" w:eastAsia="宋体" w:cs="宋体"/>
        <w:spacing w:val="-3"/>
        <w:sz w:val="18"/>
        <w:szCs w:val="18"/>
      </w:rPr>
      <w:t>”综合交通运输发展规划</w: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A7A9C">
    <w:pPr>
      <w:spacing w:before="48" w:line="219" w:lineRule="auto"/>
      <w:ind w:left="61"/>
      <w:rPr>
        <w:rFonts w:ascii="宋体" w:hAnsi="宋体" w:eastAsia="宋体" w:cs="宋体"/>
        <w:sz w:val="18"/>
        <w:szCs w:val="18"/>
      </w:rPr>
    </w:pPr>
    <w:r>
      <w:pict>
        <v:shape id="_x0000_s4166" o:spid="_x0000_s4166" style="position:absolute;left:0pt;margin-left:70.85pt;margin-top:58pt;height:0.75pt;width:1048.9pt;mso-position-horizontal-relative:page;mso-position-vertical-relative:page;z-index:251692032;mso-width-relative:page;mso-height-relative:page;" fillcolor="#000000" filled="t" stroked="f" coordsize="20978,15" o:allowincell="f" path="m0,0l20977,0,20977,14,0,14,0,0xe">
          <v:path/>
          <v:fill on="t" focussize="0,0"/>
          <v:stroke on="f"/>
          <v:imagedata o:title=""/>
          <o:lock v:ext="edit"/>
        </v:shape>
      </w:pict>
    </w:r>
    <w:r>
      <w:rPr>
        <w:rFonts w:ascii="宋体" w:hAnsi="宋体" w:eastAsia="宋体" w:cs="宋体"/>
        <w:spacing w:val="-1"/>
        <w:sz w:val="18"/>
        <w:szCs w:val="18"/>
      </w:rPr>
      <w:t>曲靖市“十四五</w:t>
    </w:r>
    <w:r>
      <w:rPr>
        <w:rFonts w:ascii="宋体" w:hAnsi="宋体" w:eastAsia="宋体" w:cs="宋体"/>
        <w:spacing w:val="-66"/>
        <w:sz w:val="18"/>
        <w:szCs w:val="18"/>
      </w:rPr>
      <w:t xml:space="preserve"> </w:t>
    </w:r>
    <w:r>
      <w:rPr>
        <w:rFonts w:ascii="宋体" w:hAnsi="宋体" w:eastAsia="宋体" w:cs="宋体"/>
        <w:spacing w:val="-1"/>
        <w:sz w:val="18"/>
        <w:szCs w:val="18"/>
      </w:rPr>
      <w:t xml:space="preserve">”综合交通运输发展规划                                                                                                                                                                             </w:t>
    </w:r>
    <w:r>
      <w:rPr>
        <w:rFonts w:ascii="宋体" w:hAnsi="宋体" w:eastAsia="宋体" w:cs="宋体"/>
        <w:spacing w:val="-2"/>
        <w:sz w:val="18"/>
        <w:szCs w:val="18"/>
      </w:rPr>
      <w:t xml:space="preserve">                  【附表】</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028CB">
    <w:pPr>
      <w:spacing w:before="48" w:line="219" w:lineRule="auto"/>
      <w:ind w:left="36"/>
      <w:rPr>
        <w:rFonts w:ascii="宋体" w:hAnsi="宋体" w:eastAsia="宋体" w:cs="宋体"/>
        <w:sz w:val="18"/>
        <w:szCs w:val="18"/>
      </w:rPr>
    </w:pPr>
    <w:r>
      <w:pict>
        <v:shape id="_x0000_s4167" o:spid="_x0000_s4167" style="position:absolute;left:0pt;margin-left:70.85pt;margin-top:58pt;height:0.75pt;width:1048.9pt;mso-position-horizontal-relative:page;mso-position-vertical-relative:page;z-index:251693056;mso-width-relative:page;mso-height-relative:page;" fillcolor="#000000" filled="t" stroked="f" coordsize="20978,15" o:allowincell="f" path="m0,0l20977,0,20977,14,0,14,0,0xe">
          <v:path/>
          <v:fill on="t" focussize="0,0"/>
          <v:stroke on="f"/>
          <v:imagedata o:title=""/>
          <o:lock v:ext="edit"/>
        </v:shape>
      </w:pict>
    </w:r>
    <w:r>
      <w:rPr>
        <w:rFonts w:ascii="宋体" w:hAnsi="宋体" w:eastAsia="宋体" w:cs="宋体"/>
        <w:spacing w:val="-1"/>
        <w:sz w:val="18"/>
        <w:szCs w:val="18"/>
      </w:rPr>
      <w:t>【附表】                                                                                                                                                                                               曲靖市“十四五</w:t>
    </w:r>
    <w:r>
      <w:rPr>
        <w:rFonts w:ascii="宋体" w:hAnsi="宋体" w:eastAsia="宋体" w:cs="宋体"/>
        <w:spacing w:val="-63"/>
        <w:sz w:val="18"/>
        <w:szCs w:val="18"/>
      </w:rPr>
      <w:t xml:space="preserve"> </w:t>
    </w:r>
    <w:r>
      <w:rPr>
        <w:rFonts w:ascii="宋体" w:hAnsi="宋体" w:eastAsia="宋体" w:cs="宋体"/>
        <w:spacing w:val="-1"/>
        <w:sz w:val="18"/>
        <w:szCs w:val="18"/>
      </w:rPr>
      <w:t>”综合交通运输发展规划</w: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FDA3E">
    <w:pPr>
      <w:spacing w:before="48" w:line="219" w:lineRule="auto"/>
      <w:ind w:left="61"/>
      <w:rPr>
        <w:rFonts w:ascii="宋体" w:hAnsi="宋体" w:eastAsia="宋体" w:cs="宋体"/>
        <w:sz w:val="18"/>
        <w:szCs w:val="18"/>
      </w:rPr>
    </w:pPr>
    <w:r>
      <w:pict>
        <v:shape id="_x0000_s4168" o:spid="_x0000_s4168" style="position:absolute;left:0pt;margin-left:70.85pt;margin-top:58pt;height:0.75pt;width:1048.9pt;mso-position-horizontal-relative:page;mso-position-vertical-relative:page;z-index:251692032;mso-width-relative:page;mso-height-relative:page;" fillcolor="#000000" filled="t" stroked="f" coordsize="20978,15" o:allowincell="f" path="m0,0l20977,0,20977,14,0,14,0,0xe">
          <v:path/>
          <v:fill on="t" focussize="0,0"/>
          <v:stroke on="f"/>
          <v:imagedata o:title=""/>
          <o:lock v:ext="edit"/>
        </v:shape>
      </w:pict>
    </w:r>
    <w:r>
      <w:rPr>
        <w:rFonts w:ascii="宋体" w:hAnsi="宋体" w:eastAsia="宋体" w:cs="宋体"/>
        <w:spacing w:val="-1"/>
        <w:sz w:val="18"/>
        <w:szCs w:val="18"/>
      </w:rPr>
      <w:t>曲靖市“十四五</w:t>
    </w:r>
    <w:r>
      <w:rPr>
        <w:rFonts w:ascii="宋体" w:hAnsi="宋体" w:eastAsia="宋体" w:cs="宋体"/>
        <w:spacing w:val="-66"/>
        <w:sz w:val="18"/>
        <w:szCs w:val="18"/>
      </w:rPr>
      <w:t xml:space="preserve"> </w:t>
    </w:r>
    <w:r>
      <w:rPr>
        <w:rFonts w:ascii="宋体" w:hAnsi="宋体" w:eastAsia="宋体" w:cs="宋体"/>
        <w:spacing w:val="-1"/>
        <w:sz w:val="18"/>
        <w:szCs w:val="18"/>
      </w:rPr>
      <w:t xml:space="preserve">”综合交通运输发展规划                                                                                                                                                                             </w:t>
    </w:r>
    <w:r>
      <w:rPr>
        <w:rFonts w:ascii="宋体" w:hAnsi="宋体" w:eastAsia="宋体" w:cs="宋体"/>
        <w:spacing w:val="-2"/>
        <w:sz w:val="18"/>
        <w:szCs w:val="18"/>
      </w:rPr>
      <w:t xml:space="preserve">                  【附表】</w: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31575">
    <w:pPr>
      <w:spacing w:before="48" w:line="219" w:lineRule="auto"/>
      <w:ind w:left="36"/>
      <w:rPr>
        <w:rFonts w:ascii="宋体" w:hAnsi="宋体" w:eastAsia="宋体" w:cs="宋体"/>
        <w:sz w:val="18"/>
        <w:szCs w:val="18"/>
      </w:rPr>
    </w:pPr>
    <w:r>
      <w:pict>
        <v:shape id="_x0000_s4169" o:spid="_x0000_s4169" style="position:absolute;left:0pt;margin-left:70.85pt;margin-top:58pt;height:0.75pt;width:1048.9pt;mso-position-horizontal-relative:page;mso-position-vertical-relative:page;z-index:251693056;mso-width-relative:page;mso-height-relative:page;" fillcolor="#000000" filled="t" stroked="f" coordsize="20978,15" o:allowincell="f" path="m0,0l20977,0,20977,14,0,14,0,0xe">
          <v:path/>
          <v:fill on="t" focussize="0,0"/>
          <v:stroke on="f"/>
          <v:imagedata o:title=""/>
          <o:lock v:ext="edit"/>
        </v:shape>
      </w:pict>
    </w:r>
    <w:r>
      <w:rPr>
        <w:rFonts w:ascii="宋体" w:hAnsi="宋体" w:eastAsia="宋体" w:cs="宋体"/>
        <w:spacing w:val="-1"/>
        <w:sz w:val="18"/>
        <w:szCs w:val="18"/>
      </w:rPr>
      <w:t>【附表】                                                                                                                                                                                               曲靖市“十四五</w:t>
    </w:r>
    <w:r>
      <w:rPr>
        <w:rFonts w:ascii="宋体" w:hAnsi="宋体" w:eastAsia="宋体" w:cs="宋体"/>
        <w:spacing w:val="-63"/>
        <w:sz w:val="18"/>
        <w:szCs w:val="18"/>
      </w:rPr>
      <w:t xml:space="preserve"> </w:t>
    </w:r>
    <w:r>
      <w:rPr>
        <w:rFonts w:ascii="宋体" w:hAnsi="宋体" w:eastAsia="宋体" w:cs="宋体"/>
        <w:spacing w:val="-1"/>
        <w:sz w:val="18"/>
        <w:szCs w:val="18"/>
      </w:rPr>
      <w:t>”综合交通运输发展规划</w: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70EFB">
    <w:pPr>
      <w:spacing w:before="48" w:line="219" w:lineRule="auto"/>
      <w:ind w:left="61"/>
      <w:rPr>
        <w:rFonts w:ascii="宋体" w:hAnsi="宋体" w:eastAsia="宋体" w:cs="宋体"/>
        <w:sz w:val="18"/>
        <w:szCs w:val="18"/>
      </w:rPr>
    </w:pPr>
    <w:r>
      <w:pict>
        <v:shape id="_x0000_s4170" o:spid="_x0000_s4170" style="position:absolute;left:0pt;margin-left:70.85pt;margin-top:58pt;height:0.75pt;width:1048.9pt;mso-position-horizontal-relative:page;mso-position-vertical-relative:page;z-index:251692032;mso-width-relative:page;mso-height-relative:page;" fillcolor="#000000" filled="t" stroked="f" coordsize="20978,15" o:allowincell="f" path="m0,0l20977,0,20977,14,0,14,0,0xe">
          <v:path/>
          <v:fill on="t" focussize="0,0"/>
          <v:stroke on="f"/>
          <v:imagedata o:title=""/>
          <o:lock v:ext="edit"/>
        </v:shape>
      </w:pict>
    </w:r>
    <w:r>
      <w:rPr>
        <w:rFonts w:ascii="宋体" w:hAnsi="宋体" w:eastAsia="宋体" w:cs="宋体"/>
        <w:spacing w:val="-1"/>
        <w:sz w:val="18"/>
        <w:szCs w:val="18"/>
      </w:rPr>
      <w:t>曲靖市“十四五</w:t>
    </w:r>
    <w:r>
      <w:rPr>
        <w:rFonts w:ascii="宋体" w:hAnsi="宋体" w:eastAsia="宋体" w:cs="宋体"/>
        <w:spacing w:val="-66"/>
        <w:sz w:val="18"/>
        <w:szCs w:val="18"/>
      </w:rPr>
      <w:t xml:space="preserve"> </w:t>
    </w:r>
    <w:r>
      <w:rPr>
        <w:rFonts w:ascii="宋体" w:hAnsi="宋体" w:eastAsia="宋体" w:cs="宋体"/>
        <w:spacing w:val="-1"/>
        <w:sz w:val="18"/>
        <w:szCs w:val="18"/>
      </w:rPr>
      <w:t xml:space="preserve">”综合交通运输发展规划                                                                                                                                                                             </w:t>
    </w:r>
    <w:r>
      <w:rPr>
        <w:rFonts w:ascii="宋体" w:hAnsi="宋体" w:eastAsia="宋体" w:cs="宋体"/>
        <w:spacing w:val="-2"/>
        <w:sz w:val="18"/>
        <w:szCs w:val="18"/>
      </w:rPr>
      <w:t xml:space="preserve">                  【附表】</w: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FB029">
    <w:pPr>
      <w:spacing w:before="48" w:line="219" w:lineRule="auto"/>
      <w:ind w:left="36"/>
      <w:rPr>
        <w:rFonts w:ascii="宋体" w:hAnsi="宋体" w:eastAsia="宋体" w:cs="宋体"/>
        <w:sz w:val="18"/>
        <w:szCs w:val="18"/>
      </w:rPr>
    </w:pPr>
    <w:r>
      <w:pict>
        <v:shape id="_x0000_s4171" o:spid="_x0000_s4171" style="position:absolute;left:0pt;margin-left:70.85pt;margin-top:58pt;height:0.75pt;width:1048.9pt;mso-position-horizontal-relative:page;mso-position-vertical-relative:page;z-index:251693056;mso-width-relative:page;mso-height-relative:page;" fillcolor="#000000" filled="t" stroked="f" coordsize="20978,15" o:allowincell="f" path="m0,0l20977,0,20977,14,0,14,0,0xe">
          <v:path/>
          <v:fill on="t" focussize="0,0"/>
          <v:stroke on="f"/>
          <v:imagedata o:title=""/>
          <o:lock v:ext="edit"/>
        </v:shape>
      </w:pict>
    </w:r>
    <w:r>
      <w:rPr>
        <w:rFonts w:ascii="宋体" w:hAnsi="宋体" w:eastAsia="宋体" w:cs="宋体"/>
        <w:spacing w:val="-1"/>
        <w:sz w:val="18"/>
        <w:szCs w:val="18"/>
      </w:rPr>
      <w:t>【附表】                                                                                                                                                                                               曲靖市“十四五</w:t>
    </w:r>
    <w:r>
      <w:rPr>
        <w:rFonts w:ascii="宋体" w:hAnsi="宋体" w:eastAsia="宋体" w:cs="宋体"/>
        <w:spacing w:val="-63"/>
        <w:sz w:val="18"/>
        <w:szCs w:val="18"/>
      </w:rPr>
      <w:t xml:space="preserve"> </w:t>
    </w:r>
    <w:r>
      <w:rPr>
        <w:rFonts w:ascii="宋体" w:hAnsi="宋体" w:eastAsia="宋体" w:cs="宋体"/>
        <w:spacing w:val="-1"/>
        <w:sz w:val="18"/>
        <w:szCs w:val="18"/>
      </w:rPr>
      <w:t>”综合交通运输发展规划</w: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D2AB3">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3,4"/>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B39081C"/>
    <w:rsid w:val="5DC61A35"/>
    <w:rsid w:val="5F927513"/>
    <w:rsid w:val="69FD6282"/>
    <w:rsid w:val="73465F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48.xml"/><Relationship Id="rId98" Type="http://schemas.openxmlformats.org/officeDocument/2006/relationships/footer" Target="footer47.xml"/><Relationship Id="rId97" Type="http://schemas.openxmlformats.org/officeDocument/2006/relationships/header" Target="header47.xml"/><Relationship Id="rId96" Type="http://schemas.openxmlformats.org/officeDocument/2006/relationships/footer" Target="footer46.xml"/><Relationship Id="rId95" Type="http://schemas.openxmlformats.org/officeDocument/2006/relationships/header" Target="header46.xml"/><Relationship Id="rId94" Type="http://schemas.openxmlformats.org/officeDocument/2006/relationships/footer" Target="footer45.xml"/><Relationship Id="rId93" Type="http://schemas.openxmlformats.org/officeDocument/2006/relationships/header" Target="header45.xml"/><Relationship Id="rId92" Type="http://schemas.openxmlformats.org/officeDocument/2006/relationships/footer" Target="footer44.xml"/><Relationship Id="rId91" Type="http://schemas.openxmlformats.org/officeDocument/2006/relationships/header" Target="header44.xml"/><Relationship Id="rId90" Type="http://schemas.openxmlformats.org/officeDocument/2006/relationships/footer" Target="footer43.xml"/><Relationship Id="rId9" Type="http://schemas.openxmlformats.org/officeDocument/2006/relationships/header" Target="header3.xml"/><Relationship Id="rId89" Type="http://schemas.openxmlformats.org/officeDocument/2006/relationships/header" Target="header43.xml"/><Relationship Id="rId88" Type="http://schemas.openxmlformats.org/officeDocument/2006/relationships/footer" Target="footer42.xml"/><Relationship Id="rId87" Type="http://schemas.openxmlformats.org/officeDocument/2006/relationships/header" Target="header42.xml"/><Relationship Id="rId86" Type="http://schemas.openxmlformats.org/officeDocument/2006/relationships/footer" Target="footer41.xml"/><Relationship Id="rId85" Type="http://schemas.openxmlformats.org/officeDocument/2006/relationships/header" Target="header41.xml"/><Relationship Id="rId84" Type="http://schemas.openxmlformats.org/officeDocument/2006/relationships/footer" Target="footer40.xml"/><Relationship Id="rId83" Type="http://schemas.openxmlformats.org/officeDocument/2006/relationships/header" Target="header40.xml"/><Relationship Id="rId82" Type="http://schemas.openxmlformats.org/officeDocument/2006/relationships/footer" Target="footer39.xml"/><Relationship Id="rId81" Type="http://schemas.openxmlformats.org/officeDocument/2006/relationships/header" Target="header39.xml"/><Relationship Id="rId80" Type="http://schemas.openxmlformats.org/officeDocument/2006/relationships/footer" Target="footer38.xml"/><Relationship Id="rId8" Type="http://schemas.openxmlformats.org/officeDocument/2006/relationships/footer" Target="footer2.xml"/><Relationship Id="rId79" Type="http://schemas.openxmlformats.org/officeDocument/2006/relationships/header" Target="header38.xml"/><Relationship Id="rId78" Type="http://schemas.openxmlformats.org/officeDocument/2006/relationships/footer" Target="footer37.xml"/><Relationship Id="rId77" Type="http://schemas.openxmlformats.org/officeDocument/2006/relationships/header" Target="header37.xml"/><Relationship Id="rId76" Type="http://schemas.openxmlformats.org/officeDocument/2006/relationships/footer" Target="footer36.xml"/><Relationship Id="rId75" Type="http://schemas.openxmlformats.org/officeDocument/2006/relationships/header" Target="header36.xml"/><Relationship Id="rId74" Type="http://schemas.openxmlformats.org/officeDocument/2006/relationships/footer" Target="footer35.xml"/><Relationship Id="rId73" Type="http://schemas.openxmlformats.org/officeDocument/2006/relationships/header" Target="header35.xml"/><Relationship Id="rId72" Type="http://schemas.openxmlformats.org/officeDocument/2006/relationships/footer" Target="footer34.xml"/><Relationship Id="rId71" Type="http://schemas.openxmlformats.org/officeDocument/2006/relationships/header" Target="header34.xml"/><Relationship Id="rId70" Type="http://schemas.openxmlformats.org/officeDocument/2006/relationships/footer" Target="footer33.xml"/><Relationship Id="rId7" Type="http://schemas.openxmlformats.org/officeDocument/2006/relationships/header" Target="header2.xml"/><Relationship Id="rId69" Type="http://schemas.openxmlformats.org/officeDocument/2006/relationships/header" Target="header33.xml"/><Relationship Id="rId68" Type="http://schemas.openxmlformats.org/officeDocument/2006/relationships/footer" Target="footer32.xml"/><Relationship Id="rId67" Type="http://schemas.openxmlformats.org/officeDocument/2006/relationships/header" Target="header32.xml"/><Relationship Id="rId66" Type="http://schemas.openxmlformats.org/officeDocument/2006/relationships/footer" Target="footer31.xml"/><Relationship Id="rId65" Type="http://schemas.openxmlformats.org/officeDocument/2006/relationships/header" Target="header31.xml"/><Relationship Id="rId64" Type="http://schemas.openxmlformats.org/officeDocument/2006/relationships/footer" Target="footer30.xml"/><Relationship Id="rId63" Type="http://schemas.openxmlformats.org/officeDocument/2006/relationships/header" Target="header30.xml"/><Relationship Id="rId62" Type="http://schemas.openxmlformats.org/officeDocument/2006/relationships/footer" Target="footer29.xml"/><Relationship Id="rId61" Type="http://schemas.openxmlformats.org/officeDocument/2006/relationships/header" Target="header29.xml"/><Relationship Id="rId60" Type="http://schemas.openxmlformats.org/officeDocument/2006/relationships/footer" Target="footer28.xml"/><Relationship Id="rId6" Type="http://schemas.openxmlformats.org/officeDocument/2006/relationships/footer" Target="footer1.xml"/><Relationship Id="rId59" Type="http://schemas.openxmlformats.org/officeDocument/2006/relationships/header" Target="header28.xml"/><Relationship Id="rId58" Type="http://schemas.openxmlformats.org/officeDocument/2006/relationships/footer" Target="footer27.xml"/><Relationship Id="rId57" Type="http://schemas.openxmlformats.org/officeDocument/2006/relationships/header" Target="header27.xml"/><Relationship Id="rId56" Type="http://schemas.openxmlformats.org/officeDocument/2006/relationships/footer" Target="footer26.xml"/><Relationship Id="rId55" Type="http://schemas.openxmlformats.org/officeDocument/2006/relationships/header" Target="header26.xml"/><Relationship Id="rId54" Type="http://schemas.openxmlformats.org/officeDocument/2006/relationships/footer" Target="footer25.xml"/><Relationship Id="rId53" Type="http://schemas.openxmlformats.org/officeDocument/2006/relationships/header" Target="header25.xml"/><Relationship Id="rId52" Type="http://schemas.openxmlformats.org/officeDocument/2006/relationships/footer" Target="footer24.xml"/><Relationship Id="rId51" Type="http://schemas.openxmlformats.org/officeDocument/2006/relationships/header" Target="header24.xml"/><Relationship Id="rId50" Type="http://schemas.openxmlformats.org/officeDocument/2006/relationships/footer" Target="footer23.xml"/><Relationship Id="rId5" Type="http://schemas.openxmlformats.org/officeDocument/2006/relationships/header" Target="header1.xml"/><Relationship Id="rId49" Type="http://schemas.openxmlformats.org/officeDocument/2006/relationships/header" Target="header23.xml"/><Relationship Id="rId48" Type="http://schemas.openxmlformats.org/officeDocument/2006/relationships/footer" Target="footer22.xml"/><Relationship Id="rId47" Type="http://schemas.openxmlformats.org/officeDocument/2006/relationships/header" Target="header22.xml"/><Relationship Id="rId46" Type="http://schemas.openxmlformats.org/officeDocument/2006/relationships/footer" Target="footer21.xml"/><Relationship Id="rId45" Type="http://schemas.openxmlformats.org/officeDocument/2006/relationships/header" Target="header21.xml"/><Relationship Id="rId44" Type="http://schemas.openxmlformats.org/officeDocument/2006/relationships/footer" Target="footer20.xml"/><Relationship Id="rId43" Type="http://schemas.openxmlformats.org/officeDocument/2006/relationships/header" Target="header20.xml"/><Relationship Id="rId42" Type="http://schemas.openxmlformats.org/officeDocument/2006/relationships/footer" Target="footer19.xml"/><Relationship Id="rId41" Type="http://schemas.openxmlformats.org/officeDocument/2006/relationships/header" Target="header19.xml"/><Relationship Id="rId40" Type="http://schemas.openxmlformats.org/officeDocument/2006/relationships/footer" Target="footer18.xml"/><Relationship Id="rId4" Type="http://schemas.openxmlformats.org/officeDocument/2006/relationships/endnotes" Target="endnotes.xml"/><Relationship Id="rId39" Type="http://schemas.openxmlformats.org/officeDocument/2006/relationships/header" Target="header18.xml"/><Relationship Id="rId38" Type="http://schemas.openxmlformats.org/officeDocument/2006/relationships/footer" Target="footer17.xml"/><Relationship Id="rId37" Type="http://schemas.openxmlformats.org/officeDocument/2006/relationships/header" Target="header17.xml"/><Relationship Id="rId36" Type="http://schemas.openxmlformats.org/officeDocument/2006/relationships/footer" Target="footer16.xml"/><Relationship Id="rId35" Type="http://schemas.openxmlformats.org/officeDocument/2006/relationships/header" Target="header16.xml"/><Relationship Id="rId34" Type="http://schemas.openxmlformats.org/officeDocument/2006/relationships/footer" Target="footer15.xml"/><Relationship Id="rId33" Type="http://schemas.openxmlformats.org/officeDocument/2006/relationships/header" Target="header15.xml"/><Relationship Id="rId32" Type="http://schemas.openxmlformats.org/officeDocument/2006/relationships/footer" Target="footer14.xml"/><Relationship Id="rId31" Type="http://schemas.openxmlformats.org/officeDocument/2006/relationships/header" Target="header14.xml"/><Relationship Id="rId30" Type="http://schemas.openxmlformats.org/officeDocument/2006/relationships/footer" Target="footer13.xml"/><Relationship Id="rId3" Type="http://schemas.openxmlformats.org/officeDocument/2006/relationships/footnotes" Target="footnotes.xml"/><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header" Target="header12.xml"/><Relationship Id="rId26" Type="http://schemas.openxmlformats.org/officeDocument/2006/relationships/footer" Target="footer11.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header" Target="head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1" Type="http://schemas.openxmlformats.org/officeDocument/2006/relationships/fontTable" Target="fontTable.xml"/><Relationship Id="rId170" Type="http://schemas.openxmlformats.org/officeDocument/2006/relationships/customXml" Target="../customXml/item2.xml"/><Relationship Id="rId17" Type="http://schemas.openxmlformats.org/officeDocument/2006/relationships/header" Target="header7.xml"/><Relationship Id="rId169" Type="http://schemas.openxmlformats.org/officeDocument/2006/relationships/customXml" Target="../customXml/item1.xml"/><Relationship Id="rId168" Type="http://schemas.openxmlformats.org/officeDocument/2006/relationships/image" Target="media/image7.jpeg"/><Relationship Id="rId167" Type="http://schemas.openxmlformats.org/officeDocument/2006/relationships/image" Target="media/image6.jpeg"/><Relationship Id="rId166" Type="http://schemas.openxmlformats.org/officeDocument/2006/relationships/image" Target="media/image5.jpeg"/><Relationship Id="rId165" Type="http://schemas.openxmlformats.org/officeDocument/2006/relationships/image" Target="media/image4.jpeg"/><Relationship Id="rId164" Type="http://schemas.openxmlformats.org/officeDocument/2006/relationships/image" Target="media/image3.jpeg"/><Relationship Id="rId163" Type="http://schemas.openxmlformats.org/officeDocument/2006/relationships/image" Target="media/image2.jpeg"/><Relationship Id="rId162" Type="http://schemas.openxmlformats.org/officeDocument/2006/relationships/image" Target="media/image1.jpeg"/><Relationship Id="rId161" Type="http://schemas.openxmlformats.org/officeDocument/2006/relationships/theme" Target="theme/theme1.xml"/><Relationship Id="rId160" Type="http://schemas.openxmlformats.org/officeDocument/2006/relationships/footer" Target="footer78.xml"/><Relationship Id="rId16" Type="http://schemas.openxmlformats.org/officeDocument/2006/relationships/footer" Target="footer6.xml"/><Relationship Id="rId159" Type="http://schemas.openxmlformats.org/officeDocument/2006/relationships/header" Target="header78.xml"/><Relationship Id="rId158" Type="http://schemas.openxmlformats.org/officeDocument/2006/relationships/footer" Target="footer77.xml"/><Relationship Id="rId157" Type="http://schemas.openxmlformats.org/officeDocument/2006/relationships/header" Target="header77.xml"/><Relationship Id="rId156" Type="http://schemas.openxmlformats.org/officeDocument/2006/relationships/footer" Target="footer76.xml"/><Relationship Id="rId155" Type="http://schemas.openxmlformats.org/officeDocument/2006/relationships/header" Target="header76.xml"/><Relationship Id="rId154" Type="http://schemas.openxmlformats.org/officeDocument/2006/relationships/footer" Target="footer75.xml"/><Relationship Id="rId153" Type="http://schemas.openxmlformats.org/officeDocument/2006/relationships/header" Target="header75.xml"/><Relationship Id="rId152" Type="http://schemas.openxmlformats.org/officeDocument/2006/relationships/footer" Target="footer74.xml"/><Relationship Id="rId151" Type="http://schemas.openxmlformats.org/officeDocument/2006/relationships/header" Target="header74.xml"/><Relationship Id="rId150" Type="http://schemas.openxmlformats.org/officeDocument/2006/relationships/footer" Target="footer73.xml"/><Relationship Id="rId15" Type="http://schemas.openxmlformats.org/officeDocument/2006/relationships/header" Target="header6.xml"/><Relationship Id="rId149" Type="http://schemas.openxmlformats.org/officeDocument/2006/relationships/header" Target="header73.xml"/><Relationship Id="rId148" Type="http://schemas.openxmlformats.org/officeDocument/2006/relationships/footer" Target="footer72.xml"/><Relationship Id="rId147" Type="http://schemas.openxmlformats.org/officeDocument/2006/relationships/header" Target="header72.xml"/><Relationship Id="rId146" Type="http://schemas.openxmlformats.org/officeDocument/2006/relationships/footer" Target="footer71.xml"/><Relationship Id="rId145" Type="http://schemas.openxmlformats.org/officeDocument/2006/relationships/header" Target="header71.xml"/><Relationship Id="rId144" Type="http://schemas.openxmlformats.org/officeDocument/2006/relationships/footer" Target="footer70.xml"/><Relationship Id="rId143" Type="http://schemas.openxmlformats.org/officeDocument/2006/relationships/header" Target="header70.xml"/><Relationship Id="rId142" Type="http://schemas.openxmlformats.org/officeDocument/2006/relationships/footer" Target="footer69.xml"/><Relationship Id="rId141" Type="http://schemas.openxmlformats.org/officeDocument/2006/relationships/header" Target="header69.xml"/><Relationship Id="rId140" Type="http://schemas.openxmlformats.org/officeDocument/2006/relationships/footer" Target="footer68.xml"/><Relationship Id="rId14" Type="http://schemas.openxmlformats.org/officeDocument/2006/relationships/footer" Target="footer5.xml"/><Relationship Id="rId139" Type="http://schemas.openxmlformats.org/officeDocument/2006/relationships/header" Target="header68.xml"/><Relationship Id="rId138" Type="http://schemas.openxmlformats.org/officeDocument/2006/relationships/footer" Target="footer67.xml"/><Relationship Id="rId137" Type="http://schemas.openxmlformats.org/officeDocument/2006/relationships/header" Target="header67.xml"/><Relationship Id="rId136" Type="http://schemas.openxmlformats.org/officeDocument/2006/relationships/footer" Target="footer66.xml"/><Relationship Id="rId135" Type="http://schemas.openxmlformats.org/officeDocument/2006/relationships/header" Target="header66.xml"/><Relationship Id="rId134" Type="http://schemas.openxmlformats.org/officeDocument/2006/relationships/footer" Target="footer65.xml"/><Relationship Id="rId133" Type="http://schemas.openxmlformats.org/officeDocument/2006/relationships/header" Target="header65.xml"/><Relationship Id="rId132" Type="http://schemas.openxmlformats.org/officeDocument/2006/relationships/footer" Target="footer64.xml"/><Relationship Id="rId131" Type="http://schemas.openxmlformats.org/officeDocument/2006/relationships/header" Target="header64.xml"/><Relationship Id="rId130" Type="http://schemas.openxmlformats.org/officeDocument/2006/relationships/footer" Target="footer63.xml"/><Relationship Id="rId13" Type="http://schemas.openxmlformats.org/officeDocument/2006/relationships/header" Target="header5.xml"/><Relationship Id="rId129" Type="http://schemas.openxmlformats.org/officeDocument/2006/relationships/header" Target="header63.xml"/><Relationship Id="rId128" Type="http://schemas.openxmlformats.org/officeDocument/2006/relationships/footer" Target="footer62.xml"/><Relationship Id="rId127" Type="http://schemas.openxmlformats.org/officeDocument/2006/relationships/header" Target="header62.xml"/><Relationship Id="rId126" Type="http://schemas.openxmlformats.org/officeDocument/2006/relationships/footer" Target="footer61.xml"/><Relationship Id="rId125" Type="http://schemas.openxmlformats.org/officeDocument/2006/relationships/header" Target="header61.xml"/><Relationship Id="rId124" Type="http://schemas.openxmlformats.org/officeDocument/2006/relationships/footer" Target="footer60.xml"/><Relationship Id="rId123" Type="http://schemas.openxmlformats.org/officeDocument/2006/relationships/header" Target="header60.xml"/><Relationship Id="rId122" Type="http://schemas.openxmlformats.org/officeDocument/2006/relationships/footer" Target="footer59.xml"/><Relationship Id="rId121" Type="http://schemas.openxmlformats.org/officeDocument/2006/relationships/header" Target="header59.xml"/><Relationship Id="rId120" Type="http://schemas.openxmlformats.org/officeDocument/2006/relationships/footer" Target="footer58.xml"/><Relationship Id="rId12" Type="http://schemas.openxmlformats.org/officeDocument/2006/relationships/footer" Target="footer4.xml"/><Relationship Id="rId119" Type="http://schemas.openxmlformats.org/officeDocument/2006/relationships/header" Target="header58.xml"/><Relationship Id="rId118" Type="http://schemas.openxmlformats.org/officeDocument/2006/relationships/footer" Target="footer57.xml"/><Relationship Id="rId117" Type="http://schemas.openxmlformats.org/officeDocument/2006/relationships/header" Target="header57.xml"/><Relationship Id="rId116" Type="http://schemas.openxmlformats.org/officeDocument/2006/relationships/footer" Target="footer56.xml"/><Relationship Id="rId115" Type="http://schemas.openxmlformats.org/officeDocument/2006/relationships/header" Target="header56.xml"/><Relationship Id="rId114" Type="http://schemas.openxmlformats.org/officeDocument/2006/relationships/footer" Target="footer55.xml"/><Relationship Id="rId113" Type="http://schemas.openxmlformats.org/officeDocument/2006/relationships/header" Target="header55.xml"/><Relationship Id="rId112" Type="http://schemas.openxmlformats.org/officeDocument/2006/relationships/footer" Target="footer54.xml"/><Relationship Id="rId111" Type="http://schemas.openxmlformats.org/officeDocument/2006/relationships/header" Target="header54.xml"/><Relationship Id="rId110" Type="http://schemas.openxmlformats.org/officeDocument/2006/relationships/footer" Target="footer53.xml"/><Relationship Id="rId11" Type="http://schemas.openxmlformats.org/officeDocument/2006/relationships/header" Target="header4.xml"/><Relationship Id="rId109" Type="http://schemas.openxmlformats.org/officeDocument/2006/relationships/header" Target="header53.xml"/><Relationship Id="rId108" Type="http://schemas.openxmlformats.org/officeDocument/2006/relationships/footer" Target="footer52.xml"/><Relationship Id="rId107" Type="http://schemas.openxmlformats.org/officeDocument/2006/relationships/header" Target="header52.xml"/><Relationship Id="rId106" Type="http://schemas.openxmlformats.org/officeDocument/2006/relationships/footer" Target="footer51.xml"/><Relationship Id="rId105" Type="http://schemas.openxmlformats.org/officeDocument/2006/relationships/header" Target="header51.xml"/><Relationship Id="rId104" Type="http://schemas.openxmlformats.org/officeDocument/2006/relationships/footer" Target="footer50.xml"/><Relationship Id="rId103" Type="http://schemas.openxmlformats.org/officeDocument/2006/relationships/header" Target="header50.xml"/><Relationship Id="rId102" Type="http://schemas.openxmlformats.org/officeDocument/2006/relationships/footer" Target="footer49.xml"/><Relationship Id="rId101" Type="http://schemas.openxmlformats.org/officeDocument/2006/relationships/header" Target="header49.xml"/><Relationship Id="rId100" Type="http://schemas.openxmlformats.org/officeDocument/2006/relationships/footer" Target="footer48.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4123"/>
    <customShpInfo spid="_x0000_s4124"/>
    <customShpInfo spid="_x0000_s4125"/>
    <customShpInfo spid="_x0000_s4126"/>
    <customShpInfo spid="_x0000_s4127"/>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38"/>
    <customShpInfo spid="_x0000_s4139"/>
    <customShpInfo spid="_x0000_s4140"/>
    <customShpInfo spid="_x0000_s4141"/>
    <customShpInfo spid="_x0000_s4142"/>
    <customShpInfo spid="_x0000_s4143"/>
    <customShpInfo spid="_x0000_s4144"/>
    <customShpInfo spid="_x0000_s4145"/>
    <customShpInfo spid="_x0000_s4146"/>
    <customShpInfo spid="_x0000_s4147"/>
    <customShpInfo spid="_x0000_s4148"/>
    <customShpInfo spid="_x0000_s4149"/>
    <customShpInfo spid="_x0000_s4150"/>
    <customShpInfo spid="_x0000_s4151"/>
    <customShpInfo spid="_x0000_s4152"/>
    <customShpInfo spid="_x0000_s4153"/>
    <customShpInfo spid="_x0000_s4154"/>
    <customShpInfo spid="_x0000_s4155"/>
    <customShpInfo spid="_x0000_s4156"/>
    <customShpInfo spid="_x0000_s4157"/>
    <customShpInfo spid="_x0000_s4158"/>
    <customShpInfo spid="_x0000_s4159"/>
    <customShpInfo spid="_x0000_s4160"/>
    <customShpInfo spid="_x0000_s4161"/>
    <customShpInfo spid="_x0000_s4162"/>
    <customShpInfo spid="_x0000_s4163"/>
    <customShpInfo spid="_x0000_s4164"/>
    <customShpInfo spid="_x0000_s4165"/>
    <customShpInfo spid="_x0000_s4166"/>
    <customShpInfo spid="_x0000_s4167"/>
    <customShpInfo spid="_x0000_s4168"/>
    <customShpInfo spid="_x0000_s4169"/>
    <customShpInfo spid="_x0000_s4170"/>
    <customShpInfo spid="_x0000_s4171"/>
  </customShpExts>
</s:customData>
</file>

<file path=customXml/item2.xml><?xml version="1.0" encoding="utf-8"?>
<contractReview xmlns="http://schemas.wps.cn/vas-ai-hub/contract-review">
  <reviewItems>
    <reviewItem>
      <errorID>855e06db-4117-4e8a-854c-1f688e4c2372</errorID>
      <errorWord>先进制造基地</errorWord>
      <group>L1_Political</group>
      <groupName>政治性问题</groupName>
      <ability>L2_Keyword</ability>
      <abilityName>固定表述</abilityName>
      <candidateList>
        <item>先进制造业基地</item>
      </candidateList>
      <explain>词汇“先进制造业基地”在特定场景下为固定表述形式，请确认此处的“先进制造基地”是否存在不当。</explain>
      <paraID>1E3A5292</paraID>
      <start>140</start>
      <end>146</end>
      <status>unmodified</status>
      <modifiedWord/>
      <trackRevisions>false</trackRevisions>
    </reviewItem>
    <reviewItem>
      <errorID>1606d165-f3ab-4c12-a28c-83473682d7f3</errorID>
      <errorWord>二O三五</errorWord>
      <group>L1_Knowledge</group>
      <groupName>知识性问题</groupName>
      <ability>L2_Knowledge</ability>
      <abilityName>其他知识</abilityName>
      <candidateList>
        <item>二〇三五</item>
      </candidateList>
      <explain>中文数字应使用“〇”，而非形似的字符，如“O”。该字符在不同字体下外观可能相似，但含义和编码不同，请注意区分。</explain>
      <paraID>1E3A5292</paraID>
      <start>349</start>
      <end>353</end>
      <status>unmodified</status>
      <modifiedWord/>
      <trackRevisions>false</trackRevisions>
    </reviewItem>
    <reviewItem>
      <errorID>b4261c57-6f45-4a01-afe8-a944d547dafa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1E3A5292</paraID>
      <start>413</start>
      <end>416</end>
      <status>unmodified</status>
      <modifiedWord/>
      <trackRevisions>false</trackRevisions>
    </reviewItem>
    <reviewItem>
      <errorID>e3086817-43d0-417c-970c-7ec23940abaf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1E3A5292</paraID>
      <start>429</start>
      <end>432</end>
      <status>unmodified</status>
      <modifiedWord/>
      <trackRevisions>false</trackRevisions>
    </reviewItem>
    <reviewItem>
      <errorID>64e8baf6-9ca1-4806-aeaf-eeae1f44c560</errorID>
      <errorWord>”</errorWord>
      <group>L1_Word</group>
      <groupName>字词问题</groupName>
      <ability>L2_Typo</ability>
      <abilityName>字词错误</abilityName>
      <candidateList>
        <item>”时</item>
      </candidateList>
      <explain/>
      <paraID>1E3A5292</paraID>
      <start>478</start>
      <end>479</end>
      <status>unmodified</status>
      <modifiedWord/>
      <trackRevisions>false</trackRevisions>
    </reviewItem>
    <reviewItem>
      <errorID>f16b90fd-fd33-4dea-925f-857fdce15618</errorID>
      <errorWord>“十四五” 时期</errorWord>
      <group>L1_Political</group>
      <groupName>政治性问题</groupName>
      <ability>L2_Keyword</ability>
      <abilityName>固定表述</abilityName>
      <candidateList>
        <item>“十四五”时期</item>
      </candidateList>
      <explain>词汇““十四五”时期”在特定场景下为固定表述形式，请确认此处的““十四五” 时期”是否存在不当。</explain>
      <paraID>67CE16A7</paraID>
      <start>35</start>
      <end>43</end>
      <status>unmodified</status>
      <modifiedWord/>
      <trackRevisions>false</trackRevisions>
    </reviewItem>
    <reviewItem>
      <errorID>f2b75669-4469-42d1-a235-5a8df8a371da</errorID>
      <errorWord>)</errorWord>
      <group>L1_Format</group>
      <groupName>格式问题</groupName>
      <ability>L2_HalfPunc_CN</ability>
      <abilityName>全半角问题</abilityName>
      <candidateList>
        <item>）</item>
      </candidateList>
      <explain>文本全半角错误。</explain>
      <paraID>67CE16A7</paraID>
      <start>56</start>
      <end>57</end>
      <status>unmodified</status>
      <modifiedWord/>
      <trackRevisions>false</trackRevisions>
    </reviewItem>
    <reviewItem>
      <errorID>4c286cbe-6460-4963-8578-e3298f279206</errorID>
      <errorWord>党委</errorWord>
      <group>L1_Word</group>
      <groupName>字词问题</groupName>
      <ability>L2_Typo</ability>
      <abilityName>字词错误</abilityName>
      <candidateList>
        <item>委</item>
      </candidateList>
      <explain/>
      <paraID>5A85532F</paraID>
      <start>41</start>
      <end>43</end>
      <status>unmodified</status>
      <modifiedWord/>
      <trackRevisions>false</trackRevisions>
    </reviewItem>
    <reviewItem>
      <errorID>d37e15ee-3afb-4da4-be15-6aeae45a3b9c</errorID>
      <errorWord>十三五</errorWord>
      <group>L1_Political</group>
      <groupName>政治性问题</groupName>
      <ability>L2_Keyword</ability>
      <abilityName>固定表述</abilityName>
      <candidateList>
        <item>‘十三五’</item>
      </candidateList>
      <explain>注意检查当前固定表述标点是否使用规范。</explain>
      <paraID>5A85532F</paraID>
      <start>109</start>
      <end>112</end>
      <status>unmodified</status>
      <modifiedWord/>
      <trackRevisions>false</trackRevisions>
    </reviewItem>
    <reviewItem>
      <errorID>47e0a2ba-f49c-4b57-838b-898403830a08</errorID>
      <errorWord>现</errorWord>
      <group>L1_Word</group>
      <groupName>字词问题</groupName>
      <ability>L2_Typo</ability>
      <abilityName>字词错误</abilityName>
      <candidateList>
        <item>现了</item>
      </candidateList>
      <explain/>
      <paraID>5A85532F</paraID>
      <start>152</start>
      <end>153</end>
      <status>unmodified</status>
      <modifiedWord/>
      <trackRevisions>false</trackRevisions>
    </reviewItem>
    <reviewItem>
      <errorID>c2c076f3-70b4-4b28-bd63-ec887aa05815</errorID>
      <errorWord>十二五”末</errorWord>
      <group>L1_Political</group>
      <groupName>政治性问题</groupName>
      <ability>L2_Keyword</ability>
      <abilityName>固定表述</abilityName>
      <candidateList>
        <item>“十二五”末</item>
      </candidateList>
      <explain>注意检查当前固定表述标点是否使用规范。</explain>
      <paraID>7F72A309</paraID>
      <start>107</start>
      <end>112</end>
      <status>unmodified</status>
      <modifiedWord/>
      <trackRevisions>false</trackRevisions>
    </reviewItem>
    <reviewItem>
      <errorID>c12d8598-aae8-4967-a788-c9f34208b79d</errorID>
      <errorWord>四好农村路</errorWord>
      <group>L1_Political</group>
      <groupName>政治性问题</groupName>
      <ability>L2_Keyword</ability>
      <abilityName>固定表述</abilityName>
      <candidateList>
        <item>‘四好农村路’</item>
      </candidateList>
      <explain>注意检查当前固定表述标点是否使用规范。</explain>
      <paraID>605C71A2</paraID>
      <start>8</start>
      <end>13</end>
      <status>unmodified</status>
      <modifiedWord/>
      <trackRevisions>false</trackRevisions>
    </reviewItem>
    <reviewItem>
      <errorID>94050a3e-ffcd-44cf-a5d9-6611b8db2f83</errorID>
      <errorWord>四好农村路</errorWord>
      <group>L1_Political</group>
      <groupName>政治性问题</groupName>
      <ability>L2_Keyword</ability>
      <abilityName>固定表述</abilityName>
      <candidateList>
        <item>‘四好农村路’</item>
      </candidateList>
      <explain>注意检查当前固定表述标点是否使用规范。</explain>
      <paraID>605C71A2</paraID>
      <start>29</start>
      <end>34</end>
      <status>unmodified</status>
      <modifiedWord/>
      <trackRevisions>false</trackRevisions>
    </reviewItem>
    <reviewItem>
      <errorID>68834bf4-20e9-4af5-a4f2-03474ba8c7d2</errorID>
      <errorWord>(</errorWord>
      <group>L1_Format</group>
      <groupName>格式问题</groupName>
      <ability>L2_HalfPunc_CN</ability>
      <abilityName>全半角问题</abilityName>
      <candidateList>
        <item>（</item>
      </candidateList>
      <explain>文本全半角错误。</explain>
      <paraID>36A337BF</paraID>
      <start>41</start>
      <end>42</end>
      <status>unmodified</status>
      <modifiedWord/>
      <trackRevisions>false</trackRevisions>
    </reviewItem>
    <reviewItem>
      <errorID>70016a2b-b292-427e-bd82-48b95e4bf150</errorID>
      <errorWord>)</errorWord>
      <group>L1_Format</group>
      <groupName>格式问题</groupName>
      <ability>L2_HalfPunc_CN</ability>
      <abilityName>全半角问题</abilityName>
      <candidateList>
        <item>）</item>
      </candidateList>
      <explain>文本全半角错误。</explain>
      <paraID>36A337BF</paraID>
      <start>46</start>
      <end>47</end>
      <status>unmodified</status>
      <modifiedWord/>
      <trackRevisions>false</trackRevisions>
    </reviewItem>
    <reviewItem>
      <errorID>c66c5136-ffeb-4ee8-89ab-8f5a26666323</errorID>
      <errorWord>(</errorWord>
      <group>L1_Format</group>
      <groupName>格式问题</groupName>
      <ability>L2_HalfPunc_CN</ability>
      <abilityName>全半角问题</abilityName>
      <candidateList>
        <item>（</item>
      </candidateList>
      <explain>文本全半角错误。</explain>
      <paraID>36A337BF</paraID>
      <start>129</start>
      <end>130</end>
      <status>unmodified</status>
      <modifiedWord/>
      <trackRevisions>false</trackRevisions>
    </reviewItem>
    <reviewItem>
      <errorID>ad2523c2-3bfc-4930-b6fa-c75e4e5e73df</errorID>
      <errorWord>)</errorWord>
      <group>L1_Format</group>
      <groupName>格式问题</groupName>
      <ability>L2_HalfPunc_CN</ability>
      <abilityName>全半角问题</abilityName>
      <candidateList>
        <item>）</item>
      </candidateList>
      <explain>文本全半角错误。</explain>
      <paraID>36A337BF</paraID>
      <start>135</start>
      <end>136</end>
      <status>unmodified</status>
      <modifiedWord/>
      <trackRevisions>false</trackRevisions>
    </reviewItem>
    <reviewItem>
      <errorID>804bd12f-3013-4916-a4f7-3556d2bbc7a4</errorID>
      <errorWord>段</errorWord>
      <group>L1_Word</group>
      <groupName>字词问题</groupName>
      <ability>L2_Typo</ability>
      <abilityName>字词错误</abilityName>
      <candidateList>
        <item>段性</item>
      </candidateList>
      <explain/>
      <paraID>51D439D2</paraID>
      <start>47</start>
      <end>48</end>
      <status>unmodified</status>
      <modifiedWord/>
      <trackRevisions>false</trackRevisions>
    </reviewItem>
    <reviewItem>
      <errorID>79c0a511-2a8d-491e-adbd-01fd8c5bf6aa</errorID>
      <errorWord>(</errorWord>
      <group>L1_Format</group>
      <groupName>格式问题</groupName>
      <ability>L2_HalfPunc_CN</ability>
      <abilityName>全半角问题</abilityName>
      <candidateList>
        <item>（</item>
      </candidateList>
      <explain>文本全半角错误。</explain>
      <paraID>51D439D2</paraID>
      <start>55</start>
      <end>56</end>
      <status>unmodified</status>
      <modifiedWord/>
      <trackRevisions>false</trackRevisions>
    </reviewItem>
    <reviewItem>
      <errorID>1749ab16-1794-4ed7-a0a2-c91f2f70c4fa</errorID>
      <errorWord>)</errorWord>
      <group>L1_Format</group>
      <groupName>格式问题</groupName>
      <ability>L2_HalfPunc_CN</ability>
      <abilityName>全半角问题</abilityName>
      <candidateList>
        <item>）</item>
      </candidateList>
      <explain>文本全半角错误。</explain>
      <paraID>51D439D2</paraID>
      <start>60</start>
      <end>61</end>
      <status>unmodified</status>
      <modifiedWord/>
      <trackRevisions>false</trackRevisions>
    </reviewItem>
    <reviewItem>
      <errorID>d0787afd-d488-4014-877a-94fa1b1baefc</errorID>
      <errorWord>(</errorWord>
      <group>L1_Format</group>
      <groupName>格式问题</groupName>
      <ability>L2_HalfPunc_CN</ability>
      <abilityName>全半角问题</abilityName>
      <candidateList>
        <item>（</item>
      </candidateList>
      <explain>文本全半角错误。</explain>
      <paraID>51D439D2</paraID>
      <start>66</start>
      <end>67</end>
      <status>unmodified</status>
      <modifiedWord/>
      <trackRevisions>false</trackRevisions>
    </reviewItem>
    <reviewItem>
      <errorID>469a8a6d-b2ed-4fc7-81e8-574f4eef6d4c</errorID>
      <errorWord>)</errorWord>
      <group>L1_Format</group>
      <groupName>格式问题</groupName>
      <ability>L2_HalfPunc_CN</ability>
      <abilityName>全半角问题</abilityName>
      <candidateList>
        <item>）</item>
      </candidateList>
      <explain>文本全半角错误。</explain>
      <paraID>51D439D2</paraID>
      <start>70</start>
      <end>71</end>
      <status>unmodified</status>
      <modifiedWord/>
      <trackRevisions>false</trackRevisions>
    </reviewItem>
    <reviewItem>
      <errorID>476ef708-12be-4b27-9ebc-f036ac5eafcb</errorID>
      <errorWord>一带一路</errorWord>
      <group>L1_Political</group>
      <groupName>政治性问题</groupName>
      <ability>L2_Keyword</ability>
      <abilityName>固定表述</abilityName>
      <candidateList>
        <item>‘一带一路’</item>
      </candidateList>
      <explain>注意检查当前固定表述标点是否使用规范。</explain>
      <paraID>51D439D2</paraID>
      <start>234</start>
      <end>238</end>
      <status>unmodified</status>
      <modifiedWord/>
      <trackRevisions>false</trackRevisions>
    </reviewItem>
    <reviewItem>
      <errorID>d1311adf-a807-4f44-af15-d4b5e0c6d50b</errorID>
      <errorWord>正在蓄势待发</errorWord>
      <group>L1_Word</group>
      <groupName>字词问题</groupName>
      <ability>L2_Typo</ability>
      <abilityName>字词错误</abilityName>
      <candidateList>
        <item>正蓄势待发</item>
      </candidateList>
      <explain/>
      <paraID>10E9D69E</paraID>
      <start>15</start>
      <end>21</end>
      <status>unmodified</status>
      <modifiedWord/>
      <trackRevisions>false</trackRevisions>
    </reviewItem>
    <reviewItem>
      <errorID>f7e40686-c7aa-4222-ba4b-556ba74a4299</errorID>
      <errorWord>十三五”期间</errorWord>
      <group>L1_Political</group>
      <groupName>政治性问题</groupName>
      <ability>L2_Keyword</ability>
      <abilityName>固定表述</abilityName>
      <candidateList>
        <item>“十三五”期间</item>
      </candidateList>
      <explain>注意检查当前固定表述标点是否使用规范。</explain>
      <paraID>130D7716</paraID>
      <start>116</start>
      <end>122</end>
      <status>unmodified</status>
      <modifiedWord/>
      <trackRevisions>false</trackRevisions>
    </reviewItem>
    <reviewItem>
      <errorID>21d6bda2-4e0f-4aa5-9f83-d5149dd71c9a</errorID>
      <errorWord>互联网+政务服务</errorWord>
      <group>L1_Political</group>
      <groupName>政治性问题</groupName>
      <ability>L2_Keyword</ability>
      <abilityName>固定表述</abilityName>
      <candidateList>
        <item>‘互联网+政务服务’</item>
      </candidateList>
      <explain>注意检查当前固定表述标点是否使用规范。</explain>
      <paraID>48321593</paraID>
      <start>59</start>
      <end>67</end>
      <status>unmodified</status>
      <modifiedWord/>
      <trackRevisions>false</trackRevisions>
    </reviewItem>
    <reviewItem>
      <errorID>123e08af-9482-480c-9cd7-8546809b701c</errorID>
      <errorWord>(</errorWord>
      <group>L1_Format</group>
      <groupName>格式问题</groupName>
      <ability>L2_HalfPunc_CN</ability>
      <abilityName>全半角问题</abilityName>
      <candidateList>
        <item>（</item>
      </candidateList>
      <explain>文本全半角错误。</explain>
      <paraID>2097D8B9</paraID>
      <start>213</start>
      <end>214</end>
      <status>unmodified</status>
      <modifiedWord/>
      <trackRevisions>false</trackRevisions>
    </reviewItem>
    <reviewItem>
      <errorID>17a56383-a727-466f-9959-4580aa8f7cf3</errorID>
      <errorWord>慢性</errorWord>
      <group>L1_Word</group>
      <groupName>字词问题</groupName>
      <ability>L2_Typo</ability>
      <abilityName>字词错误</abilityName>
      <candidateList>
        <item>慢行</item>
      </candidateList>
      <explain/>
      <paraID>5F7B7100</paraID>
      <start>399</start>
      <end>401</end>
      <status>unmodified</status>
      <modifiedWord/>
      <trackRevisions>false</trackRevisions>
    </reviewItem>
    <reviewItem>
      <errorID>39e5cddb-1dde-4770-9b5c-86c60410b397</errorID>
      <errorWord>，</errorWord>
      <group>L1_Word</group>
      <groupName>字词问题</groupName>
      <ability>L2_Typo</ability>
      <abilityName>字词错误</abilityName>
      <candidateList>
        <item>，针</item>
      </candidateList>
      <explain/>
      <paraID>471EF728</paraID>
      <start>43</start>
      <end>44</end>
      <status>unmodified</status>
      <modifiedWord/>
      <trackRevisions>false</trackRevisions>
    </reviewItem>
    <reviewItem>
      <errorID>ad766cd2-b3d2-4b4c-a410-14269411ef6b</errorID>
      <errorWord>法制意识</errorWord>
      <group>L1_Word</group>
      <groupName>字词问题</groupName>
      <ability>L2_Typo</ability>
      <abilityName>字词错误</abilityName>
      <candidateList>
        <item>法治意识</item>
      </candidateList>
      <explain/>
      <paraID>1820FB76</paraID>
      <start>12</start>
      <end>16</end>
      <status>unmodified</status>
      <modifiedWord/>
      <trackRevisions>false</trackRevisions>
    </reviewItem>
    <reviewItem>
      <errorID>d4aed713-f831-4730-9e62-b89b3359a444</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51280540</paraID>
      <start>30</start>
      <end>34</end>
      <status>unmodified</status>
      <modifiedWord/>
      <trackRevisions>false</trackRevisions>
    </reviewItem>
    <reviewItem>
      <errorID>10848264-2d60-45aa-bfb3-69f1a14bacb7</errorID>
      <errorWord>严厉地</errorWord>
      <group>L1_Word</group>
      <groupName>字词问题</groupName>
      <ability>L2_Typo</ability>
      <abilityName>字词错误</abilityName>
      <candidateList>
        <item>严厉</item>
      </candidateList>
      <explain/>
      <paraID>2F93732C</paraID>
      <start>172</start>
      <end>175</end>
      <status>unmodified</status>
      <modifiedWord/>
      <trackRevisions>false</trackRevisions>
    </reviewItem>
    <reviewItem>
      <errorID>7b25a1ce-364c-41f5-bc1e-ea597f94ed8a</errorID>
      <errorWord>加强</errorWord>
      <group>L1_Grammar</group>
      <groupName>语法问题</groupName>
      <ability>L2_Grammar</ability>
      <abilityName>语法错误</abilityName>
      <candidateList>
        <item>加大</item>
      </candidateList>
      <explain>“加强～力度”搭配不当，建议修改为“加大～力度”。</explain>
      <paraID>7A0D8837</paraID>
      <start>239</start>
      <end>241</end>
      <status>unmodified</status>
      <modifiedWord/>
      <trackRevisions>false</trackRevisions>
    </reviewItem>
    <reviewItem>
      <errorID>56ea0c15-aa9b-4f1b-bcff-b61059b54c08</errorID>
      <errorWord>稽查</errorWord>
      <group>L1_Word</group>
      <groupName>字词问题</groupName>
      <ability>L2_Typo</ability>
      <abilityName>字词错误</abilityName>
      <candidateList>
        <item>据查</item>
      </candidateList>
      <explain/>
      <paraID>7B7E8D7B</paraID>
      <start>0</start>
      <end>2</end>
      <status>unmodified</status>
      <modifiedWord/>
      <trackRevisions>false</trackRevisions>
    </reviewItem>
    <reviewItem>
      <errorID>78838c57-ad0d-4371-b048-fdb31270008d</errorID>
      <errorWord>十三五</errorWord>
      <group>L1_Political</group>
      <groupName>政治性问题</groupName>
      <ability>L2_Keyword</ability>
      <abilityName>固定表述</abilityName>
      <candidateList>
        <item>‘十三五’</item>
      </candidateList>
      <explain>注意检查当前固定表述标点是否使用规范。</explain>
      <paraID>7B7E8D7B</paraID>
      <start>6</start>
      <end>9</end>
      <status>unmodified</status>
      <modifiedWord/>
      <trackRevisions>false</trackRevisions>
    </reviewItem>
    <reviewItem>
      <errorID>ae695f76-306a-464a-85e4-8752a02b1aa7</errorID>
      <errorWord>四好农村路</errorWord>
      <group>L1_Political</group>
      <groupName>政治性问题</groupName>
      <ability>L2_Keyword</ability>
      <abilityName>固定表述</abilityName>
      <candidateList>
        <item>‘四好农村路’</item>
      </candidateList>
      <explain>注意检查当前固定表述标点是否使用规范。</explain>
      <paraID>77E1337E</paraID>
      <start>2</start>
      <end>7</end>
      <status>unmodified</status>
      <modifiedWord/>
      <trackRevisions>false</trackRevisions>
    </reviewItem>
    <reviewItem>
      <errorID>52860522-9e98-4127-ae7e-3b1109498a85</errorID>
      <errorWord>十三五</errorWord>
      <group>L1_Political</group>
      <groupName>政治性问题</groupName>
      <ability>L2_Keyword</ability>
      <abilityName>固定表述</abilityName>
      <candidateList>
        <item>‘十三五’</item>
      </candidateList>
      <explain>注意检查当前固定表述标点是否使用规范。</explain>
      <paraID>77E1337E</paraID>
      <start>88</start>
      <end>91</end>
      <status>unmodified</status>
      <modifiedWord/>
      <trackRevisions>false</trackRevisions>
    </reviewItem>
    <reviewItem>
      <errorID>5d78ee74-f9ad-41ae-9e94-a11cd56fd1bb</errorID>
      <errorWord>十二五”末</errorWord>
      <group>L1_Political</group>
      <groupName>政治性问题</groupName>
      <ability>L2_Keyword</ability>
      <abilityName>固定表述</abilityName>
      <candidateList>
        <item>“十二五”末</item>
      </candidateList>
      <explain>注意检查当前固定表述标点是否使用规范。</explain>
      <paraID>77E1337E</paraID>
      <start>184</start>
      <end>189</end>
      <status>unmodified</status>
      <modifiedWord/>
      <trackRevisions>false</trackRevisions>
    </reviewItem>
    <reviewItem>
      <errorID>9bb2c8d6-077a-48e0-9451-4a95b91c6699</errorID>
      <errorWord>十三五”期间</errorWord>
      <group>L1_Political</group>
      <groupName>政治性问题</groupName>
      <ability>L2_Keyword</ability>
      <abilityName>固定表述</abilityName>
      <candidateList>
        <item>“十三五”期间</item>
      </candidateList>
      <explain>注意检查当前固定表述标点是否使用规范。</explain>
      <paraID>177D3E70</paraID>
      <start>5</start>
      <end>11</end>
      <status>unmodified</status>
      <modifiedWord/>
      <trackRevisions>false</trackRevisions>
    </reviewItem>
    <reviewItem>
      <errorID>d300142c-b386-4d52-a040-3a5a106c892f</errorID>
      <errorWord>十三五”规划</errorWord>
      <group>L1_Political</group>
      <groupName>政治性问题</groupName>
      <ability>L2_Keyword</ability>
      <abilityName>固定表述</abilityName>
      <candidateList>
        <item>“十三五”规划</item>
      </candidateList>
      <explain>注意检查当前固定表述标点是否使用规范。</explain>
      <paraID>177D3E70</paraID>
      <start>47</start>
      <end>53</end>
      <status>unmodified</status>
      <modifiedWord/>
      <trackRevisions>false</trackRevisions>
    </reviewItem>
    <reviewItem>
      <errorID>23f6f8e9-1d80-401b-9981-a188b390c961</errorID>
      <errorWord>存在着</errorWord>
      <group>L1_Word</group>
      <groupName>字词问题</groupName>
      <ability>L2_Typo</ability>
      <abilityName>字词错误</abilityName>
      <candidateList>
        <item>存在</item>
      </candidateList>
      <explain/>
      <paraID>6799D06B</paraID>
      <start>78</start>
      <end>81</end>
      <status>unmodified</status>
      <modifiedWord/>
      <trackRevisions>false</trackRevisions>
    </reviewItem>
    <reviewItem>
      <errorID>8bc648e4-f32f-4232-9725-daa230720798</errorID>
      <errorWord>先进制造基地</errorWord>
      <group>L1_Political</group>
      <groupName>政治性问题</groupName>
      <ability>L2_Keyword</ability>
      <abilityName>固定表述</abilityName>
      <candidateList>
        <item>先进制造业基地</item>
      </candidateList>
      <explain>词汇“先进制造业基地”在特定场景下为固定表述形式，请确认此处的“先进制造基地”是否存在不当。</explain>
      <paraID> FBEC627</paraID>
      <start>85</start>
      <end>91</end>
      <status>unmodified</status>
      <modifiedWord/>
      <trackRevisions>false</trackRevisions>
    </reviewItem>
    <reviewItem>
      <errorID>fac88ee4-7795-4862-b369-cff6936d2d18</errorID>
      <errorWord>更好服务</errorWord>
      <group>L1_Word</group>
      <groupName>字词问题</groupName>
      <ability>L2_Typo</ability>
      <abilityName>字词错误</abilityName>
      <candidateList>
        <item>更好地服务</item>
      </candidateList>
      <explain/>
      <paraID>300B3373</paraID>
      <start>143</start>
      <end>147</end>
      <status>unmodified</status>
      <modifiedWord/>
      <trackRevisions>false</trackRevisions>
    </reviewItem>
    <reviewItem>
      <errorID>4417b16e-d1ca-4f40-987c-482c46023958</errorID>
      <errorWord>四好农村路</errorWord>
      <group>L1_Political</group>
      <groupName>政治性问题</groupName>
      <ability>L2_Keyword</ability>
      <abilityName>固定表述</abilityName>
      <candidateList>
        <item>‘四好农村路’</item>
      </candidateList>
      <explain>注意检查当前固定表述标点是否使用规范。</explain>
      <paraID>373F1649</paraID>
      <start>151</start>
      <end>156</end>
      <status>unmodified</status>
      <modifiedWord/>
      <trackRevisions>false</trackRevisions>
    </reviewItem>
    <reviewItem>
      <errorID>3693945c-ed93-48f4-97c4-bf05a73721d2</errorID>
      <errorWord>全面实施乡村振兴</errorWord>
      <group>L1_Political</group>
      <groupName>政治性问题</groupName>
      <ability>L2_Keyword</ability>
      <abilityName>固定表述</abilityName>
      <candidateList>
        <item>全面推进乡村振兴</item>
      </candidateList>
      <explain>词汇“全面推进乡村振兴”在特定场景下为固定表述形式，请确认此处的“全面实施乡村振兴”是否存在不当。</explain>
      <paraID>373F1649</paraID>
      <start>215</start>
      <end>223</end>
      <status>unmodified</status>
      <modifiedWord/>
      <trackRevisions>false</trackRevisions>
    </reviewItem>
    <reviewItem>
      <errorID>5c95796d-74ca-497d-b1d0-e154fcf40d7d</errorID>
      <errorWord>”</errorWord>
      <group>L1_Word</group>
      <groupName>字词问题</groupName>
      <ability>L2_Typo</ability>
      <abilityName>字词错误</abilityName>
      <candidateList>
        <item>”时</item>
      </candidateList>
      <explain/>
      <paraID>2AFEACF5</paraID>
      <start>21</start>
      <end>22</end>
      <status>unmodified</status>
      <modifiedWord/>
      <trackRevisions>false</trackRevisions>
    </reviewItem>
    <reviewItem>
      <errorID>0163f006-4986-4de1-9248-85e36d922807</errorID>
      <errorWord>统筹推进 “五位一体”总体布局</errorWord>
      <group>L1_Political</group>
      <groupName>政治性问题</groupName>
      <ability>L2_Keyword</ability>
      <abilityName>固定表述</abilityName>
      <candidateList>
        <item>统筹推进“五位一体”总体布局</item>
      </candidateList>
      <explain>词汇“统筹推进“五位一体”总体布局”在特定场景下为固定表述形式，请确认此处的“统筹推进 “五位一体”总体布局”是否存在不当。</explain>
      <paraID>25C93BB8</paraID>
      <start>95</start>
      <end>110</end>
      <status>unmodified</status>
      <modifiedWord/>
      <trackRevisions>false</trackRevisions>
    </reviewItem>
    <reviewItem>
      <errorID>dba38a7a-e329-4dbb-bc2b-fbb50ec0f8ff</errorID>
      <errorWord>四个全面”战略布局</errorWord>
      <group>L1_Political</group>
      <groupName>政治性问题</groupName>
      <ability>L2_Keyword</ability>
      <abilityName>固定表述</abilityName>
      <candidateList>
        <item>“四个全面”战略布局</item>
      </candidateList>
      <explain>注意检查当前固定表述标点是否使用规范。</explain>
      <paraID>25C93BB8</paraID>
      <start>118</start>
      <end>127</end>
      <status>unmodified</status>
      <modifiedWord/>
      <trackRevisions>false</trackRevisions>
    </reviewItem>
    <reviewItem>
      <errorID>2303b1fa-1d30-4432-83b3-d129f6fb47be</errorID>
      <errorWord>一带一路</errorWord>
      <group>L1_Political</group>
      <groupName>政治性问题</groupName>
      <ability>L2_Keyword</ability>
      <abilityName>固定表述</abilityName>
      <candidateList>
        <item>‘一带一路’</item>
      </candidateList>
      <explain>注意检查当前固定表述标点是否使用规范。</explain>
      <paraID>25C93BB8</paraID>
      <start>213</start>
      <end>217</end>
      <status>unmodified</status>
      <modifiedWord/>
      <trackRevisions>false</trackRevisions>
    </reviewItem>
    <reviewItem>
      <errorID>362d0c6f-37da-4163-b5de-6fdd13197dea</errorID>
      <errorWord>先进制造基地</errorWord>
      <group>L1_Political</group>
      <groupName>政治性问题</groupName>
      <ability>L2_Keyword</ability>
      <abilityName>固定表述</abilityName>
      <candidateList>
        <item>先进制造业基地</item>
      </candidateList>
      <explain>词汇“先进制造业基地”在特定场景下为固定表述形式，请确认此处的“先进制造基地”是否存在不当。</explain>
      <paraID>479990D5</paraID>
      <start>103</start>
      <end>109</end>
      <status>unmodified</status>
      <modifiedWord/>
      <trackRevisions>false</trackRevisions>
    </reviewItem>
    <reviewItem>
      <errorID>d8c19004-b7c6-427a-9c62-ea1615bb5b4e</errorID>
      <errorWord>公路</errorWord>
      <group>L1_Word</group>
      <groupName>字词问题</groupName>
      <ability>L2_Typo</ability>
      <abilityName>字词错误</abilityName>
      <candidateList>
        <item>公里</item>
      </candidateList>
      <explain/>
      <paraID>17558266</paraID>
      <start>137</start>
      <end>139</end>
      <status>unmodified</status>
      <modifiedWord/>
      <trackRevisions>false</trackRevisions>
    </reviewItem>
    <reviewItem>
      <errorID>0477fae3-7528-4aa6-bdf2-0669299c17df</errorID>
      <errorWord>提升高</errorWord>
      <group>L1_Word</group>
      <groupName>字词问题</groupName>
      <ability>L2_Typo</ability>
      <abilityName>字词错误</abilityName>
      <candidateList>
        <item>提升</item>
      </candidateList>
      <explain/>
      <paraID>42561E6F</paraID>
      <start>48</start>
      <end>51</end>
      <status>unmodified</status>
      <modifiedWord/>
      <trackRevisions>false</trackRevisions>
    </reviewItem>
    <reviewItem>
      <errorID>a02500a5-38f7-46a0-b9db-99f403668273</errorID>
      <errorWord>(</errorWord>
      <group>L1_Format</group>
      <groupName>格式问题</groupName>
      <ability>L2_HalfPunc_CN</ability>
      <abilityName>全半角问题</abilityName>
      <candidateList>
        <item>（</item>
      </candidateList>
      <explain>文本全半角错误。</explain>
      <paraID>13EBB7D2</paraID>
      <start>208</start>
      <end>209</end>
      <status>unmodified</status>
      <modifiedWord/>
      <trackRevisions>false</trackRevisions>
    </reviewItem>
    <reviewItem>
      <errorID>bcd0532e-17fc-4cb7-a23a-986a5eb4ea3c</errorID>
      <errorWord>)</errorWord>
      <group>L1_Format</group>
      <groupName>格式问题</groupName>
      <ability>L2_HalfPunc_CN</ability>
      <abilityName>全半角问题</abilityName>
      <candidateList>
        <item>）</item>
      </candidateList>
      <explain>文本全半角错误。</explain>
      <paraID>13EBB7D2</paraID>
      <start>211</start>
      <end>212</end>
      <status>unmodified</status>
      <modifiedWord/>
      <trackRevisions>false</trackRevisions>
    </reviewItem>
    <reviewItem>
      <errorID>cfe2f004-2fb5-4a86-8505-bb2436e70932</errorID>
      <errorWord>一带一路</errorWord>
      <group>L1_Political</group>
      <groupName>政治性问题</groupName>
      <ability>L2_Keyword</ability>
      <abilityName>固定表述</abilityName>
      <candidateList>
        <item>‘一带一路’</item>
      </candidateList>
      <explain>注意检查当前固定表述标点是否使用规范。</explain>
      <paraID>13EBB7D2</paraID>
      <start>301</start>
      <end>305</end>
      <status>unmodified</status>
      <modifiedWord/>
      <trackRevisions>false</trackRevisions>
    </reviewItem>
    <reviewItem>
      <errorID>7066aaaf-2413-4ad3-807c-09571eeead40</errorID>
      <errorWord>质</errorWord>
      <group>L1_Word</group>
      <groupName>字词问题</groupName>
      <ability>L2_Typo</ability>
      <abilityName>字词错误</abilityName>
      <candidateList>
        <item>质量</item>
      </candidateList>
      <explain/>
      <paraID>7AAD26EC</paraID>
      <start>127</start>
      <end>128</end>
      <status>unmodified</status>
      <modifiedWord/>
      <trackRevisions>false</trackRevisions>
    </reviewItem>
    <reviewItem>
      <errorID>343e8f14-4c15-43b7-a943-2b16a7be8650</errorID>
      <errorWord>(</errorWord>
      <group>L1_Format</group>
      <groupName>格式问题</groupName>
      <ability>L2_HalfPunc_CN</ability>
      <abilityName>全半角问题</abilityName>
      <candidateList>
        <item>（</item>
      </candidateList>
      <explain>文本全半角错误。</explain>
      <paraID>25308B40</paraID>
      <start>6</start>
      <end>7</end>
      <status>unmodified</status>
      <modifiedWord/>
      <trackRevisions>false</trackRevisions>
    </reviewItem>
    <reviewItem>
      <errorID>df2fb2ed-0e77-46a1-9698-e58b70265136</errorID>
      <errorWord>)</errorWord>
      <group>L1_Format</group>
      <groupName>格式问题</groupName>
      <ability>L2_HalfPunc_CN</ability>
      <abilityName>全半角问题</abilityName>
      <candidateList>
        <item>）</item>
      </candidateList>
      <explain>文本全半角错误。</explain>
      <paraID>25308B40</paraID>
      <start>11</start>
      <end>12</end>
      <status>unmodified</status>
      <modifiedWord/>
      <trackRevisions>false</trackRevisions>
    </reviewItem>
    <reviewItem>
      <errorID>48ce0787-519f-4d92-a165-2fb3950283dd</errorID>
      <errorWord>一网通办</errorWord>
      <group>L1_Political</group>
      <groupName>政治性问题</groupName>
      <ability>L2_Keyword</ability>
      <abilityName>固定表述</abilityName>
      <candidateList>
        <item>“一网通办”</item>
      </candidateList>
      <explain>注意检查当前固定表述标点是否使用规范。</explain>
      <paraID>1FA38B45</paraID>
      <start>10</start>
      <end>14</end>
      <status>unmodified</status>
      <modifiedWord/>
      <trackRevisions>false</trackRevisions>
    </reviewItem>
    <reviewItem>
      <errorID>411cde15-b514-4c08-b557-2114814669c0</errorID>
      <errorWord>高铁铁路网</errorWord>
      <group>L1_Political</group>
      <groupName>政治性问题</groupName>
      <ability>L2_Keyword</ability>
      <abilityName>固定表述</abilityName>
      <candidateList>
        <item>高速铁路网</item>
      </candidateList>
      <explain>词汇“高速铁路网”在特定场景下为固定表述形式，请确认此处的“高铁铁路网”是否存在不当。</explain>
      <paraID>52FC5CF2</paraID>
      <start>127</start>
      <end>132</end>
      <status>unmodified</status>
      <modifiedWord/>
      <trackRevisions>false</trackRevisions>
    </reviewItem>
    <reviewItem>
      <errorID>d5387910-3e25-4054-b29d-07a041f9ab7b</errorID>
      <errorWord>(</errorWord>
      <group>L1_Format</group>
      <groupName>格式问题</groupName>
      <ability>L2_HalfPunc_CN</ability>
      <abilityName>全半角问题</abilityName>
      <candidateList>
        <item>（</item>
      </candidateList>
      <explain>文本全半角错误。</explain>
      <paraID>24411AE9</paraID>
      <start>177</start>
      <end>178</end>
      <status>unmodified</status>
      <modifiedWord/>
      <trackRevisions>false</trackRevisions>
    </reviewItem>
    <reviewItem>
      <errorID>048e1d10-f225-471f-8778-03ecdde89b4a</errorID>
      <errorWord>)</errorWord>
      <group>L1_Format</group>
      <groupName>格式问题</groupName>
      <ability>L2_HalfPunc_CN</ability>
      <abilityName>全半角问题</abilityName>
      <candidateList>
        <item>）</item>
      </candidateList>
      <explain>文本全半角错误。</explain>
      <paraID>24411AE9</paraID>
      <start>180</start>
      <end>181</end>
      <status>unmodified</status>
      <modifiedWord/>
      <trackRevisions>false</trackRevisions>
    </reviewItem>
    <reviewItem>
      <errorID>ee880b61-269c-4161-a8ba-bd9d42cb46ef</errorID>
      <errorWord>-</errorWord>
      <group>L1_Format</group>
      <groupName>格式问题</groupName>
      <ability>L2_HalfPunc_CN</ability>
      <abilityName>全半角问题</abilityName>
      <candidateList>
        <item>－</item>
      </candidateList>
      <explain>文本全半角错误。</explain>
      <paraID>2DF8D9E4</paraID>
      <start>72</start>
      <end>73</end>
      <status>unmodified</status>
      <modifiedWord/>
      <trackRevisions>false</trackRevisions>
    </reviewItem>
    <reviewItem>
      <errorID>1ca199f7-c2a2-4e28-8749-edd5a37c3cc7</errorID>
      <errorWord>、等</errorWord>
      <group>L1_Punc</group>
      <groupName>标点问题</groupName>
      <ability>L2_Punc_CN</ability>
      <abilityName>标点符号问题</abilityName>
      <candidateList>
        <item>等</item>
      </candidateList>
      <explain>“及”“和”“等”连词前不宜使用顿号，建议删除（或使用逗号）。</explain>
      <paraID>7E368B51</paraID>
      <start>86</start>
      <end>88</end>
      <status>unmodified</status>
      <modifiedWord/>
      <trackRevisions>false</trackRevisions>
    </reviewItem>
    <reviewItem>
      <errorID>f4a2260f-c4de-477e-a3ce-b478ff0f28a4</errorID>
      <errorWord>-</errorWord>
      <group>L1_Format</group>
      <groupName>格式问题</groupName>
      <ability>L2_HalfPunc_CN</ability>
      <abilityName>全半角问题</abilityName>
      <candidateList>
        <item>－</item>
      </candidateList>
      <explain>文本全半角错误。</explain>
      <paraID>640A6F29</paraID>
      <start>56</start>
      <end>57</end>
      <status>unmodified</status>
      <modifiedWord/>
      <trackRevisions>false</trackRevisions>
    </reviewItem>
    <reviewItem>
      <errorID>789f9ff2-c35e-4fd0-834f-aab728d932d6</errorID>
      <errorWord>-</errorWord>
      <group>L1_Format</group>
      <groupName>格式问题</groupName>
      <ability>L2_HalfPunc_CN</ability>
      <abilityName>全半角问题</abilityName>
      <candidateList>
        <item>－</item>
      </candidateList>
      <explain>文本全半角错误。</explain>
      <paraID>79BED212</paraID>
      <start>18</start>
      <end>19</end>
      <status>unmodified</status>
      <modifiedWord/>
      <trackRevisions>false</trackRevisions>
    </reviewItem>
    <reviewItem>
      <errorID>298cda40-e363-4ef1-9dfa-843f372ddf84</errorID>
      <errorWord>廖廓</errorWord>
      <group>L1_Word</group>
      <groupName>字词问题</groupName>
      <ability>L2_Typo</ability>
      <abilityName>字词错误</abilityName>
      <candidateList>
        <item>寥廓</item>
      </candidateList>
      <explain/>
      <paraID>59BA05E9</paraID>
      <start>86</start>
      <end>88</end>
      <status>unmodified</status>
      <modifiedWord/>
      <trackRevisions>false</trackRevisions>
    </reviewItem>
    <reviewItem>
      <errorID>c0c99f53-f4b0-44dc-b2a8-0423760260a7</errorID>
      <errorWord>量</errorWord>
      <group>L1_Political</group>
      <groupName>政治性问题</groupName>
      <ability>L2_Unpolitical</ability>
      <abilityName>政治敏感错误</abilityName>
      <candidateList>
        <item>量做到</item>
      </candidateList>
      <explain>政要讲话引用不一致</explain>
      <paraID>2FDA716C</paraID>
      <start>43</start>
      <end>44</end>
      <status>unmodified</status>
      <modifiedWord/>
      <trackRevisions>false</trackRevisions>
    </reviewItem>
    <reviewItem>
      <errorID>95b480bf-6d37-4ef0-8424-e921ebf71e32</errorID>
      <errorWord>力</errorWord>
      <group>L1_Word</group>
      <groupName>字词问题</groupName>
      <ability>L2_Typo</ability>
      <abilityName>字词错误</abilityName>
      <candidateList>
        <item>力度</item>
      </candidateList>
      <explain/>
      <paraID>2FDA716C</paraID>
      <start>196</start>
      <end>197</end>
      <status>unmodified</status>
      <modifiedWord/>
      <trackRevisions>false</trackRevisions>
    </reviewItem>
    <reviewItem>
      <errorID>7ad36431-eccb-40d3-8742-8a8981d6b2a8</errorID>
      <errorWord>(</errorWord>
      <group>L1_Format</group>
      <groupName>格式问题</groupName>
      <ability>L2_HalfPunc_CN</ability>
      <abilityName>全半角问题</abilityName>
      <candidateList>
        <item>（</item>
      </candidateList>
      <explain>文本全半角错误。</explain>
      <paraID>71C27677</paraID>
      <start>56</start>
      <end>57</end>
      <status>unmodified</status>
      <modifiedWord/>
      <trackRevisions>false</trackRevisions>
    </reviewItem>
    <reviewItem>
      <errorID>efe57c8d-99f4-4e3b-bcb9-6f4379a02be6</errorID>
      <errorWord>)</errorWord>
      <group>L1_Format</group>
      <groupName>格式问题</groupName>
      <ability>L2_HalfPunc_CN</ability>
      <abilityName>全半角问题</abilityName>
      <candidateList>
        <item>）</item>
      </candidateList>
      <explain>文本全半角错误。</explain>
      <paraID>71C27677</paraID>
      <start>59</start>
      <end>60</end>
      <status>unmodified</status>
      <modifiedWord/>
      <trackRevisions>false</trackRevisions>
    </reviewItem>
    <reviewItem>
      <errorID>880fcfe8-70a1-4ede-838c-8f8fd508ee22</errorID>
      <errorWord>最后一公里</errorWord>
      <group>L1_Political</group>
      <groupName>政治性问题</groupName>
      <ability>L2_Keyword</ability>
      <abilityName>固定表述</abilityName>
      <candidateList>
        <item>“最后一公里”</item>
      </candidateList>
      <explain>注意检查当前固定表述标点是否使用规范。</explain>
      <paraID>4786B0B5</paraID>
      <start>75</start>
      <end>80</end>
      <status>unmodified</status>
      <modifiedWord/>
      <trackRevisions>false</trackRevisions>
    </reviewItem>
    <reviewItem>
      <errorID>3eeb04ff-8bcc-4a02-96f9-e847fbbfc69e</errorID>
      <errorWord>(</errorWord>
      <group>L1_Format</group>
      <groupName>格式问题</groupName>
      <ability>L2_HalfPunc_CN</ability>
      <abilityName>全半角问题</abilityName>
      <candidateList>
        <item>（</item>
      </candidateList>
      <explain>文本全半角错误。</explain>
      <paraID>3623234C</paraID>
      <start>65</start>
      <end>66</end>
      <status>unmodified</status>
      <modifiedWord/>
      <trackRevisions>false</trackRevisions>
    </reviewItem>
    <reviewItem>
      <errorID>44ff2e9b-9c35-4243-a8b6-5bd2729d139a</errorID>
      <errorWord>)</errorWord>
      <group>L1_Format</group>
      <groupName>格式问题</groupName>
      <ability>L2_HalfPunc_CN</ability>
      <abilityName>全半角问题</abilityName>
      <candidateList>
        <item>）</item>
      </candidateList>
      <explain>文本全半角错误。</explain>
      <paraID>3623234C</paraID>
      <start>101</start>
      <end>102</end>
      <status>unmodified</status>
      <modifiedWord/>
      <trackRevisions>false</trackRevisions>
    </reviewItem>
    <reviewItem>
      <errorID>586a4a5a-7389-4ead-a543-427f528ef4fc</errorID>
      <errorWord>,</errorWord>
      <group>L1_Format</group>
      <groupName>格式问题</groupName>
      <ability>L2_HalfPunc_CN</ability>
      <abilityName>全半角问题</abilityName>
      <candidateList>
        <item>，</item>
      </candidateList>
      <explain>文本全半角错误。</explain>
      <paraID>37DEDE1D</paraID>
      <start>70</start>
      <end>71</end>
      <status>unmodified</status>
      <modifiedWord/>
      <trackRevisions>false</trackRevisions>
    </reviewItem>
    <reviewItem>
      <errorID>425e5caf-62ba-431d-ab9a-7bffc04246d1</errorID>
      <errorWord>-</errorWord>
      <group>L1_Format</group>
      <groupName>格式问题</groupName>
      <ability>L2_HalfPunc_CN</ability>
      <abilityName>全半角问题</abilityName>
      <candidateList>
        <item>－</item>
      </candidateList>
      <explain>文本全半角错误。</explain>
      <paraID>63179A4F</paraID>
      <start>65</start>
      <end>66</end>
      <status>unmodified</status>
      <modifiedWord/>
      <trackRevisions>false</trackRevisions>
    </reviewItem>
    <reviewItem>
      <errorID>bdada83c-54fc-48a9-8d6c-19027cad26dc</errorID>
      <errorWord>-</errorWord>
      <group>L1_Format</group>
      <groupName>格式问题</groupName>
      <ability>L2_HalfPunc_CN</ability>
      <abilityName>全半角问题</abilityName>
      <candidateList>
        <item>－</item>
      </candidateList>
      <explain>文本全半角错误。</explain>
      <paraID>63179A4F</paraID>
      <start>71</start>
      <end>72</end>
      <status>unmodified</status>
      <modifiedWord/>
      <trackRevisions>false</trackRevisions>
    </reviewItem>
    <reviewItem>
      <errorID>3e7063e1-6b97-4e77-acc9-b564297ee47a</errorID>
      <errorWord>-</errorWord>
      <group>L1_Format</group>
      <groupName>格式问题</groupName>
      <ability>L2_HalfPunc_CN</ability>
      <abilityName>全半角问题</abilityName>
      <candidateList>
        <item>－</item>
      </candidateList>
      <explain>文本全半角错误。</explain>
      <paraID>63179A4F</paraID>
      <start>122</start>
      <end>123</end>
      <status>unmodified</status>
      <modifiedWord/>
      <trackRevisions>false</trackRevisions>
    </reviewItem>
    <reviewItem>
      <errorID>02fa0a09-e060-497a-8cd9-d18f1743fabc</errorID>
      <errorWord>-</errorWord>
      <group>L1_Format</group>
      <groupName>格式问题</groupName>
      <ability>L2_HalfPunc_CN</ability>
      <abilityName>全半角问题</abilityName>
      <candidateList>
        <item>－</item>
      </candidateList>
      <explain>文本全半角错误。</explain>
      <paraID>63179A4F</paraID>
      <start>136</start>
      <end>137</end>
      <status>unmodified</status>
      <modifiedWord/>
      <trackRevisions>false</trackRevisions>
    </reviewItem>
    <reviewItem>
      <errorID>64c4ff93-4607-4c0a-9a60-a74b91b60214</errorID>
      <errorWord>&lt;</errorWord>
      <group>L1_Format</group>
      <groupName>格式问题</groupName>
      <ability>L2_HalfPunc_CN</ability>
      <abilityName>全半角问题</abilityName>
      <candidateList>
        <item>〈</item>
      </candidateList>
      <explain>文本全半角错误。</explain>
      <paraID>63179A4F</paraID>
      <start>139</start>
      <end>140</end>
      <status>unmodified</status>
      <modifiedWord/>
      <trackRevisions>false</trackRevisions>
    </reviewItem>
    <reviewItem>
      <errorID>9847fe0f-d917-4dd6-8bc8-f9aea19258e6</errorID>
      <errorWord>&gt;</errorWord>
      <group>L1_Format</group>
      <groupName>格式问题</groupName>
      <ability>L2_HalfPunc_CN</ability>
      <abilityName>全半角问题</abilityName>
      <candidateList>
        <item>〉</item>
      </candidateList>
      <explain>文本全半角错误。</explain>
      <paraID>63179A4F</paraID>
      <start>143</start>
      <end>144</end>
      <status>unmodified</status>
      <modifiedWord/>
      <trackRevisions>false</trackRevisions>
    </reviewItem>
    <reviewItem>
      <errorID>a23e5259-9de4-4e3d-a033-b14124399ff8</errorID>
      <errorWord>的</errorWord>
      <group>L1_Word</group>
      <groupName>字词问题</groupName>
      <ability>L2_DDD</ability>
      <abilityName>的地得用法</abilityName>
      <candidateList>
        <item>地</item>
      </candidateList>
      <explain/>
      <paraID>1DD0C2E4</paraID>
      <start>184</start>
      <end>185</end>
      <status>unmodified</status>
      <modifiedWord/>
      <trackRevisions>false</trackRevisions>
    </reviewItem>
    <reviewItem>
      <errorID>0c8a3168-4fe2-4c33-9b67-b47fb9b2b7a1</errorID>
      <errorWord>(</errorWord>
      <group>L1_Format</group>
      <groupName>格式问题</groupName>
      <ability>L2_HalfPunc_CN</ability>
      <abilityName>全半角问题</abilityName>
      <candidateList>
        <item>（</item>
      </candidateList>
      <explain>文本全半角错误。</explain>
      <paraID>2B1B2611</paraID>
      <start>77</start>
      <end>78</end>
      <status>unmodified</status>
      <modifiedWord/>
      <trackRevisions>false</trackRevisions>
    </reviewItem>
    <reviewItem>
      <errorID>2836d28e-c26e-4caa-bdba-1256a000f8f0</errorID>
      <errorWord>)</errorWord>
      <group>L1_Format</group>
      <groupName>格式问题</groupName>
      <ability>L2_HalfPunc_CN</ability>
      <abilityName>全半角问题</abilityName>
      <candidateList>
        <item>）</item>
      </candidateList>
      <explain>文本全半角错误。</explain>
      <paraID>2B1B2611</paraID>
      <start>82</start>
      <end>83</end>
      <status>unmodified</status>
      <modifiedWord/>
      <trackRevisions>false</trackRevisions>
    </reviewItem>
    <reviewItem>
      <errorID>dcade1d0-11de-492d-b93e-713a651ebfe9</errorID>
      <errorWord>的</errorWord>
      <group>L1_Word</group>
      <groupName>字词问题</groupName>
      <ability>L2_DDD</ability>
      <abilityName>的地得用法</abilityName>
      <candidateList>
        <item>地</item>
      </candidateList>
      <explain/>
      <paraID>13A4BFBE</paraID>
      <start>308</start>
      <end>309</end>
      <status>unmodified</status>
      <modifiedWord/>
      <trackRevisions>false</trackRevisions>
    </reviewItem>
    <reviewItem>
      <errorID>0b7b40da-1c13-420e-9450-9eab1dd824ed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13A4BFBE</paraID>
      <start>316</start>
      <end>317</end>
      <status>unmodified</status>
      <modifiedWord/>
      <trackRevisions>false</trackRevisions>
    </reviewItem>
    <reviewItem>
      <errorID>3989d32b-ab99-4e0e-89ca-3628b5a0f05c</errorID>
      <errorWord>平</errorWord>
      <group>L1_Word</group>
      <groupName>字词问题</groupName>
      <ability>L2_Typo</ability>
      <abilityName>字词错误</abilityName>
      <candidateList>
        <item>平台</item>
      </candidateList>
      <explain/>
      <paraID>1176F042</paraID>
      <start>29</start>
      <end>30</end>
      <status>unmodified</status>
      <modifiedWord/>
      <trackRevisions>false</trackRevisions>
    </reviewItem>
    <reviewItem>
      <errorID>a1d78fa0-8cf6-42ef-9cb2-9ec22fe05c80</errorID>
      <errorWord>台，</errorWord>
      <group>L1_Word</group>
      <groupName>字词问题</groupName>
      <ability>L2_Typo</ability>
      <abilityName>字词错误</abilityName>
      <candidateList>
        <item>，</item>
      </candidateList>
      <explain/>
      <paraID>6499A025</paraID>
      <start>0</start>
      <end>2</end>
      <status>unmodified</status>
      <modifiedWord/>
      <trackRevisions>false</trackRevisions>
    </reviewItem>
    <reviewItem>
      <errorID>49afbdab-ffd5-4782-8dc5-686a785db9b2</errorID>
      <errorWord>类</errorWord>
      <group>L1_Word</group>
      <groupName>字词问题</groupName>
      <ability>L2_Typo</ability>
      <abilityName>字词错误</abilityName>
      <candidateList>
        <item>类产</item>
      </candidateList>
      <explain/>
      <paraID>2C06627C</paraID>
      <start>43</start>
      <end>44</end>
      <status>unmodified</status>
      <modifiedWord/>
      <trackRevisions>false</trackRevisions>
    </reviewItem>
    <reviewItem>
      <errorID>ea9b2aab-08ba-4f87-aac8-732407e3ac0f</errorID>
      <errorWord>(</errorWord>
      <group>L1_Format</group>
      <groupName>格式问题</groupName>
      <ability>L2_HalfPunc_CN</ability>
      <abilityName>全半角问题</abilityName>
      <candidateList>
        <item>（</item>
      </candidateList>
      <explain>文本全半角错误。</explain>
      <paraID>2C06627C</paraID>
      <start>62</start>
      <end>63</end>
      <status>unmodified</status>
      <modifiedWord/>
      <trackRevisions>false</trackRevisions>
    </reviewItem>
    <reviewItem>
      <errorID>f4be2d74-26a2-47a7-a15b-b0e6cb923c00</errorID>
      <errorWord>)</errorWord>
      <group>L1_Format</group>
      <groupName>格式问题</groupName>
      <ability>L2_HalfPunc_CN</ability>
      <abilityName>全半角问题</abilityName>
      <candidateList>
        <item>）</item>
      </candidateList>
      <explain>文本全半角错误。</explain>
      <paraID>4C8D1A90</paraID>
      <start>2</start>
      <end>3</end>
      <status>unmodified</status>
      <modifiedWord/>
      <trackRevisions>false</trackRevisions>
    </reviewItem>
    <reviewItem>
      <errorID>8f174d82-4b56-474b-ad5d-bcb7da104785</errorID>
      <errorWord>行动行动</errorWord>
      <group>L1_Word</group>
      <groupName>字词问题</groupName>
      <ability>L2_Typo</ability>
      <abilityName>字词错误</abilityName>
      <candidateList>
        <item>行动</item>
      </candidateList>
      <explain/>
      <paraID> 4076FB5</paraID>
      <start>10</start>
      <end>14</end>
      <status>unmodified</status>
      <modifiedWord/>
      <trackRevisions>false</trackRevisions>
    </reviewItem>
    <reviewItem>
      <errorID>a3f185f1-e4fc-4aba-bebd-6920ce54ce66</errorID>
      <errorWord>边缘</errorWord>
      <group>L1_Word</group>
      <groupName>字词问题</groupName>
      <ability>L2_Typo</ability>
      <abilityName>字词错误</abilityName>
      <candidateList>
        <item>边远</item>
      </candidateList>
      <explain/>
      <paraID>203A0D97</paraID>
      <start>56</start>
      <end>58</end>
      <status>unmodified</status>
      <modifiedWord/>
      <trackRevisions>false</trackRevisions>
    </reviewItem>
    <reviewItem>
      <errorID>7470d03c-b2fc-47eb-88b9-bf33bc1d5dfb</errorID>
      <errorWord>,</errorWord>
      <group>L1_Format</group>
      <groupName>格式问题</groupName>
      <ability>L2_HalfPunc_CN</ability>
      <abilityName>全半角问题</abilityName>
      <candidateList>
        <item>，</item>
      </candidateList>
      <explain>文本全半角错误。</explain>
      <paraID>7AD1A463</paraID>
      <start>40</start>
      <end>41</end>
      <status>unmodified</status>
      <modifiedWord/>
      <trackRevisions>false</trackRevisions>
    </reviewItem>
    <reviewItem>
      <errorID>62462131-8d56-4610-86a4-50770a8805fb</errorID>
      <errorWord>部门的</errorWord>
      <group>L1_Word</group>
      <groupName>字词问题</groupName>
      <ability>L2_Typo</ability>
      <abilityName>字词错误</abilityName>
      <candidateList>
        <item>部门</item>
      </candidateList>
      <explain/>
      <paraID>7AD1A463</paraID>
      <start>91</start>
      <end>94</end>
      <status>unmodified</status>
      <modifiedWord/>
      <trackRevisions>false</trackRevisions>
    </reviewItem>
    <reviewItem>
      <errorID>1d65dbe0-482e-4109-a1c0-1aef04be9c69</errorID>
      <errorWord>,</errorWord>
      <group>L1_Format</group>
      <groupName>格式问题</groupName>
      <ability>L2_HalfPunc_CN</ability>
      <abilityName>全半角问题</abilityName>
      <candidateList>
        <item>，</item>
      </candidateList>
      <explain>文本全半角错误。</explain>
      <paraID>7AD1A463</paraID>
      <start>156</start>
      <end>157</end>
      <status>unmodified</status>
      <modifiedWord/>
      <trackRevisions>false</trackRevisions>
    </reviewItem>
    <reviewItem>
      <errorID>9b826157-f6bd-45cd-82ba-a944e7619229</errorID>
      <errorWord>好</errorWord>
      <group>L1_Word</group>
      <groupName>字词问题</groupName>
      <ability>L2_Typo</ability>
      <abilityName>字词错误</abilityName>
      <candidateList>
        <item>好地</item>
      </candidateList>
      <explain/>
      <paraID>1DC4CF17</paraID>
      <start>157</start>
      <end>158</end>
      <status>unmodified</status>
      <modifiedWord/>
      <trackRevisions>false</trackRevisions>
    </reviewItem>
    <reviewItem>
      <errorID>b28ad136-eedd-40e7-9734-9f7fd555d0f9</errorID>
      <errorWord>动</errorWord>
      <group>L1_Word</group>
      <groupName>字词问题</groupName>
      <ability>L2_Typo</ability>
      <abilityName>字词错误</abilityName>
      <candidateList>
        <item>动全</item>
      </candidateList>
      <explain/>
      <paraID>33ADDB10</paraID>
      <start>1</start>
      <end>2</end>
      <status>unmodified</status>
      <modifiedWord/>
      <trackRevisions>false</trackRevisions>
    </reviewItem>
    <reviewItem>
      <errorID>08d67150-b9f1-453e-b0f0-0a22d9c0a7dd</errorID>
      <errorWord>互联网+政务服务</errorWord>
      <group>L1_Political</group>
      <groupName>政治性问题</groupName>
      <ability>L2_Keyword</ability>
      <abilityName>固定表述</abilityName>
      <candidateList>
        <item>‘互联网+政务服务’</item>
      </candidateList>
      <explain>注意检查当前固定表述标点是否使用规范。</explain>
      <paraID>31D2A005</paraID>
      <start>8</start>
      <end>16</end>
      <status>unmodified</status>
      <modifiedWord/>
      <trackRevisions>false</trackRevisions>
    </reviewItem>
    <reviewItem>
      <errorID>fe8d743b-3f19-4890-a9de-3a9599a02a12</errorID>
      <errorWord>互联网+政务服务</errorWord>
      <group>L1_Political</group>
      <groupName>政治性问题</groupName>
      <ability>L2_Keyword</ability>
      <abilityName>固定表述</abilityName>
      <candidateList>
        <item>‘互联网+政务服务’</item>
      </candidateList>
      <explain>注意检查当前固定表述标点是否使用规范。</explain>
      <paraID>31D2A005</paraID>
      <start>37</start>
      <end>45</end>
      <status>unmodified</status>
      <modifiedWord/>
      <trackRevisions>false</trackRevisions>
    </reviewItem>
    <reviewItem>
      <errorID>75f42808-3f9a-4082-969b-82acc9888c8a</errorID>
      <errorWord>，以</errorWord>
      <group>L1_Word</group>
      <groupName>字词问题</groupName>
      <ability>L2_Typo</ability>
      <abilityName>字词错误</abilityName>
      <candidateList>
        <item>，</item>
      </candidateList>
      <explain/>
      <paraID>71C1B94E</paraID>
      <start>70</start>
      <end>72</end>
      <status>unmodified</status>
      <modifiedWord/>
      <trackRevisions>false</trackRevisions>
    </reviewItem>
    <reviewItem>
      <errorID>ad59902b-7807-4609-b190-dfea7b62c84c</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18425AF2</paraID>
      <start>35</start>
      <end>39</end>
      <status>unmodified</status>
      <modifiedWord/>
      <trackRevisions>false</trackRevisions>
    </reviewItem>
    <reviewItem>
      <errorID>d5a9a349-27a7-4471-810e-e0a127c3da36</errorID>
      <errorWord>；</errorWord>
      <group>L1_Word</group>
      <groupName>字词问题</groupName>
      <ability>L2_Typo</ability>
      <abilityName>字词错误</abilityName>
      <candidateList>
        <item>；在</item>
      </candidateList>
      <explain/>
      <paraID>5296BA45</paraID>
      <start>278</start>
      <end>279</end>
      <status>unmodified</status>
      <modifiedWord/>
      <trackRevisions>false</trackRevisions>
    </reviewItem>
    <reviewItem>
      <errorID>d9e820a6-28cc-4f7a-b3f9-f9d31c8f1190</errorID>
      <errorWord>注重</errorWord>
      <group>L1_Grammar</group>
      <groupName>语法问题</groupName>
      <ability>L2_Grammar</ability>
      <abilityName>语法错误</abilityName>
      <candidateList>
        <item>重视</item>
      </candidateList>
      <explain>“注重～工作”搭配不当，建议修改为“重视～工作”。</explain>
      <paraID>53F42D98</paraID>
      <start>0</start>
      <end>2</end>
      <status>unmodified</status>
      <modifiedWord/>
      <trackRevisions>false</trackRevisions>
    </reviewItem>
    <reviewItem>
      <errorID>892cdd0e-16b0-4ceb-900b-559ba0c1c476</errorID>
      <errorWord>率</errorWord>
      <group>L1_Word</group>
      <groupName>字词问题</groupName>
      <ability>L2_Typo</ability>
      <abilityName>字词错误</abilityName>
      <candidateList>
        <item>绿</item>
      </candidateList>
      <explain>存在发音相同字词的误用。</explain>
      <paraID> EBDA114</paraID>
      <start>197</start>
      <end>198</end>
      <status>unmodified</status>
      <modifiedWord/>
      <trackRevisions>false</trackRevisions>
    </reviewItem>
    <reviewItem>
      <errorID>73d26cc8-cbcb-47d2-a4ae-872c089f127f</errorID>
      <errorWord>四个意识</errorWord>
      <group>L1_Political</group>
      <groupName>政治性问题</groupName>
      <ability>L2_Keyword</ability>
      <abilityName>固定表述</abilityName>
      <candidateList>
        <item>‘四个意识’</item>
      </candidateList>
      <explain>注意检查当前固定表述标点是否使用规范。</explain>
      <paraID>72B0730C</paraID>
      <start>69</start>
      <end>73</end>
      <status>unmodified</status>
      <modifiedWord/>
      <trackRevisions>false</trackRevisions>
    </reviewItem>
    <reviewItem>
      <errorID>b271aabb-ba73-4242-b155-990400131a52</errorID>
      <errorWord>四个自信</errorWord>
      <group>L1_Political</group>
      <groupName>政治性问题</groupName>
      <ability>L2_Keyword</ability>
      <abilityName>固定表述</abilityName>
      <candidateList>
        <item>‘四个自信’</item>
      </candidateList>
      <explain>注意检查当前固定表述标点是否使用规范。</explain>
      <paraID>72B0730C</paraID>
      <start>80</start>
      <end>84</end>
      <status>unmodified</status>
      <modifiedWord/>
      <trackRevisions>false</trackRevisions>
    </reviewItem>
    <reviewItem>
      <errorID>8f2bee47-b555-4266-9753-f5667be45460</errorID>
      <errorWord>做到 “两个维护”</errorWord>
      <group>L1_Political</group>
      <groupName>政治性问题</groupName>
      <ability>L2_Keyword</ability>
      <abilityName>固定表述</abilityName>
      <candidateList>
        <item>做到“两个维护”</item>
      </candidateList>
      <explain>词汇“做到“两个维护””在特定场景下为固定表述形式，请确认此处的“做到 “两个维护””是否存在不当。</explain>
      <paraID>72B0730C</paraID>
      <start>87</start>
      <end>96</end>
      <status>unmodified</status>
      <modifiedWord/>
      <trackRevisions>false</trackRevisions>
    </reviewItem>
    <reviewItem>
      <errorID>4db2eda0-2bb4-40ad-a560-5ba776816006</errorID>
      <errorWord>落实全面从严治党的责任</errorWord>
      <group>L1_Political</group>
      <groupName>政治性问题</groupName>
      <ability>L2_Keyword</ability>
      <abilityName>固定表述</abilityName>
      <candidateList>
        <item>落实全面从严治党责任</item>
      </candidateList>
      <explain>词汇“落实全面从严治党责任”在特定场景下为固定表述形式，请确认此处的“落实全面从严治党的责任”是否存在不当。</explain>
      <paraID>37C618D0</paraID>
      <start>11</start>
      <end>22</end>
      <status>unmodified</status>
      <modifiedWord/>
      <trackRevisions>false</trackRevisions>
    </reviewItem>
    <reviewItem>
      <errorID>ae979ccd-e125-4996-94f7-61ed57e327a9</errorID>
      <errorWord>(</errorWord>
      <group>L1_Format</group>
      <groupName>格式问题</groupName>
      <ability>L2_HalfPunc_CN</ability>
      <abilityName>全半角问题</abilityName>
      <candidateList>
        <item>（</item>
      </candidateList>
      <explain>文本全半角错误。</explain>
      <paraID>37C618D0</paraID>
      <start>29</start>
      <end>30</end>
      <status>unmodified</status>
      <modifiedWord/>
      <trackRevisions>false</trackRevisions>
    </reviewItem>
    <reviewItem>
      <errorID>b216fc68-64b6-4d5f-b04f-61c39bdc32b6</errorID>
      <errorWord>)</errorWord>
      <group>L1_Format</group>
      <groupName>格式问题</groupName>
      <ability>L2_HalfPunc_CN</ability>
      <abilityName>全半角问题</abilityName>
      <candidateList>
        <item>）</item>
      </candidateList>
      <explain>文本全半角错误。</explain>
      <paraID>37C618D0</paraID>
      <start>33</start>
      <end>34</end>
      <status>unmodified</status>
      <modifiedWord/>
      <trackRevisions>false</trackRevisions>
    </reviewItem>
    <reviewItem>
      <errorID>4df5aa71-98a4-402d-84ea-567dba607395</errorID>
      <errorWord>(</errorWord>
      <group>L1_Format</group>
      <groupName>格式问题</groupName>
      <ability>L2_HalfPunc_CN</ability>
      <abilityName>全半角问题</abilityName>
      <candidateList>
        <item>（</item>
      </candidateList>
      <explain>文本全半角错误。</explain>
      <paraID>37C618D0</paraID>
      <start>41</start>
      <end>42</end>
      <status>unmodified</status>
      <modifiedWord/>
      <trackRevisions>false</trackRevisions>
    </reviewItem>
    <reviewItem>
      <errorID>f1b30991-749f-46b1-ad50-3c5b0ca52ca8</errorID>
      <errorWord>)</errorWord>
      <group>L1_Format</group>
      <groupName>格式问题</groupName>
      <ability>L2_HalfPunc_CN</ability>
      <abilityName>全半角问题</abilityName>
      <candidateList>
        <item>）</item>
      </candidateList>
      <explain>文本全半角错误。</explain>
      <paraID>37C618D0</paraID>
      <start>45</start>
      <end>46</end>
      <status>unmodified</status>
      <modifiedWord/>
      <trackRevisions>false</trackRevisions>
    </reviewItem>
    <reviewItem>
      <errorID>bbacee64-96c4-4fc4-9ef7-9652270d6c3e</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37C618D0</paraID>
      <start>60</start>
      <end>64</end>
      <status>unmodified</status>
      <modifiedWord/>
      <trackRevisions>false</trackRevisions>
    </reviewItem>
    <reviewItem>
      <errorID>4b84a7d8-0be3-4768-b9eb-dbeab3aba644</errorID>
      <errorWord>放管服改革</errorWord>
      <group>L1_Political</group>
      <groupName>政治性问题</groupName>
      <ability>L2_Keyword</ability>
      <abilityName>固定表述</abilityName>
      <candidateList>
        <item>“放管服”改革</item>
      </candidateList>
      <explain>注意检查当前固定表述标点是否使用规范。</explain>
      <paraID>6BF5168A</paraID>
      <start>60</start>
      <end>65</end>
      <status>unmodified</status>
      <modifiedWord/>
      <trackRevisions>false</trackRevisions>
    </reviewItem>
    <reviewItem>
      <errorID>175ed647-ecbd-49dc-8c1a-afe5189f2f7d</errorID>
      <errorWord>加强</errorWord>
      <group>L1_Grammar</group>
      <groupName>语法问题</groupName>
      <ability>L2_Grammar</ability>
      <abilityName>语法错误</abilityName>
      <candidateList>
        <item>加大</item>
      </candidateList>
      <explain>“加强～力度”搭配不当，建议修改为“加大～力度”。</explain>
      <paraID>3FD8B2B4</paraID>
      <start>42</start>
      <end>44</end>
      <status>unmodified</status>
      <modifiedWord/>
      <trackRevisions>false</trackRevisions>
    </reviewItem>
    <reviewItem>
      <errorID>dda6b0c9-0118-44eb-9125-43ecc2e40e06</errorID>
      <errorWord>四好农村路</errorWord>
      <group>L1_Political</group>
      <groupName>政治性问题</groupName>
      <ability>L2_Keyword</ability>
      <abilityName>固定表述</abilityName>
      <candidateList>
        <item>‘四好农村路’</item>
      </candidateList>
      <explain>注意检查当前固定表述标点是否使用规范。</explain>
      <paraID>3FD8B2B4</paraID>
      <start>204</start>
      <end>209</end>
      <status>unmodified</status>
      <modifiedWord/>
      <trackRevisions>false</trackRevisions>
    </reviewItem>
    <reviewItem>
      <errorID>06bdf77d-1208-4731-af37-1298853f5351</errorID>
      <errorWord>四好农村路</errorWord>
      <group>L1_Political</group>
      <groupName>政治性问题</groupName>
      <ability>L2_Keyword</ability>
      <abilityName>固定表述</abilityName>
      <candidateList>
        <item>‘四好农村路’</item>
      </candidateList>
      <explain>注意检查当前固定表述标点是否使用规范。</explain>
      <paraID>3FD8B2B4</paraID>
      <start>223</start>
      <end>228</end>
      <status>unmodified</status>
      <modifiedWord/>
      <trackRevisions>false</trackRevisions>
    </reviewItem>
    <reviewItem>
      <errorID>8ff8960e-a00d-4420-85d0-9c7716478c95</errorID>
      <errorWord>供给侧结构改革</errorWord>
      <group>L1_Political</group>
      <groupName>政治性问题</groupName>
      <ability>L2_Keyword</ability>
      <abilityName>固定表述</abilityName>
      <candidateList>
        <item>供给侧结构性改革</item>
      </candidateList>
      <explain>词汇“供给侧结构性改革”在特定场景下为固定表述形式，请确认此处的“供给侧结构改革”是否存在不当。</explain>
      <paraID>29845E51</paraID>
      <start>29</start>
      <end>36</end>
      <status>unmodified</status>
      <modifiedWord/>
      <trackRevisions>false</trackRevisions>
    </reviewItem>
    <reviewItem>
      <errorID>0828700b-fbe3-4c3e-a390-644c0ccfa52e</errorID>
      <errorWord>通道</errorWord>
      <group>L1_Word</group>
      <groupName>字词问题</groupName>
      <ability>L2_Typo</ability>
      <abilityName>字词错误</abilityName>
      <candidateList>
        <item>道</item>
      </candidateList>
      <explain/>
      <paraID>29845E51</paraID>
      <start>181</start>
      <end>183</end>
      <status>unmodified</status>
      <modifiedWord/>
      <trackRevisions>false</trackRevisions>
    </reviewItem>
    <reviewItem>
      <errorID>593f0c49-8c47-4658-9c75-69a69cb2197b</errorID>
      <errorWord>建</errorWord>
      <group>L1_Word</group>
      <groupName>字词问题</groupName>
      <ability>L2_Typo</ability>
      <abilityName>字词错误</abilityName>
      <candidateList>
        <item>建设</item>
      </candidateList>
      <explain/>
      <paraID>29845E51</paraID>
      <start>230</start>
      <end>231</end>
      <status>unmodified</status>
      <modifiedWord/>
      <trackRevisions>false</trackRevisions>
    </reviewItem>
    <reviewItem>
      <errorID>0f50932e-358a-481c-8619-b11296cd2f44</errorID>
      <errorWord>的</errorWord>
      <group>L1_Word</group>
      <groupName>字词问题</groupName>
      <ability>L2_DDD</ability>
      <abilityName>的地得用法</abilityName>
      <candidateList>
        <item>地</item>
      </candidateList>
      <explain/>
      <paraID>2FA30689</paraID>
      <start>336</start>
      <end>337</end>
      <status>unmodified</status>
      <modifiedWord/>
      <trackRevisions>false</trackRevisions>
    </reviewItem>
    <reviewItem>
      <errorID>23b96278-2524-4abd-95d1-c698a69b9188</errorID>
      <errorWord>(</errorWord>
      <group>L1_Format</group>
      <groupName>格式问题</groupName>
      <ability>L2_HalfPunc_CN</ability>
      <abilityName>全半角问题</abilityName>
      <candidateList>
        <item>（</item>
      </candidateList>
      <explain>文本全半角错误。</explain>
      <paraID>2D42B49D</paraID>
      <start>24</start>
      <end>25</end>
      <status>unmodified</status>
      <modifiedWord/>
      <trackRevisions>false</trackRevisions>
    </reviewItem>
    <reviewItem>
      <errorID>e245b703-bfd1-4b59-861e-8fcf274d94d7</errorID>
      <errorWord>)</errorWord>
      <group>L1_Format</group>
      <groupName>格式问题</groupName>
      <ability>L2_HalfPunc_CN</ability>
      <abilityName>全半角问题</abilityName>
      <candidateList>
        <item>）</item>
      </candidateList>
      <explain>文本全半角错误。</explain>
      <paraID>2D42B49D</paraID>
      <start>28</start>
      <end>29</end>
      <status>unmodified</status>
      <modifiedWord/>
      <trackRevisions>false</trackRevisions>
    </reviewItem>
    <reviewItem>
      <errorID>bb82c7d8-29b1-447c-ad6e-5ad2db11df97</errorID>
      <errorWord>加强</errorWord>
      <group>L1_Grammar</group>
      <groupName>语法问题</groupName>
      <ability>L2_Grammar</ability>
      <abilityName>语法错误</abilityName>
      <candidateList>
        <item>加大</item>
      </candidateList>
      <explain>“加强～力度”搭配不当，建议修改为“加大～力度”。</explain>
      <paraID>2D42B49D</paraID>
      <start>80</start>
      <end>82</end>
      <status>unmodified</status>
      <modifiedWord/>
      <trackRevisions>false</trackRevisions>
    </reviewItem>
    <reviewItem>
      <errorID>f7b4b716-2ac0-413e-9bc4-5c7287c208ce</errorID>
      <errorWord>部门各司其责</errorWord>
      <group>L1_Political</group>
      <groupName>政治性问题</groupName>
      <ability>L2_Keyword</ability>
      <abilityName>固定表述</abilityName>
      <candidateList>
        <item>部门各负其责</item>
      </candidateList>
      <explain>词汇“部门各负其责”在特定场景下为固定表述形式，请确认此处的“部门各司其责”是否存在不当。</explain>
      <paraID>38562F4F</paraID>
      <start>25</start>
      <end>31</end>
      <status>unmodified</status>
      <modifiedWord/>
      <trackRevisions>false</trackRevisions>
    </reviewItem>
    <reviewItem>
      <errorID>28ca9c02-e7ae-4c92-a39c-e7cb5ed945ba</errorID>
      <errorWord>(</errorWord>
      <group>L1_Format</group>
      <groupName>格式问题</groupName>
      <ability>L2_HalfPunc_CN</ability>
      <abilityName>全半角问题</abilityName>
      <candidateList>
        <item>（</item>
      </candidateList>
      <explain>文本全半角错误。</explain>
      <paraID>28D99F4E</paraID>
      <start>79</start>
      <end>80</end>
      <status>unmodified</status>
      <modifiedWord/>
      <trackRevisions>false</trackRevisions>
    </reviewItem>
    <reviewItem>
      <errorID>87b17e5a-5eaa-44fe-a30a-859ea13761b1</errorID>
      <errorWord>)</errorWord>
      <group>L1_Format</group>
      <groupName>格式问题</groupName>
      <ability>L2_HalfPunc_CN</ability>
      <abilityName>全半角问题</abilityName>
      <candidateList>
        <item>）</item>
      </candidateList>
      <explain>文本全半角错误。</explain>
      <paraID>28D99F4E</paraID>
      <start>83</start>
      <end>84</end>
      <status>unmodified</status>
      <modifiedWord/>
      <trackRevisions>false</trackRevisions>
    </reviewItem>
    <reviewItem>
      <errorID>42e12b40-76a7-4449-9bc9-e8ad376aa199</errorID>
      <errorWord>加强</errorWord>
      <group>L1_Grammar</group>
      <groupName>语法问题</groupName>
      <ability>L2_Grammar</ability>
      <abilityName>语法错误</abilityName>
      <candidateList>
        <item>加大</item>
      </candidateList>
      <explain>“加强～力度”搭配不当，建议修改为“加大～力度”。</explain>
      <paraID>11ED55A2</paraID>
      <start>20</start>
      <end>22</end>
      <status>unmodified</status>
      <modifiedWord/>
      <trackRevisions>false</trackRevisions>
    </reviewItem>
    <reviewItem>
      <errorID>618a7cea-37a2-4db1-a0cc-ecb6681ac636</errorID>
      <errorWord>公平竞争的审查制度</errorWord>
      <group>L1_Political</group>
      <groupName>政治性问题</groupName>
      <ability>L2_Keyword</ability>
      <abilityName>固定表述</abilityName>
      <candidateList>
        <item>公平竞争审查制度</item>
      </candidateList>
      <explain>词汇“公平竞争审查制度”在特定场景下为固定表述形式，请确认此处的“公平竞争的审查制度”是否存在不当。</explain>
      <paraID>13A73FEF</paraID>
      <start>42</start>
      <end>51</end>
      <status>unmodified</status>
      <modifiedWord/>
      <trackRevisions>false</trackRevisions>
    </reviewItem>
    <reviewItem>
      <errorID>6a0441c6-0d8a-48f1-a378-1a790bb2202c</errorID>
      <errorWord>，</errorWord>
      <group>L1_Word</group>
      <groupName>字词问题</groupName>
      <ability>L2_Typo</ability>
      <abilityName>字词错误</abilityName>
      <candidateList>
        <item>，以</item>
      </candidateList>
      <explain/>
      <paraID> 53F4A8B</paraID>
      <start>24</start>
      <end>25</end>
      <status>unmodified</status>
      <modifiedWord/>
      <trackRevisions>false</trackRevisions>
    </reviewItem>
    <reviewItem>
      <errorID>287ca521-1857-4245-a526-96aca045d724</errorID>
      <errorWord>期未</errorWord>
      <group>L1_Word</group>
      <groupName>字词问题</groupName>
      <ability>L2_Variant</ability>
      <abilityName>异形词</abilityName>
      <candidateList>
        <item>期末</item>
      </candidateList>
      <explain>词汇[期未]的规范词形写作[期末]。</explain>
      <paraID>15B41F6B</paraID>
      <start>82</start>
      <end>84</end>
      <status>unmodified</status>
      <modifiedWord/>
      <trackRevisions>false</trackRevisions>
    </reviewItem>
    <reviewItem>
      <errorID>7ae572cc-64ed-438c-9325-571130782ba4</errorID>
      <errorWord>成</errorWord>
      <group>L1_Word</group>
      <groupName>字词问题</groupName>
      <ability>L2_Typo</ability>
      <abilityName>字词错误</abilityName>
      <candidateList>
        <item>成以</item>
      </candidateList>
      <explain/>
      <paraID>15B41F6B</paraID>
      <start>285</start>
      <end>286</end>
      <status>unmodified</status>
      <modifiedWord/>
      <trackRevisions>false</trackRevisions>
    </reviewItem>
    <reviewItem>
      <errorID>4dab4e19-0efe-42b6-902c-36d191841258</errorID>
      <errorWord>期未</errorWord>
      <group>L1_Word</group>
      <groupName>字词问题</groupName>
      <ability>L2_Variant</ability>
      <abilityName>异形词</abilityName>
      <candidateList>
        <item>期末</item>
      </candidateList>
      <explain>词汇[期未]的规范词形写作[期末]。</explain>
      <paraID>461AE72E</paraID>
      <start>79</start>
      <end>81</end>
      <status>unmodified</status>
      <modifiedWord/>
      <trackRevisions>false</trackRevisions>
    </reviewItem>
    <reviewItem>
      <errorID>327a8b6d-2dcd-46e2-be57-248cbce911e9</errorID>
      <errorWord>(</errorWord>
      <group>L1_Format</group>
      <groupName>格式问题</groupName>
      <ability>L2_HalfPunc_CN</ability>
      <abilityName>全半角问题</abilityName>
      <candidateList>
        <item>（</item>
      </candidateList>
      <explain>文本全半角错误。</explain>
      <paraID>461AE72E</paraID>
      <start>125</start>
      <end>126</end>
      <status>unmodified</status>
      <modifiedWord/>
      <trackRevisions>false</trackRevisions>
    </reviewItem>
    <reviewItem>
      <errorID>70cbe9b0-0d76-4d22-8285-fd591052056b</errorID>
      <errorWord>)</errorWord>
      <group>L1_Format</group>
      <groupName>格式问题</groupName>
      <ability>L2_HalfPunc_CN</ability>
      <abilityName>全半角问题</abilityName>
      <candidateList>
        <item>）</item>
      </candidateList>
      <explain>文本全半角错误。</explain>
      <paraID>461AE72E</paraID>
      <start>128</start>
      <end>129</end>
      <status>unmodified</status>
      <modifiedWord/>
      <trackRevisions>false</trackRevisions>
    </reviewItem>
    <reviewItem>
      <errorID>3ebe0bc5-863f-4718-8ea4-5464cb4d2f28</errorID>
      <errorWord>四好农村路</errorWord>
      <group>L1_Political</group>
      <groupName>政治性问题</groupName>
      <ability>L2_Keyword</ability>
      <abilityName>固定表述</abilityName>
      <candidateList>
        <item>‘四好农村路’</item>
      </candidateList>
      <explain>注意检查当前固定表述标点是否使用规范。</explain>
      <paraID>2777E25E</paraID>
      <start>244</start>
      <end>249</end>
      <status>unmodified</status>
      <modifiedWord/>
      <trackRevisions>false</trackRevisions>
    </reviewItem>
    <reviewItem>
      <errorID>a66b4e08-b01c-4bb0-8685-cf7874862574</errorID>
      <errorWord>长江经济带的战略</errorWord>
      <group>L1_Political</group>
      <groupName>政治性问题</groupName>
      <ability>L2_Keyword</ability>
      <abilityName>固定表述</abilityName>
      <candidateList>
        <item>长江经济带发展战略</item>
      </candidateList>
      <explain>词汇“长江经济带发展战略”在特定场景下为固定表述形式，请确认此处的“长江经济带的战略”是否存在不当。</explain>
      <paraID>4CF9B11E</paraID>
      <start>144</start>
      <end>152</end>
      <status>unmodified</status>
      <modifiedWord/>
      <trackRevisions>false</trackRevisions>
    </reviewItem>
    <reviewItem>
      <errorID>e31bc072-27a7-4520-9ce6-2c7bedf9437c</errorID>
      <errorWord>期未</errorWord>
      <group>L1_Word</group>
      <groupName>字词问题</groupName>
      <ability>L2_Variant</ability>
      <abilityName>异形词</abilityName>
      <candidateList>
        <item>期末</item>
      </candidateList>
      <explain>词汇[期未]的规范词形写作[期末]。</explain>
      <paraID>5C1AEE3B</paraID>
      <start>8</start>
      <end>10</end>
      <status>unmodified</status>
      <modifiedWord/>
      <trackRevisions>false</trackRevisions>
    </reviewItem>
    <reviewItem>
      <errorID>78035df0-9434-48f3-9a8a-1f3d2117f8f9</errorID>
      <errorWord>期未</errorWord>
      <group>L1_Word</group>
      <groupName>字词问题</groupName>
      <ability>L2_Variant</ability>
      <abilityName>异形词</abilityName>
      <candidateList>
        <item>期末</item>
      </candidateList>
      <explain>词汇[期未]的规范词形写作[期末]。</explain>
      <paraID>2E01A114</paraID>
      <start>8</start>
      <end>10</end>
      <status>unmodified</status>
      <modifiedWord/>
      <trackRevisions>false</trackRevisions>
    </reviewItem>
    <reviewItem>
      <errorID>cbbb9b15-ed27-4e28-8240-430b7728f8c0</errorID>
      <errorWord>(</errorWord>
      <group>L1_Format</group>
      <groupName>格式问题</groupName>
      <ability>L2_HalfPunc_CN</ability>
      <abilityName>全半角问题</abilityName>
      <candidateList>
        <item>（</item>
      </candidateList>
      <explain>文本全半角错误。</explain>
      <paraID>2E01A114</paraID>
      <start>54</start>
      <end>55</end>
      <status>unmodified</status>
      <modifiedWord/>
      <trackRevisions>false</trackRevisions>
    </reviewItem>
    <reviewItem>
      <errorID>fcff4b9e-b4a6-45b3-a85e-cb216c3b9477</errorID>
      <errorWord>)</errorWord>
      <group>L1_Format</group>
      <groupName>格式问题</groupName>
      <ability>L2_HalfPunc_CN</ability>
      <abilityName>全半角问题</abilityName>
      <candidateList>
        <item>）</item>
      </candidateList>
      <explain>文本全半角错误。</explain>
      <paraID>2E01A114</paraID>
      <start>57</start>
      <end>58</end>
      <status>unmodified</status>
      <modifiedWord/>
      <trackRevisions>false</trackRevisions>
    </reviewItem>
    <reviewItem>
      <errorID>97f59fc1-5a1b-4935-9143-c2f0a6e48cf5</errorID>
      <errorWord>四好农村路</errorWord>
      <group>L1_Political</group>
      <groupName>政治性问题</groupName>
      <ability>L2_Keyword</ability>
      <abilityName>固定表述</abilityName>
      <candidateList>
        <item>‘四好农村路’</item>
      </candidateList>
      <explain>注意检查当前固定表述标点是否使用规范。</explain>
      <paraID> 23D7666</paraID>
      <start>97</start>
      <end>102</end>
      <status>unmodified</status>
      <modifiedWord/>
      <trackRevisions>false</trackRevisions>
    </reviewItem>
    <reviewItem>
      <errorID>b9766343-355f-4ef3-8860-4f09b20d006e</errorID>
      <errorWord>期未</errorWord>
      <group>L1_Word</group>
      <groupName>字词问题</groupName>
      <ability>L2_Variant</ability>
      <abilityName>异形词</abilityName>
      <candidateList>
        <item>期末</item>
      </candidateList>
      <explain>词汇[期未]的规范词形写作[期末]。</explain>
      <paraID>29C298B3</paraID>
      <start>10</start>
      <end>12</end>
      <status>unmodified</status>
      <modifiedWord/>
      <trackRevisions>false</trackRevisions>
    </reviewItem>
    <reviewItem>
      <errorID>b256d484-8eb2-420a-9b37-ccfe23e2a2d1</errorID>
      <errorWord>(</errorWord>
      <group>L1_Format</group>
      <groupName>格式问题</groupName>
      <ability>L2_HalfPunc_CN</ability>
      <abilityName>全半角问题</abilityName>
      <candidateList>
        <item>（</item>
      </candidateList>
      <explain>文本全半角错误。</explain>
      <paraID>6E3326ED</paraID>
      <start>172</start>
      <end>173</end>
      <status>unmodified</status>
      <modifiedWord/>
      <trackRevisions>false</trackRevisions>
    </reviewItem>
    <reviewItem>
      <errorID>2caacef3-2738-46e4-8aba-ae6b5457908a</errorID>
      <errorWord>)</errorWord>
      <group>L1_Format</group>
      <groupName>格式问题</groupName>
      <ability>L2_HalfPunc_CN</ability>
      <abilityName>全半角问题</abilityName>
      <candidateList>
        <item>）</item>
      </candidateList>
      <explain>文本全半角错误。</explain>
      <paraID>6E3326ED</paraID>
      <start>175</start>
      <end>176</end>
      <status>unmodified</status>
      <modifiedWord/>
      <trackRevisions>false</trackRevisions>
    </reviewItem>
    <reviewItem>
      <errorID>3bd534e1-327f-42ed-a31a-d778cc1b4b7b</errorID>
      <errorWord>(</errorWord>
      <group>L1_Format</group>
      <groupName>格式问题</groupName>
      <ability>L2_HalfPunc_CN</ability>
      <abilityName>全半角问题</abilityName>
      <candidateList>
        <item>（</item>
      </candidateList>
      <explain>文本全半角错误。</explain>
      <paraID>25977DCF</paraID>
      <start>179</start>
      <end>180</end>
      <status>unmodified</status>
      <modifiedWord/>
      <trackRevisions>false</trackRevisions>
    </reviewItem>
    <reviewItem>
      <errorID>ffe150b6-9893-4eb1-a309-17c1bc2e894f</errorID>
      <errorWord>)</errorWord>
      <group>L1_Format</group>
      <groupName>格式问题</groupName>
      <ability>L2_HalfPunc_CN</ability>
      <abilityName>全半角问题</abilityName>
      <candidateList>
        <item>）</item>
      </candidateList>
      <explain>文本全半角错误。</explain>
      <paraID>25977DCF</paraID>
      <start>182</start>
      <end>183</end>
      <status>unmodified</status>
      <modifiedWord/>
      <trackRevisions>false</trackRevisions>
    </reviewItem>
    <reviewItem>
      <errorID>5fecda7e-1098-43fc-99c6-65b6d2f88ab7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2F732060</paraID>
      <start>118</start>
      <end>121</end>
      <status>unmodified</status>
      <modifiedWord/>
      <trackRevisions>false</trackRevisions>
    </reviewItem>
    <reviewItem>
      <errorID>41bfa7de-2587-4ac2-b4dd-80a6ef12fd14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2F732060</paraID>
      <start>129</start>
      <end>132</end>
      <status>unmodified</status>
      <modifiedWord/>
      <trackRevisions>false</trackRevisions>
    </reviewItem>
    <reviewItem>
      <errorID>5f29615e-769f-4843-8472-4949341c2fca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2F732060</paraID>
      <start>145</start>
      <end>148</end>
      <status>unmodified</status>
      <modifiedWord/>
      <trackRevisions>false</trackRevisions>
    </reviewItem>
    <reviewItem>
      <errorID>d86a9575-778a-458d-92da-b803b7996eba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2F732060</paraID>
      <start>158</start>
      <end>161</end>
      <status>unmodified</status>
      <modifiedWord/>
      <trackRevisions>false</trackRevisions>
    </reviewItem>
    <reviewItem>
      <errorID>e203cbe4-13ee-4ea4-8fa3-ea487bfd4d16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2F732060</paraID>
      <start>168</start>
      <end>171</end>
      <status>unmodified</status>
      <modifiedWord/>
      <trackRevisions>false</trackRevisions>
    </reviewItem>
    <reviewItem>
      <errorID>2c0ee91b-fd08-4ae0-87fd-69090a647f3d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2F732060</paraID>
      <start>179</start>
      <end>182</end>
      <status>unmodified</status>
      <modifiedWord/>
      <trackRevisions>false</trackRevisions>
    </reviewItem>
    <reviewItem>
      <errorID>eb408097-80d0-4acd-8716-4a8e64285c60</errorID>
      <errorWord>二O三五</errorWord>
      <group>L1_Knowledge</group>
      <groupName>知识性问题</groupName>
      <ability>L2_Knowledge</ability>
      <abilityName>其他知识</abilityName>
      <candidateList>
        <item>二〇三五</item>
      </candidateList>
      <explain>中文数字应使用“〇”，而非形似的字符，如“O”。该字符在不同字体下外观可能相似，但含义和编码不同，请注意区分。</explain>
      <paraID>2F732060</paraID>
      <start>249</start>
      <end>253</end>
      <status>unmodified</status>
      <modifiedWord/>
      <trackRevisions>false</trackRevisions>
    </reviewItem>
    <reviewItem>
      <errorID>bb1769c1-01c8-4c5a-9b9b-85f15e7f9d5f</errorID>
      <errorWord>&lt;</errorWord>
      <group>L1_Format</group>
      <groupName>格式问题</groupName>
      <ability>L2_HalfPunc_CN</ability>
      <abilityName>全半角问题</abilityName>
      <candidateList>
        <item>〈</item>
      </candidateList>
      <explain>文本全半角错误。</explain>
      <paraID>2F732060</paraID>
      <start>284</start>
      <end>285</end>
      <status>unmodified</status>
      <modifiedWord/>
      <trackRevisions>false</trackRevisions>
    </reviewItem>
    <reviewItem>
      <errorID>e7130878-8de8-45bd-bfab-d583bc687255</errorID>
      <errorWord>&gt;</errorWord>
      <group>L1_Format</group>
      <groupName>格式问题</groupName>
      <ability>L2_HalfPunc_CN</ability>
      <abilityName>全半角问题</abilityName>
      <candidateList>
        <item>〉</item>
      </candidateList>
      <explain>文本全半角错误。</explain>
      <paraID>2F732060</paraID>
      <start>293</start>
      <end>294</end>
      <status>unmodified</status>
      <modifiedWord/>
      <trackRevisions>false</trackRevisions>
    </reviewItem>
    <reviewItem>
      <errorID>3b2bc1c9-8c70-4a48-809e-15ef0b3a8ed6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2F732060</paraID>
      <start>299</start>
      <end>302</end>
      <status>unmodified</status>
      <modifiedWord/>
      <trackRevisions>false</trackRevisions>
    </reviewItem>
    <reviewItem>
      <errorID>833b51a9-9b9b-4f51-9d49-0d9b9f27a1b2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3922785A</paraID>
      <start>22</start>
      <end>25</end>
      <status>unmodified</status>
      <modifiedWord/>
      <trackRevisions>false</trackRevisions>
    </reviewItem>
    <reviewItem>
      <errorID>7745ed8b-2cd5-4963-8232-64148552cb3c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3922785A</paraID>
      <start>43</start>
      <end>46</end>
      <status>unmodified</status>
      <modifiedWord/>
      <trackRevisions>false</trackRevisions>
    </reviewItem>
    <reviewItem>
      <errorID>224ef35e-b44b-4e96-abda-d24bc0dfa85a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3922785A</paraID>
      <start>62</start>
      <end>65</end>
      <status>unmodified</status>
      <modifiedWord/>
      <trackRevisions>false</trackRevisions>
    </reviewItem>
    <reviewItem>
      <errorID>44d69b9e-bbeb-4743-8726-1223c8c6a21c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3922785A</paraID>
      <start>80</start>
      <end>83</end>
      <status>unmodified</status>
      <modifiedWord/>
      <trackRevisions>false</trackRevisions>
    </reviewItem>
    <reviewItem>
      <errorID>9f1b5d0d-9d52-43bf-b3ab-791ce849e2cc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3922785A</paraID>
      <start>97</start>
      <end>100</end>
      <status>unmodified</status>
      <modifiedWord/>
      <trackRevisions>false</trackRevisions>
    </reviewItem>
    <reviewItem>
      <errorID>79d612ad-ed94-4e6d-bcd6-1f7b5597cf7f</errorID>
      <errorWord>二O三五</errorWord>
      <group>L1_Knowledge</group>
      <groupName>知识性问题</groupName>
      <ability>L2_Knowledge</ability>
      <abilityName>其他知识</abilityName>
      <candidateList>
        <item>二〇三五</item>
      </candidateList>
      <explain>中文数字应使用“〇”，而非形似的字符，如“O”。该字符在不同字体下外观可能相似，但含义和编码不同，请注意区分。</explain>
      <paraID>3922785A</paraID>
      <start>227</start>
      <end>231</end>
      <status>unmodified</status>
      <modifiedWord/>
      <trackRevisions>false</trackRevisions>
    </reviewItem>
    <reviewItem>
      <errorID>679f3465-8d58-4b0e-b06c-b49a484385ec</errorID>
      <errorWord>十四五”规划</errorWord>
      <group>L1_Political</group>
      <groupName>政治性问题</groupName>
      <ability>L2_Keyword</ability>
      <abilityName>固定表述</abilityName>
      <candidateList>
        <item>“十四五”规划</item>
      </candidateList>
      <explain>注意检查当前固定表述标点是否使用规范。</explain>
      <paraID>3922785A</paraID>
      <start>294</start>
      <end>300</end>
      <status>unmodified</status>
      <modifiedWord/>
      <trackRevisions>false</trackRevisions>
    </reviewItem>
    <reviewItem>
      <errorID>c64bf35b-1e83-44a7-9fc2-f2ad1b984f42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3922785A</paraID>
      <start>300</start>
      <end>303</end>
      <status>unmodified</status>
      <modifiedWord/>
      <trackRevisions>false</trackRevisions>
    </reviewItem>
    <reviewItem>
      <errorID>52da32a3-5fd6-4a7a-b911-b738c06b4935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3922785A</paraID>
      <start>323</start>
      <end>326</end>
      <status>unmodified</status>
      <modifiedWord/>
      <trackRevisions>false</trackRevisions>
    </reviewItem>
    <reviewItem>
      <errorID>9221c274-9100-4aae-9876-9538b4062853</errorID>
      <errorWord>十四五”规划</errorWord>
      <group>L1_Political</group>
      <groupName>政治性问题</groupName>
      <ability>L2_Keyword</ability>
      <abilityName>固定表述</abilityName>
      <candidateList>
        <item>“十四五”规划</item>
      </candidateList>
      <explain>注意检查当前固定表述标点是否使用规范。</explain>
      <paraID>3922785A</paraID>
      <start>336</start>
      <end>342</end>
      <status>unmodified</status>
      <modifiedWord/>
      <trackRevisions>false</trackRevisions>
    </reviewItem>
    <reviewItem>
      <errorID>8d3fec51-c354-41f8-9dd4-e157a4b65343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1289951E</paraID>
      <start>33</start>
      <end>36</end>
      <status>unmodified</status>
      <modifiedWord/>
      <trackRevisions>false</trackRevisions>
    </reviewItem>
    <reviewItem>
      <errorID>73bc797c-bb84-4f0c-92c7-53ab19835696</errorID>
      <errorWord>实施</errorWord>
      <group>L1_Word</group>
      <groupName>字词问题</groupName>
      <ability>L2_Typo</ability>
      <abilityName>字词错误</abilityName>
      <candidateList>
        <item>实时</item>
      </candidateList>
      <explain/>
      <paraID>1289951E</paraID>
      <start>164</start>
      <end>166</end>
      <status>unmodified</status>
      <modifiedWord/>
      <trackRevisions>false</trackRevisions>
    </reviewItem>
    <reviewItem>
      <errorID>0e68e60a-f684-4242-afdd-4d50e47de8fd</errorID>
      <errorWord>机机</errorWord>
      <group>L1_Word</group>
      <groupName>字词问题</groupName>
      <ability>L2_Typo</ability>
      <abilityName>字词错误</abilityName>
      <candidateList>
        <item>机</item>
      </candidateList>
      <explain/>
      <paraID>1FA567F6</paraID>
      <start>30</start>
      <end>32</end>
      <status>unmodified</status>
      <modifiedWord/>
      <trackRevisions>false</trackRevisions>
    </reviewItem>
    <reviewItem>
      <errorID>771b97b2-5783-41ca-92e5-7f85d834fbac</errorID>
      <errorWord>资源的节约集约利用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词汇“资源节约集约利用”在特定场景下为固定表述形式，请确认此处的“资源的节约集约利用”是否存在不当。</explain>
      <paraID> 92631FD</paraID>
      <start>95</start>
      <end>104</end>
      <status>unmodified</status>
      <modifiedWord/>
      <trackRevisions>false</trackRevisions>
    </reviewItem>
    <reviewItem>
      <errorID>2e56e991-7935-4c27-8155-186ac9995962</errorID>
      <errorWord>生态红线</errorWord>
      <group>L1_Political</group>
      <groupName>政治性问题</groupName>
      <ability>L2_Unpolitical</ability>
      <abilityName>政治敏感错误</abilityName>
      <candidateList>
        <item>生态保护红线</item>
      </candidateList>
      <explain/>
      <paraID> 92631FD</paraID>
      <start>107</start>
      <end>111</end>
      <status>unmodified</status>
      <modifiedWord/>
      <trackRevisions>false</trackRevisions>
    </reviewItem>
    <reviewItem>
      <errorID>60395a9d-da61-4926-b866-61c2d65daccb</errorID>
      <errorWord>十三五</errorWord>
      <group>L1_Political</group>
      <groupName>政治性问题</groupName>
      <ability>L2_Keyword</ability>
      <abilityName>固定表述</abilityName>
      <candidateList>
        <item>‘十三五’</item>
      </candidateList>
      <explain>注意检查当前固定表述标点是否使用规范。</explain>
      <paraID>5B04945A</paraID>
      <start>5</start>
      <end>8</end>
      <status>unmodified</status>
      <modifiedWord/>
      <trackRevisions>false</trackRevisions>
    </reviewItem>
    <reviewItem>
      <errorID>049bc39d-c54b-4200-826d-2fc40601bf07</errorID>
      <errorWord>&gt;</errorWord>
      <group>L1_Format</group>
      <groupName>格式问题</groupName>
      <ability>L2_HalfPunc_CN</ability>
      <abilityName>全半角问题</abilityName>
      <candidateList>
        <item>〉</item>
      </candidateList>
      <explain>文本全半角错误。</explain>
      <paraID>5B04945A</paraID>
      <start>25</start>
      <end>26</end>
      <status>unmodified</status>
      <modifiedWord/>
      <trackRevisions>false</trackRevisions>
    </reviewItem>
    <reviewItem>
      <errorID>4989e657-add8-42e5-8d88-b861f87c1db1</errorID>
      <errorWord>(</errorWord>
      <group>L1_Format</group>
      <groupName>格式问题</groupName>
      <ability>L2_HalfPunc_CN</ability>
      <abilityName>全半角问题</abilityName>
      <candidateList>
        <item>（</item>
      </candidateList>
      <explain>文本全半角错误。</explain>
      <paraID>692DF4AF</paraID>
      <start>2</start>
      <end>3</end>
      <status>unmodified</status>
      <modifiedWord/>
      <trackRevisions>false</trackRevisions>
    </reviewItem>
    <reviewItem>
      <errorID>ec655b62-7fd2-4a2b-992d-f205cd385270</errorID>
      <errorWord>)</errorWord>
      <group>L1_Format</group>
      <groupName>格式问题</groupName>
      <ability>L2_HalfPunc_CN</ability>
      <abilityName>全半角问题</abilityName>
      <candidateList>
        <item>）</item>
      </candidateList>
      <explain>文本全半角错误。</explain>
      <paraID>692DF4AF</paraID>
      <start>6</start>
      <end>7</end>
      <status>unmodified</status>
      <modifiedWord/>
      <trackRevisions>false</trackRevisions>
    </reviewItem>
    <reviewItem>
      <errorID>5eb300fc-9858-4f6e-a328-10417a96606a</errorID>
      <errorWord>(</errorWord>
      <group>L1_Format</group>
      <groupName>格式问题</groupName>
      <ability>L2_HalfPunc_CN</ability>
      <abilityName>全半角问题</abilityName>
      <candidateList>
        <item>（</item>
      </candidateList>
      <explain>文本全半角错误。</explain>
      <paraID>530B54EE</paraID>
      <start>2</start>
      <end>3</end>
      <status>unmodified</status>
      <modifiedWord/>
      <trackRevisions>false</trackRevisions>
    </reviewItem>
    <reviewItem>
      <errorID>49786779-16b4-4416-b079-76ad061fdf42</errorID>
      <errorWord>)</errorWord>
      <group>L1_Format</group>
      <groupName>格式问题</groupName>
      <ability>L2_HalfPunc_CN</ability>
      <abilityName>全半角问题</abilityName>
      <candidateList>
        <item>）</item>
      </candidateList>
      <explain>文本全半角错误。</explain>
      <paraID>530B54EE</paraID>
      <start>6</start>
      <end>7</end>
      <status>unmodified</status>
      <modifiedWord/>
      <trackRevisions>false</trackRevisions>
    </reviewItem>
    <reviewItem>
      <errorID>148008a2-3b42-44fa-ba5c-e65de5b788f3</errorID>
      <errorWord>(</errorWord>
      <group>L1_Format</group>
      <groupName>格式问题</groupName>
      <ability>L2_HalfPunc_CN</ability>
      <abilityName>全半角问题</abilityName>
      <candidateList>
        <item>（</item>
      </candidateList>
      <explain>文本全半角错误。</explain>
      <paraID>183F49B3</paraID>
      <start>4</start>
      <end>5</end>
      <status>unmodified</status>
      <modifiedWord/>
      <trackRevisions>false</trackRevisions>
    </reviewItem>
    <reviewItem>
      <errorID>fd6c980e-e485-49fb-8295-b62913fba877</errorID>
      <errorWord>)</errorWord>
      <group>L1_Format</group>
      <groupName>格式问题</groupName>
      <ability>L2_HalfPunc_CN</ability>
      <abilityName>全半角问题</abilityName>
      <candidateList>
        <item>）</item>
      </candidateList>
      <explain>文本全半角错误。</explain>
      <paraID>183F49B3</paraID>
      <start>8</start>
      <end>9</end>
      <status>unmodified</status>
      <modifiedWord/>
      <trackRevisions>false</trackRevisions>
    </reviewItem>
    <reviewItem>
      <errorID>e2cd766b-33e6-417d-a5e9-6652f987d015</errorID>
      <errorWord>&gt;</errorWord>
      <group>L1_Format</group>
      <groupName>格式问题</groupName>
      <ability>L2_HalfPunc_CN</ability>
      <abilityName>全半角问题</abilityName>
      <candidateList>
        <item>〉</item>
      </candidateList>
      <explain>文本全半角错误。</explain>
      <paraID>5C02329B</paraID>
      <start>18</start>
      <end>19</end>
      <status>unmodified</status>
      <modifiedWord/>
      <trackRevisions>false</trackRevisions>
    </reviewItem>
    <reviewItem>
      <errorID>e9790759-0af2-48d4-abad-ba0ea13df948</errorID>
      <errorWord>(</errorWord>
      <group>L1_Format</group>
      <groupName>格式问题</groupName>
      <ability>L2_HalfPunc_CN</ability>
      <abilityName>全半角问题</abilityName>
      <candidateList>
        <item>（</item>
      </candidateList>
      <explain>文本全半角错误。</explain>
      <paraID>55B572FC</paraID>
      <start>4</start>
      <end>5</end>
      <status>unmodified</status>
      <modifiedWord/>
      <trackRevisions>false</trackRevisions>
    </reviewItem>
    <reviewItem>
      <errorID>8f09265b-a965-4f62-8333-ca2f8ed2f068</errorID>
      <errorWord>)</errorWord>
      <group>L1_Format</group>
      <groupName>格式问题</groupName>
      <ability>L2_HalfPunc_CN</ability>
      <abilityName>全半角问题</abilityName>
      <candidateList>
        <item>）</item>
      </candidateList>
      <explain>文本全半角错误。</explain>
      <paraID>55B572FC</paraID>
      <start>8</start>
      <end>9</end>
      <status>unmodified</status>
      <modifiedWord/>
      <trackRevisions>false</trackRevisions>
    </reviewItem>
    <reviewItem>
      <errorID>04da3069-6a1d-4f07-b129-ebbb1f9d352b</errorID>
      <errorWord>&gt;</errorWord>
      <group>L1_Format</group>
      <groupName>格式问题</groupName>
      <ability>L2_HalfPunc_CN</ability>
      <abilityName>全半角问题</abilityName>
      <candidateList>
        <item>〉</item>
      </candidateList>
      <explain>文本全半角错误。</explain>
      <paraID>39848E3B</paraID>
      <start>24</start>
      <end>25</end>
      <status>unmodified</status>
      <modifiedWord/>
      <trackRevisions>false</trackRevisions>
    </reviewItem>
    <reviewItem>
      <errorID>5ca2fc6b-5d94-4f5d-8cb3-3f30a76c9325</errorID>
      <errorWord>(</errorWord>
      <group>L1_Format</group>
      <groupName>格式问题</groupName>
      <ability>L2_HalfPunc_CN</ability>
      <abilityName>全半角问题</abilityName>
      <candidateList>
        <item>（</item>
      </candidateList>
      <explain>文本全半角错误。</explain>
      <paraID>10141C51</paraID>
      <start>5</start>
      <end>6</end>
      <status>unmodified</status>
      <modifiedWord/>
      <trackRevisions>false</trackRevisions>
    </reviewItem>
    <reviewItem>
      <errorID>fc831c5a-114d-466a-954e-eade8b03ee63</errorID>
      <errorWord>)</errorWord>
      <group>L1_Format</group>
      <groupName>格式问题</groupName>
      <ability>L2_HalfPunc_CN</ability>
      <abilityName>全半角问题</abilityName>
      <candidateList>
        <item>）</item>
      </candidateList>
      <explain>文本全半角错误。</explain>
      <paraID>10141C51</paraID>
      <start>9</start>
      <end>10</end>
      <status>unmodified</status>
      <modifiedWord/>
      <trackRevisions>false</trackRevisions>
    </reviewItem>
    <reviewItem>
      <errorID>c15bf9c3-1a39-4e57-8935-ba1feec5709d</errorID>
      <errorWord>(</errorWord>
      <group>L1_Format</group>
      <groupName>格式问题</groupName>
      <ability>L2_HalfPunc_CN</ability>
      <abilityName>全半角问题</abilityName>
      <candidateList>
        <item>（</item>
      </candidateList>
      <explain>文本全半角错误。</explain>
      <paraID>554E7359</paraID>
      <start>4</start>
      <end>5</end>
      <status>unmodified</status>
      <modifiedWord/>
      <trackRevisions>false</trackRevisions>
    </reviewItem>
    <reviewItem>
      <errorID>6c6a055c-f025-4ab3-98bf-79d54252dabe</errorID>
      <errorWord>)</errorWord>
      <group>L1_Format</group>
      <groupName>格式问题</groupName>
      <ability>L2_HalfPunc_CN</ability>
      <abilityName>全半角问题</abilityName>
      <candidateList>
        <item>）</item>
      </candidateList>
      <explain>文本全半角错误。</explain>
      <paraID>554E7359</paraID>
      <start>8</start>
      <end>9</end>
      <status>unmodified</status>
      <modifiedWord/>
      <trackRevisions>false</trackRevisions>
    </reviewItem>
    <reviewItem>
      <errorID>13dbb5c8-05c5-4da8-902b-5561d0d2dd39</errorID>
      <errorWord>(</errorWord>
      <group>L1_Format</group>
      <groupName>格式问题</groupName>
      <ability>L2_HalfPunc_CN</ability>
      <abilityName>全半角问题</abilityName>
      <candidateList>
        <item>（</item>
      </candidateList>
      <explain>文本全半角错误。</explain>
      <paraID>447886D9</paraID>
      <start>4</start>
      <end>5</end>
      <status>unmodified</status>
      <modifiedWord/>
      <trackRevisions>false</trackRevisions>
    </reviewItem>
    <reviewItem>
      <errorID>a9d00059-16f6-4e63-b418-1cc652289877</errorID>
      <errorWord>)</errorWord>
      <group>L1_Format</group>
      <groupName>格式问题</groupName>
      <ability>L2_HalfPunc_CN</ability>
      <abilityName>全半角问题</abilityName>
      <candidateList>
        <item>）</item>
      </candidateList>
      <explain>文本全半角错误。</explain>
      <paraID>447886D9</paraID>
      <start>7</start>
      <end>8</end>
      <status>unmodified</status>
      <modifiedWord/>
      <trackRevisions>false</trackRevisions>
    </reviewItem>
    <reviewItem>
      <errorID>2ca4d972-70af-4210-841f-0f4ef4b8aa52</errorID>
      <errorWord>(</errorWord>
      <group>L1_Format</group>
      <groupName>格式问题</groupName>
      <ability>L2_HalfPunc_CN</ability>
      <abilityName>全半角问题</abilityName>
      <candidateList>
        <item>（</item>
      </candidateList>
      <explain>文本全半角错误。</explain>
      <paraID>379D4E65</paraID>
      <start>6</start>
      <end>7</end>
      <status>unmodified</status>
      <modifiedWord/>
      <trackRevisions>false</trackRevisions>
    </reviewItem>
    <reviewItem>
      <errorID>2097f176-4059-4cdc-bc33-fefd4e83a4fd</errorID>
      <errorWord>)</errorWord>
      <group>L1_Format</group>
      <groupName>格式问题</groupName>
      <ability>L2_HalfPunc_CN</ability>
      <abilityName>全半角问题</abilityName>
      <candidateList>
        <item>）</item>
      </candidateList>
      <explain>文本全半角错误。</explain>
      <paraID>379D4E65</paraID>
      <start>10</start>
      <end>11</end>
      <status>unmodified</status>
      <modifiedWord/>
      <trackRevisions>false</trackRevisions>
    </reviewItem>
    <reviewItem>
      <errorID>e9cf4380-300b-4115-8d19-8ed1d38d999d</errorID>
      <errorWord>(</errorWord>
      <group>L1_Format</group>
      <groupName>格式问题</groupName>
      <ability>L2_HalfPunc_CN</ability>
      <abilityName>全半角问题</abilityName>
      <candidateList>
        <item>（</item>
      </candidateList>
      <explain>文本全半角错误。</explain>
      <paraID>294D1F51</paraID>
      <start>5</start>
      <end>6</end>
      <status>unmodified</status>
      <modifiedWord/>
      <trackRevisions>false</trackRevisions>
    </reviewItem>
    <reviewItem>
      <errorID>474f6c13-6f40-4b38-9cef-27e3e3662b7a</errorID>
      <errorWord>)</errorWord>
      <group>L1_Format</group>
      <groupName>格式问题</groupName>
      <ability>L2_HalfPunc_CN</ability>
      <abilityName>全半角问题</abilityName>
      <candidateList>
        <item>）</item>
      </candidateList>
      <explain>文本全半角错误。</explain>
      <paraID>294D1F51</paraID>
      <start>8</start>
      <end>9</end>
      <status>unmodified</status>
      <modifiedWord/>
      <trackRevisions>false</trackRevisions>
    </reviewItem>
    <reviewItem>
      <errorID>a7b7cda8-4f5e-45b0-a64e-8e670d98362f</errorID>
      <errorWord>&gt;</errorWord>
      <group>L1_Format</group>
      <groupName>格式问题</groupName>
      <ability>L2_HalfPunc_CN</ability>
      <abilityName>全半角问题</abilityName>
      <candidateList>
        <item>〉</item>
      </candidateList>
      <explain>文本全半角错误。</explain>
      <paraID>1FB7B2A5</paraID>
      <start>18</start>
      <end>19</end>
      <status>unmodified</status>
      <modifiedWord/>
      <trackRevisions>false</trackRevisions>
    </reviewItem>
    <reviewItem>
      <errorID>b3867371-aa62-4962-8190-26a945be0a5a</errorID>
      <errorWord>-</errorWord>
      <group>L1_Format</group>
      <groupName>格式问题</groupName>
      <ability>L2_HalfPunc_CN</ability>
      <abilityName>全半角问题</abilityName>
      <candidateList>
        <item>－</item>
      </candidateList>
      <explain>文本全半角错误。</explain>
      <paraID>3E3BFDD4</paraID>
      <start>2</start>
      <end>3</end>
      <status>unmodified</status>
      <modifiedWord/>
      <trackRevisions>false</trackRevisions>
    </reviewItem>
    <reviewItem>
      <errorID>bc536c0a-a36b-4ee1-83eb-31901566e9b3</errorID>
      <errorWord>&gt;</errorWord>
      <group>L1_Format</group>
      <groupName>格式问题</groupName>
      <ability>L2_HalfPunc_CN</ability>
      <abilityName>全半角问题</abilityName>
      <candidateList>
        <item>〉</item>
      </candidateList>
      <explain>文本全半角错误。</explain>
      <paraID>17F015F6</paraID>
      <start>21</start>
      <end>22</end>
      <status>unmodified</status>
      <modifiedWord/>
      <trackRevisions>false</trackRevisions>
    </reviewItem>
    <reviewItem>
      <errorID>1c50521f-7343-489a-8e19-e0ae7de36e0c</errorID>
      <errorWord>&gt;</errorWord>
      <group>L1_Format</group>
      <groupName>格式问题</groupName>
      <ability>L2_HalfPunc_CN</ability>
      <abilityName>全半角问题</abilityName>
      <candidateList>
        <item>〉</item>
      </candidateList>
      <explain>文本全半角错误。</explain>
      <paraID>66B118AF</paraID>
      <start>12</start>
      <end>13</end>
      <status>unmodified</status>
      <modifiedWord/>
      <trackRevisions>false</trackRevisions>
    </reviewItem>
    <reviewItem>
      <errorID>7bf02f45-cfcc-44db-a2a0-6c7fed9010e4</errorID>
      <errorWord>(</errorWord>
      <group>L1_Format</group>
      <groupName>格式问题</groupName>
      <ability>L2_HalfPunc_CN</ability>
      <abilityName>全半角问题</abilityName>
      <candidateList>
        <item>（</item>
      </candidateList>
      <explain>文本全半角错误。</explain>
      <paraID>12898C7A</paraID>
      <start>4</start>
      <end>5</end>
      <status>unmodified</status>
      <modifiedWord/>
      <trackRevisions>false</trackRevisions>
    </reviewItem>
    <reviewItem>
      <errorID>e8631468-b50f-4a5e-86f2-8d26cf9129e2</errorID>
      <errorWord>)</errorWord>
      <group>L1_Format</group>
      <groupName>格式问题</groupName>
      <ability>L2_HalfPunc_CN</ability>
      <abilityName>全半角问题</abilityName>
      <candidateList>
        <item>）</item>
      </candidateList>
      <explain>文本全半角错误。</explain>
      <paraID>12898C7A</paraID>
      <start>8</start>
      <end>9</end>
      <status>unmodified</status>
      <modifiedWord/>
      <trackRevisions>false</trackRevisions>
    </reviewItem>
    <reviewItem>
      <errorID>ae2995f1-ff65-42f1-bc0a-849096f2f79d</errorID>
      <errorWord>(</errorWord>
      <group>L1_Format</group>
      <groupName>格式问题</groupName>
      <ability>L2_HalfPunc_CN</ability>
      <abilityName>全半角问题</abilityName>
      <candidateList>
        <item>（</item>
      </candidateList>
      <explain>文本全半角错误。</explain>
      <paraID>459354E2</paraID>
      <start>2</start>
      <end>3</end>
      <status>unmodified</status>
      <modifiedWord/>
      <trackRevisions>false</trackRevisions>
    </reviewItem>
    <reviewItem>
      <errorID>1983dc9f-5cbf-450a-a3c1-4503deb39968</errorID>
      <errorWord>)</errorWord>
      <group>L1_Format</group>
      <groupName>格式问题</groupName>
      <ability>L2_HalfPunc_CN</ability>
      <abilityName>全半角问题</abilityName>
      <candidateList>
        <item>）</item>
      </candidateList>
      <explain>文本全半角错误。</explain>
      <paraID>459354E2</paraID>
      <start>6</start>
      <end>7</end>
      <status>unmodified</status>
      <modifiedWord/>
      <trackRevisions>false</trackRevisions>
    </reviewItem>
    <reviewItem>
      <errorID>865800f3-d4b0-4a4f-bcac-5e2964eb6412</errorID>
      <errorWord>(</errorWord>
      <group>L1_Format</group>
      <groupName>格式问题</groupName>
      <ability>L2_HalfPunc_CN</ability>
      <abilityName>全半角问题</abilityName>
      <candidateList>
        <item>（</item>
      </candidateList>
      <explain>文本全半角错误。</explain>
      <paraID>33C2C585</paraID>
      <start>4</start>
      <end>5</end>
      <status>unmodified</status>
      <modifiedWord/>
      <trackRevisions>false</trackRevisions>
    </reviewItem>
    <reviewItem>
      <errorID>af257fa7-e8f1-4a20-b42a-b26d5395de1b</errorID>
      <errorWord>)</errorWord>
      <group>L1_Format</group>
      <groupName>格式问题</groupName>
      <ability>L2_HalfPunc_CN</ability>
      <abilityName>全半角问题</abilityName>
      <candidateList>
        <item>）</item>
      </candidateList>
      <explain>文本全半角错误。</explain>
      <paraID>33C2C585</paraID>
      <start>11</start>
      <end>12</end>
      <status>unmodified</status>
      <modifiedWord/>
      <trackRevisions>false</trackRevisions>
    </reviewItem>
    <reviewItem>
      <errorID>a2e289b9-4d81-4374-90c5-db551c0d5954</errorID>
      <errorWord>(</errorWord>
      <group>L1_Format</group>
      <groupName>格式问题</groupName>
      <ability>L2_HalfPunc_CN</ability>
      <abilityName>全半角问题</abilityName>
      <candidateList>
        <item>（</item>
      </candidateList>
      <explain>文本全半角错误。</explain>
      <paraID> 19EA1ED</paraID>
      <start>5</start>
      <end>6</end>
      <status>unmodified</status>
      <modifiedWord/>
      <trackRevisions>false</trackRevisions>
    </reviewItem>
    <reviewItem>
      <errorID>4db670cf-e535-44d9-9b7b-b887128af56a</errorID>
      <errorWord>)</errorWord>
      <group>L1_Format</group>
      <groupName>格式问题</groupName>
      <ability>L2_HalfPunc_CN</ability>
      <abilityName>全半角问题</abilityName>
      <candidateList>
        <item>）</item>
      </candidateList>
      <explain>文本全半角错误。</explain>
      <paraID> 19EA1ED</paraID>
      <start>9</start>
      <end>10</end>
      <status>unmodified</status>
      <modifiedWord/>
      <trackRevisions>false</trackRevisions>
    </reviewItem>
    <reviewItem>
      <errorID>3186b2e5-8dbf-450b-8121-68940d941eb6</errorID>
      <errorWord>(</errorWord>
      <group>L1_Format</group>
      <groupName>格式问题</groupName>
      <ability>L2_HalfPunc_CN</ability>
      <abilityName>全半角问题</abilityName>
      <candidateList>
        <item>（</item>
      </candidateList>
      <explain>文本全半角错误。</explain>
      <paraID>267C56EA</paraID>
      <start>2</start>
      <end>3</end>
      <status>unmodified</status>
      <modifiedWord/>
      <trackRevisions>false</trackRevisions>
    </reviewItem>
    <reviewItem>
      <errorID>0c73f546-4624-4278-b793-c06bce1b897f</errorID>
      <errorWord>)</errorWord>
      <group>L1_Format</group>
      <groupName>格式问题</groupName>
      <ability>L2_HalfPunc_CN</ability>
      <abilityName>全半角问题</abilityName>
      <candidateList>
        <item>）</item>
      </candidateList>
      <explain>文本全半角错误。</explain>
      <paraID>267C56EA</paraID>
      <start>6</start>
      <end>7</end>
      <status>unmodified</status>
      <modifiedWord/>
      <trackRevisions>false</trackRevisions>
    </reviewItem>
    <reviewItem>
      <errorID>91eb5500-022a-4554-bda6-68338951ab33</errorID>
      <errorWord>(</errorWord>
      <group>L1_Format</group>
      <groupName>格式问题</groupName>
      <ability>L2_HalfPunc_CN</ability>
      <abilityName>全半角问题</abilityName>
      <candidateList>
        <item>（</item>
      </candidateList>
      <explain>文本全半角错误。</explain>
      <paraID>3EFC3825</paraID>
      <start>2</start>
      <end>3</end>
      <status>unmodified</status>
      <modifiedWord/>
      <trackRevisions>false</trackRevisions>
    </reviewItem>
    <reviewItem>
      <errorID>7e8f73dd-4879-4d76-965a-5c1a8160f723</errorID>
      <errorWord>)</errorWord>
      <group>L1_Format</group>
      <groupName>格式问题</groupName>
      <ability>L2_HalfPunc_CN</ability>
      <abilityName>全半角问题</abilityName>
      <candidateList>
        <item>）</item>
      </candidateList>
      <explain>文本全半角错误。</explain>
      <paraID>3EFC3825</paraID>
      <start>8</start>
      <end>9</end>
      <status>unmodified</status>
      <modifiedWord/>
      <trackRevisions>false</trackRevisions>
    </reviewItem>
    <reviewItem>
      <errorID>b98fea32-9212-442d-a33c-a13ced0b740c</errorID>
      <errorWord>-</errorWord>
      <group>L1_Format</group>
      <groupName>格式问题</groupName>
      <ability>L2_HalfPunc_CN</ability>
      <abilityName>全半角问题</abilityName>
      <candidateList>
        <item>－</item>
      </candidateList>
      <explain>文本全半角错误。</explain>
      <paraID>7EDE43BF</paraID>
      <start>2</start>
      <end>3</end>
      <status>unmodified</status>
      <modifiedWord/>
      <trackRevisions>false</trackRevisions>
    </reviewItem>
    <reviewItem>
      <errorID>31a71262-4e32-48e9-b24f-3eed7e27785d</errorID>
      <errorWord>-</errorWord>
      <group>L1_Format</group>
      <groupName>格式问题</groupName>
      <ability>L2_HalfPunc_CN</ability>
      <abilityName>全半角问题</abilityName>
      <candidateList>
        <item>－</item>
      </candidateList>
      <explain>文本全半角错误。</explain>
      <paraID>3ED6B4B8</paraID>
      <start>2</start>
      <end>3</end>
      <status>unmodified</status>
      <modifiedWord/>
      <trackRevisions>false</trackRevisions>
    </reviewItem>
    <reviewItem>
      <errorID>0a706c94-43bb-4c4c-a179-d8cc1b73e0cc</errorID>
      <errorWord>(</errorWord>
      <group>L1_Format</group>
      <groupName>格式问题</groupName>
      <ability>L2_HalfPunc_CN</ability>
      <abilityName>全半角问题</abilityName>
      <candidateList>
        <item>（</item>
      </candidateList>
      <explain>文本全半角错误。</explain>
      <paraID>7865E379</paraID>
      <start>7</start>
      <end>8</end>
      <status>unmodified</status>
      <modifiedWord/>
      <trackRevisions>false</trackRevisions>
    </reviewItem>
    <reviewItem>
      <errorID>294eb887-a879-44e5-8ed4-c355c4a21463</errorID>
      <errorWord>)</errorWord>
      <group>L1_Format</group>
      <groupName>格式问题</groupName>
      <ability>L2_HalfPunc_CN</ability>
      <abilityName>全半角问题</abilityName>
      <candidateList>
        <item>）</item>
      </candidateList>
      <explain>文本全半角错误。</explain>
      <paraID>7865E379</paraID>
      <start>11</start>
      <end>12</end>
      <status>unmodified</status>
      <modifiedWord/>
      <trackRevisions>false</trackRevisions>
    </reviewItem>
    <reviewItem>
      <errorID>42b39201-8cf7-4b54-8dc8-5de46e6dc097</errorID>
      <errorWord>-</errorWord>
      <group>L1_Format</group>
      <groupName>格式问题</groupName>
      <ability>L2_HalfPunc_CN</ability>
      <abilityName>全半角问题</abilityName>
      <candidateList>
        <item>－</item>
      </candidateList>
      <explain>文本全半角错误。</explain>
      <paraID>2D8DB73A</paraID>
      <start>2</start>
      <end>3</end>
      <status>unmodified</status>
      <modifiedWord/>
      <trackRevisions>false</trackRevisions>
    </reviewItem>
    <reviewItem>
      <errorID>c8c16dba-0248-4e02-9cb8-596fef2c9d15</errorID>
      <errorWord>(</errorWord>
      <group>L1_Format</group>
      <groupName>格式问题</groupName>
      <ability>L2_HalfPunc_CN</ability>
      <abilityName>全半角问题</abilityName>
      <candidateList>
        <item>（</item>
      </candidateList>
      <explain>文本全半角错误。</explain>
      <paraID>4A89A044</paraID>
      <start>5</start>
      <end>6</end>
      <status>unmodified</status>
      <modifiedWord/>
      <trackRevisions>false</trackRevisions>
    </reviewItem>
    <reviewItem>
      <errorID>63b9f172-1756-48cf-bd32-ae82b017539e</errorID>
      <errorWord>)</errorWord>
      <group>L1_Format</group>
      <groupName>格式问题</groupName>
      <ability>L2_HalfPunc_CN</ability>
      <abilityName>全半角问题</abilityName>
      <candidateList>
        <item>）</item>
      </candidateList>
      <explain>文本全半角错误。</explain>
      <paraID>4A89A044</paraID>
      <start>9</start>
      <end>10</end>
      <status>unmodified</status>
      <modifiedWord/>
      <trackRevisions>false</trackRevisions>
    </reviewItem>
    <reviewItem>
      <errorID>c1d9e077-977e-4e7b-9dcf-6cd459fb2715</errorID>
      <errorWord>(</errorWord>
      <group>L1_Format</group>
      <groupName>格式问题</groupName>
      <ability>L2_HalfPunc_CN</ability>
      <abilityName>全半角问题</abilityName>
      <candidateList>
        <item>（</item>
      </candidateList>
      <explain>文本全半角错误。</explain>
      <paraID>46B8F72F</paraID>
      <start>4</start>
      <end>5</end>
      <status>unmodified</status>
      <modifiedWord/>
      <trackRevisions>false</trackRevisions>
    </reviewItem>
    <reviewItem>
      <errorID>f7d47f1f-e167-4887-934b-178ac31047c9</errorID>
      <errorWord>)</errorWord>
      <group>L1_Format</group>
      <groupName>格式问题</groupName>
      <ability>L2_HalfPunc_CN</ability>
      <abilityName>全半角问题</abilityName>
      <candidateList>
        <item>）</item>
      </candidateList>
      <explain>文本全半角错误。</explain>
      <paraID>46B8F72F</paraID>
      <start>8</start>
      <end>9</end>
      <status>unmodified</status>
      <modifiedWord/>
      <trackRevisions>false</trackRevisions>
    </reviewItem>
    <reviewItem>
      <errorID>50792c4a-75ca-4957-8404-fa910719b9e3</errorID>
      <errorWord>&gt;</errorWord>
      <group>L1_Format</group>
      <groupName>格式问题</groupName>
      <ability>L2_HalfPunc_CN</ability>
      <abilityName>全半角问题</abilityName>
      <candidateList>
        <item>〉</item>
      </candidateList>
      <explain>文本全半角错误。</explain>
      <paraID>7466C5AA</paraID>
      <start>18</start>
      <end>19</end>
      <status>unmodified</status>
      <modifiedWord/>
      <trackRevisions>false</trackRevisions>
    </reviewItem>
    <reviewItem>
      <errorID>c9467ffe-84b4-458f-923f-8899e8647130</errorID>
      <errorWord>服</errorWord>
      <group>L1_Word</group>
      <groupName>字词问题</groupName>
      <ability>L2_Typo</ability>
      <abilityName>字词错误</abilityName>
      <candidateList>
        <item>服务</item>
      </candidateList>
      <explain/>
      <paraID>18904134</paraID>
      <start>9</start>
      <end>10</end>
      <status>unmodified</status>
      <modifiedWord/>
      <trackRevisions>false</trackRevisions>
    </reviewItem>
    <reviewItem>
      <errorID>73789117-fb34-4ce6-9b36-b13be2b3ffdb</errorID>
      <errorWord>服</errorWord>
      <group>L1_Word</group>
      <groupName>字词问题</groupName>
      <ability>L2_Typo</ability>
      <abilityName>字词错误</abilityName>
      <candidateList>
        <item>服务</item>
      </candidateList>
      <explain/>
      <paraID>79198430</paraID>
      <start>9</start>
      <end>10</end>
      <status>unmodified</status>
      <modifiedWord/>
      <trackRevisions>false</trackRevisions>
    </reviewItem>
    <reviewItem>
      <errorID>9479ecf0-deb7-4aff-aa01-e25a2ea55374</errorID>
      <errorWord>服</errorWord>
      <group>L1_Word</group>
      <groupName>字词问题</groupName>
      <ability>L2_Typo</ability>
      <abilityName>字词错误</abilityName>
      <candidateList>
        <item>服务</item>
      </candidateList>
      <explain/>
      <paraID>6E93268F</paraID>
      <start>9</start>
      <end>10</end>
      <status>unmodified</status>
      <modifiedWord/>
      <trackRevisions>false</trackRevisions>
    </reviewItem>
    <reviewItem>
      <errorID>68d4f01a-c5c2-4047-9af2-3ab9563520a9</errorID>
      <errorWord>服</errorWord>
      <group>L1_Word</group>
      <groupName>字词问题</groupName>
      <ability>L2_Typo</ability>
      <abilityName>字词错误</abilityName>
      <candidateList>
        <item>服务</item>
      </candidateList>
      <explain/>
      <paraID>69C37BEE</paraID>
      <start>9</start>
      <end>10</end>
      <status>unmodified</status>
      <modifiedWord/>
      <trackRevisions>false</trackRevisions>
    </reviewItem>
    <reviewItem>
      <errorID>78753446-098c-45ba-adfe-46bca21ba644</errorID>
      <errorWord>服</errorWord>
      <group>L1_Word</group>
      <groupName>字词问题</groupName>
      <ability>L2_Typo</ability>
      <abilityName>字词错误</abilityName>
      <candidateList>
        <item>服务</item>
      </candidateList>
      <explain/>
      <paraID>41C14046</paraID>
      <start>9</start>
      <end>10</end>
      <status>unmodified</status>
      <modifiedWord/>
      <trackRevisions>false</trackRevisions>
    </reviewItem>
    <reviewItem>
      <errorID>c15a5de9-ac0e-43d7-901f-a5d0a57238b9</errorID>
      <errorWord>巳</errorWord>
      <group>L1_Word</group>
      <groupName>字词问题</groupName>
      <ability>L2_Typo</ability>
      <abilityName>字词错误</abilityName>
      <candidateList>
        <item>已</item>
      </candidateList>
      <explain/>
      <paraID>189B97D9</paraID>
      <start>4</start>
      <end>5</end>
      <status>unmodified</status>
      <modifiedWord/>
      <trackRevisions>false</trackRevisions>
    </reviewItem>
    <reviewItem>
      <errorID>ee12002a-89de-4e20-8541-9066ebe0e819</errorID>
      <errorWord>服</errorWord>
      <group>L1_Word</group>
      <groupName>字词问题</groupName>
      <ability>L2_Typo</ability>
      <abilityName>字词错误</abilityName>
      <candidateList>
        <item>服务</item>
      </candidateList>
      <explain/>
      <paraID>46109384</paraID>
      <start>9</start>
      <end>10</end>
      <status>unmodified</status>
      <modifiedWord/>
      <trackRevisions>false</trackRevisions>
    </reviewItem>
    <reviewItem>
      <errorID>71622f05-60db-4140-adbc-b1e54f339133</errorID>
      <errorWord>&gt;</errorWord>
      <group>L1_Format</group>
      <groupName>格式问题</groupName>
      <ability>L2_HalfPunc_CN</ability>
      <abilityName>全半角问题</abilityName>
      <candidateList>
        <item>〉</item>
      </candidateList>
      <explain>文本全半角错误。</explain>
      <paraID>192A896A</paraID>
      <start>16</start>
      <end>17</end>
      <status>unmodified</status>
      <modifiedWord/>
      <trackRevisions>false</trackRevisions>
    </reviewItem>
    <reviewItem>
      <errorID>a1932f76-24c6-4b37-b703-4bfc296b636f</errorID>
      <errorWord>十三五</errorWord>
      <group>L1_Political</group>
      <groupName>政治性问题</groupName>
      <ability>L2_Keyword</ability>
      <abilityName>固定表述</abilityName>
      <candidateList>
        <item>‘十三五’</item>
      </candidateList>
      <explain>注意检查当前固定表述标点是否使用规范。</explain>
      <paraID>3D8DE3F0</paraID>
      <start>5</start>
      <end>8</end>
      <status>unmodified</status>
      <modifiedWord/>
      <trackRevisions>false</trackRevisions>
    </reviewItem>
    <reviewItem>
      <errorID>5f47aab3-d3a2-4dbf-9d14-7abc0f4e642f</errorID>
      <errorWord>&gt;</errorWord>
      <group>L1_Format</group>
      <groupName>格式问题</groupName>
      <ability>L2_HalfPunc_CN</ability>
      <abilityName>全半角问题</abilityName>
      <candidateList>
        <item>〉</item>
      </candidateList>
      <explain>文本全半角错误。</explain>
      <paraID>3D8DE3F0</paraID>
      <start>24</start>
      <end>25</end>
      <status>unmodified</status>
      <modifiedWord/>
      <trackRevisions>false</trackRevisions>
    </reviewItem>
    <reviewItem>
      <errorID>0660f4df-58da-4396-a5c5-740560eb39aa</errorID>
      <errorWord>&gt;</errorWord>
      <group>L1_Format</group>
      <groupName>格式问题</groupName>
      <ability>L2_HalfPunc_CN</ability>
      <abilityName>全半角问题</abilityName>
      <candidateList>
        <item>〉</item>
      </candidateList>
      <explain>文本全半角错误。</explain>
      <paraID>7600FD40</paraID>
      <start>18</start>
      <end>19</end>
      <status>unmodified</status>
      <modifiedWord/>
      <trackRevisions>false</trackRevisions>
    </reviewItem>
    <reviewItem>
      <errorID>9aa2db4c-ff57-4ed7-81b4-d00083a69bda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2B5FAC63</paraID>
      <start>9</start>
      <end>10</end>
      <status>unmodified</status>
      <modifiedWord/>
      <trackRevisions>false</trackRevisions>
    </reviewItem>
    <reviewItem>
      <errorID>b3d42e7a-2a8a-4e69-bb6c-99695cee584a</errorID>
      <errorWord>2022-2023</errorWord>
      <group>L1_Punc</group>
      <groupName>标点问题</groupName>
      <ability>L2_Punc_CN</ability>
      <abilityName>标点符号问题</abilityName>
      <candidateList>
        <item>2022—2023</item>
      </candidateList>
      <explain/>
      <paraID> 85998E8</paraID>
      <start>7</start>
      <end>16</end>
      <status>unmodified</status>
      <modifiedWord/>
      <trackRevisions>false</trackRevisions>
    </reviewItem>
    <reviewItem>
      <errorID>4423e509-e4ef-409e-9062-8a15a41be909</errorID>
      <errorWord>&gt;</errorWord>
      <group>L1_Format</group>
      <groupName>格式问题</groupName>
      <ability>L2_HalfPunc_CN</ability>
      <abilityName>全半角问题</abilityName>
      <candidateList>
        <item>〉</item>
      </candidateList>
      <explain>文本全半角错误。</explain>
      <paraID> BD449AB</paraID>
      <start>11</start>
      <end>12</end>
      <status>unmodified</status>
      <modifiedWord/>
      <trackRevisions>false</trackRevisions>
    </reviewItem>
    <reviewItem>
      <errorID>9fbeda17-4531-4e41-952d-a179115ac473</errorID>
      <errorWord>&gt;</errorWord>
      <group>L1_Format</group>
      <groupName>格式问题</groupName>
      <ability>L2_HalfPunc_CN</ability>
      <abilityName>全半角问题</abilityName>
      <candidateList>
        <item>〉</item>
      </candidateList>
      <explain>文本全半角错误。</explain>
      <paraID>22286176</paraID>
      <start>13</start>
      <end>14</end>
      <status>unmodified</status>
      <modifiedWord/>
      <trackRevisions>false</trackRevisions>
    </reviewItem>
    <reviewItem>
      <errorID>be28eb85-3983-40bd-9421-c2899d08fb2a</errorID>
      <errorWord>&gt;</errorWord>
      <group>L1_Format</group>
      <groupName>格式问题</groupName>
      <ability>L2_HalfPunc_CN</ability>
      <abilityName>全半角问题</abilityName>
      <candidateList>
        <item>〉</item>
      </candidateList>
      <explain>文本全半角错误。</explain>
      <paraID>36FBBBD4</paraID>
      <start>18</start>
      <end>19</end>
      <status>unmodified</status>
      <modifiedWord/>
      <trackRevisions>false</trackRevisions>
    </reviewItem>
    <reviewItem>
      <errorID>56ee12b9-a051-4c29-84a4-0100dd237845</errorID>
      <errorWord>&gt;</errorWord>
      <group>L1_Format</group>
      <groupName>格式问题</groupName>
      <ability>L2_HalfPunc_CN</ability>
      <abilityName>全半角问题</abilityName>
      <candidateList>
        <item>〉</item>
      </candidateList>
      <explain>文本全半角错误。</explain>
      <paraID>71578AEE</paraID>
      <start>24</start>
      <end>25</end>
      <status>unmodified</status>
      <modifiedWord/>
      <trackRevisions>false</trackRevisions>
    </reviewItem>
    <reviewItem>
      <errorID>51128415-b1bd-4e82-b444-965036210f23</errorID>
      <errorWord>&gt;</errorWord>
      <group>L1_Format</group>
      <groupName>格式问题</groupName>
      <ability>L2_HalfPunc_CN</ability>
      <abilityName>全半角问题</abilityName>
      <candidateList>
        <item>〉</item>
      </candidateList>
      <explain>文本全半角错误。</explain>
      <paraID>3A1D645F</paraID>
      <start>18</start>
      <end>19</end>
      <status>unmodified</status>
      <modifiedWord/>
      <trackRevisions>false</trackRevisions>
    </reviewItem>
    <reviewItem>
      <errorID>a9368210-b376-447a-9bba-ba2b8b1acf9b</errorID>
      <errorWord>&gt;</errorWord>
      <group>L1_Format</group>
      <groupName>格式问题</groupName>
      <ability>L2_HalfPunc_CN</ability>
      <abilityName>全半角问题</abilityName>
      <candidateList>
        <item>〉</item>
      </candidateList>
      <explain>文本全半角错误。</explain>
      <paraID>5FC6FEA3</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e5a7b0-bca0-40e6-ba6a-086670d5c8d4}">
  <ds:schemaRefs/>
</ds:datastoreItem>
</file>

<file path=docProps/app.xml><?xml version="1.0" encoding="utf-8"?>
<Properties xmlns="http://schemas.openxmlformats.org/officeDocument/2006/extended-properties" xmlns:vt="http://schemas.openxmlformats.org/officeDocument/2006/docPropsVTypes">
  <Pages>87</Pages>
  <Words>18959</Words>
  <Characters>19722</Characters>
  <TotalTime>20</TotalTime>
  <ScaleCrop>false</ScaleCrop>
  <LinksUpToDate>false</LinksUpToDate>
  <CharactersWithSpaces>20778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2023-03-23T11:01:00Z</dcterms:created>
  <dc:creator>王博</dc:creator>
  <cp:lastModifiedBy>郭丽娜</cp:lastModifiedBy>
  <dcterms:modified xsi:type="dcterms:W3CDTF">2026-09-24T01:26:09Z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2026-08-05T10:07:05Z</vt:filetime>
  </property>
  <property fmtid="{D5CDD505-2E9C-101B-9397-08002B2CF9AE}" pid="4" name="KSOTemplateDocerSaveRecord">
    <vt:lpwstr>eyJoZGlkIjoiYTA0OTFiNTllN2E3YTc2MDc5ZTIwYTg0ZjFlZjFlMWQiLCJ1c2VySWQiOiIzNzMyMDUyODEifQ==</vt:lpwstr>
  </property>
  <property fmtid="{D5CDD505-2E9C-101B-9397-08002B2CF9AE}" pid="5" name="KSOProductBuildVer">
    <vt:lpwstr>2052-12.1.0.28043</vt:lpwstr>
  </property>
  <property fmtid="{D5CDD505-2E9C-101B-9397-08002B2CF9AE}" pid="6" name="ICV">
    <vt:lpwstr>4268FC4A4BA948B6BE7D74280A4B1180_13</vt:lpwstr>
  </property>
</Properties>
</file>