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772B1">
      <w:pPr>
        <w:keepNext w:val="0"/>
        <w:keepLines w:val="0"/>
        <w:pageBreakBefore w:val="0"/>
        <w:widowControl w:val="0"/>
        <w:kinsoku/>
        <w:wordWrap/>
        <w:overflowPunct/>
        <w:topLinePunct w:val="0"/>
        <w:autoSpaceDE/>
        <w:autoSpaceDN/>
        <w:bidi w:val="0"/>
        <w:adjustRightInd/>
        <w:ind w:left="0" w:leftChars="0" w:firstLine="0" w:firstLineChars="0"/>
        <w:jc w:val="center"/>
        <w:textAlignment w:val="auto"/>
        <w:rPr>
          <w:rFonts w:hint="default" w:ascii="Times New Roman" w:hAnsi="Times New Roman" w:eastAsia="宋体" w:cs="Times New Roman"/>
          <w:b/>
          <w:color w:val="auto"/>
          <w:spacing w:val="0"/>
          <w:position w:val="0"/>
          <w:sz w:val="48"/>
          <w:szCs w:val="48"/>
        </w:rPr>
      </w:pPr>
      <w:bookmarkStart w:id="0" w:name="_Toc25400"/>
    </w:p>
    <w:p w14:paraId="7C5467B3">
      <w:pPr>
        <w:keepNext w:val="0"/>
        <w:keepLines w:val="0"/>
        <w:pageBreakBefore w:val="0"/>
        <w:widowControl w:val="0"/>
        <w:tabs>
          <w:tab w:val="left" w:pos="1375"/>
          <w:tab w:val="center" w:pos="4209"/>
        </w:tabs>
        <w:kinsoku/>
        <w:wordWrap/>
        <w:overflowPunct/>
        <w:topLinePunct w:val="0"/>
        <w:autoSpaceDE/>
        <w:autoSpaceDN/>
        <w:bidi w:val="0"/>
        <w:adjustRightInd/>
        <w:ind w:left="0" w:leftChars="0" w:firstLine="0" w:firstLineChars="0"/>
        <w:jc w:val="left"/>
        <w:textAlignment w:val="auto"/>
        <w:rPr>
          <w:rFonts w:hint="default" w:ascii="Times New Roman" w:hAnsi="Times New Roman" w:eastAsia="宋体" w:cs="Times New Roman"/>
          <w:b/>
          <w:color w:val="auto"/>
          <w:spacing w:val="0"/>
          <w:position w:val="0"/>
          <w:sz w:val="48"/>
          <w:szCs w:val="48"/>
        </w:rPr>
      </w:pPr>
      <w:r>
        <w:rPr>
          <w:rFonts w:hint="default" w:ascii="Times New Roman" w:hAnsi="Times New Roman" w:eastAsia="宋体" w:cs="Times New Roman"/>
          <w:b/>
          <w:color w:val="auto"/>
          <w:spacing w:val="0"/>
          <w:position w:val="0"/>
          <w:sz w:val="48"/>
          <w:szCs w:val="48"/>
          <w:lang w:eastAsia="zh-CN"/>
        </w:rPr>
        <w:tab/>
      </w:r>
      <w:r>
        <w:rPr>
          <w:rFonts w:hint="default" w:ascii="Times New Roman" w:hAnsi="Times New Roman" w:eastAsia="宋体" w:cs="Times New Roman"/>
          <w:b/>
          <w:color w:val="auto"/>
          <w:spacing w:val="0"/>
          <w:position w:val="0"/>
          <w:sz w:val="48"/>
          <w:szCs w:val="48"/>
          <w:lang w:eastAsia="zh-CN"/>
        </w:rPr>
        <w:tab/>
      </w:r>
      <w:r>
        <w:rPr>
          <w:rFonts w:hint="default" w:ascii="Times New Roman" w:hAnsi="Times New Roman" w:eastAsia="宋体" w:cs="Times New Roman"/>
          <w:b/>
          <w:color w:val="auto"/>
          <w:spacing w:val="0"/>
          <w:position w:val="0"/>
          <w:sz w:val="48"/>
          <w:szCs w:val="48"/>
        </w:rPr>
        <w:t>核技术利用建设项目</w:t>
      </w:r>
    </w:p>
    <w:p w14:paraId="0E6F8780">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default" w:ascii="Times New Roman" w:hAnsi="Times New Roman" w:eastAsia="宋体" w:cs="Times New Roman"/>
          <w:color w:val="auto"/>
          <w:spacing w:val="0"/>
          <w:position w:val="0"/>
          <w:sz w:val="48"/>
          <w:szCs w:val="48"/>
        </w:rPr>
      </w:pPr>
    </w:p>
    <w:p w14:paraId="265D307A">
      <w:pPr>
        <w:keepNext w:val="0"/>
        <w:keepLines w:val="0"/>
        <w:pageBreakBefore w:val="0"/>
        <w:widowControl w:val="0"/>
        <w:kinsoku/>
        <w:wordWrap/>
        <w:overflowPunct/>
        <w:topLinePunct w:val="0"/>
        <w:autoSpaceDE/>
        <w:autoSpaceDN/>
        <w:bidi w:val="0"/>
        <w:adjustRightInd/>
        <w:snapToGrid w:val="0"/>
        <w:spacing w:line="480" w:lineRule="auto"/>
        <w:ind w:firstLine="0" w:firstLineChars="0"/>
        <w:jc w:val="center"/>
        <w:textAlignment w:val="auto"/>
        <w:rPr>
          <w:rFonts w:hint="eastAsia" w:ascii="Times New Roman" w:hAnsi="Times New Roman" w:eastAsia="宋体" w:cs="Times New Roman"/>
          <w:b/>
          <w:bCs/>
          <w:color w:val="auto"/>
          <w:spacing w:val="0"/>
          <w:position w:val="0"/>
          <w:sz w:val="48"/>
          <w:szCs w:val="48"/>
          <w:lang w:eastAsia="zh-CN"/>
        </w:rPr>
      </w:pPr>
      <w:r>
        <w:rPr>
          <w:rFonts w:hint="default" w:ascii="Times New Roman" w:hAnsi="Times New Roman" w:eastAsia="宋体" w:cs="Times New Roman"/>
          <w:b/>
          <w:bCs/>
          <w:color w:val="auto"/>
          <w:spacing w:val="0"/>
          <w:position w:val="0"/>
          <w:sz w:val="48"/>
          <w:szCs w:val="48"/>
          <w:lang w:val="zh-CN" w:eastAsia="zh-CN"/>
        </w:rPr>
        <w:t>曲靖市第二人民医院X射线血管造影系统（DSA）项目</w:t>
      </w:r>
      <w:r>
        <w:rPr>
          <w:rFonts w:hint="eastAsia" w:cs="Times New Roman"/>
          <w:b/>
          <w:color w:val="auto"/>
          <w:spacing w:val="0"/>
          <w:position w:val="0"/>
          <w:sz w:val="48"/>
          <w:szCs w:val="48"/>
          <w:lang w:eastAsia="zh-CN"/>
        </w:rPr>
        <w:t>生态环境影响报告表</w:t>
      </w:r>
    </w:p>
    <w:p w14:paraId="3E75A149">
      <w:pPr>
        <w:keepNext w:val="0"/>
        <w:keepLines w:val="0"/>
        <w:pageBreakBefore w:val="0"/>
        <w:widowControl w:val="0"/>
        <w:kinsoku/>
        <w:wordWrap/>
        <w:overflowPunct/>
        <w:topLinePunct w:val="0"/>
        <w:autoSpaceDE/>
        <w:autoSpaceDN/>
        <w:bidi w:val="0"/>
        <w:adjustRightInd/>
        <w:spacing w:line="480" w:lineRule="auto"/>
        <w:ind w:firstLine="0" w:firstLineChars="0"/>
        <w:jc w:val="center"/>
        <w:textAlignment w:val="auto"/>
        <w:rPr>
          <w:rFonts w:hint="default" w:ascii="Times New Roman" w:hAnsi="Times New Roman" w:eastAsia="宋体" w:cs="Times New Roman"/>
          <w:b/>
          <w:color w:val="auto"/>
          <w:spacing w:val="0"/>
          <w:position w:val="0"/>
          <w:sz w:val="48"/>
          <w:szCs w:val="48"/>
          <w:lang w:eastAsia="zh-CN"/>
        </w:rPr>
      </w:pPr>
      <w:r>
        <w:rPr>
          <w:rFonts w:hint="default" w:ascii="Times New Roman" w:hAnsi="Times New Roman" w:eastAsia="宋体" w:cs="Times New Roman"/>
          <w:b/>
          <w:color w:val="auto"/>
          <w:spacing w:val="0"/>
          <w:position w:val="0"/>
          <w:sz w:val="48"/>
          <w:szCs w:val="48"/>
          <w:lang w:eastAsia="zh-CN"/>
        </w:rPr>
        <w:t>（</w:t>
      </w:r>
      <w:r>
        <w:rPr>
          <w:rFonts w:hint="eastAsia" w:cs="Times New Roman"/>
          <w:b/>
          <w:color w:val="auto"/>
          <w:spacing w:val="0"/>
          <w:position w:val="0"/>
          <w:sz w:val="48"/>
          <w:szCs w:val="48"/>
          <w:lang w:val="en-US" w:eastAsia="zh-CN"/>
        </w:rPr>
        <w:t>报批稿</w:t>
      </w:r>
      <w:r>
        <w:rPr>
          <w:rFonts w:hint="default" w:ascii="Times New Roman" w:hAnsi="Times New Roman" w:eastAsia="宋体" w:cs="Times New Roman"/>
          <w:b/>
          <w:color w:val="auto"/>
          <w:spacing w:val="0"/>
          <w:position w:val="0"/>
          <w:sz w:val="48"/>
          <w:szCs w:val="48"/>
          <w:lang w:eastAsia="zh-CN"/>
        </w:rPr>
        <w:t>）</w:t>
      </w:r>
    </w:p>
    <w:p w14:paraId="0E609DA5">
      <w:pPr>
        <w:keepNext w:val="0"/>
        <w:keepLines w:val="0"/>
        <w:pageBreakBefore w:val="0"/>
        <w:widowControl w:val="0"/>
        <w:kinsoku/>
        <w:wordWrap/>
        <w:overflowPunct/>
        <w:topLinePunct w:val="0"/>
        <w:autoSpaceDE/>
        <w:autoSpaceDN/>
        <w:bidi w:val="0"/>
        <w:adjustRightInd/>
        <w:spacing w:line="480" w:lineRule="auto"/>
        <w:ind w:firstLine="0" w:firstLineChars="0"/>
        <w:jc w:val="center"/>
        <w:textAlignment w:val="auto"/>
        <w:rPr>
          <w:rFonts w:hint="default" w:ascii="Times New Roman" w:hAnsi="Times New Roman" w:eastAsia="宋体" w:cs="Times New Roman"/>
          <w:b/>
          <w:color w:val="auto"/>
          <w:spacing w:val="0"/>
          <w:position w:val="0"/>
          <w:sz w:val="48"/>
          <w:szCs w:val="48"/>
        </w:rPr>
      </w:pPr>
    </w:p>
    <w:p w14:paraId="087D7881">
      <w:pPr>
        <w:keepNext w:val="0"/>
        <w:keepLines w:val="0"/>
        <w:pageBreakBefore w:val="0"/>
        <w:widowControl w:val="0"/>
        <w:kinsoku/>
        <w:wordWrap/>
        <w:overflowPunct/>
        <w:topLinePunct w:val="0"/>
        <w:autoSpaceDE/>
        <w:autoSpaceDN/>
        <w:bidi w:val="0"/>
        <w:adjustRightInd/>
        <w:spacing w:line="480" w:lineRule="auto"/>
        <w:ind w:firstLine="0" w:firstLineChars="0"/>
        <w:jc w:val="center"/>
        <w:textAlignment w:val="auto"/>
        <w:rPr>
          <w:rFonts w:hint="default" w:ascii="Times New Roman" w:hAnsi="Times New Roman" w:eastAsia="宋体" w:cs="Times New Roman"/>
          <w:b/>
          <w:color w:val="auto"/>
          <w:spacing w:val="0"/>
          <w:position w:val="0"/>
          <w:sz w:val="48"/>
          <w:szCs w:val="48"/>
        </w:rPr>
      </w:pPr>
    </w:p>
    <w:p w14:paraId="429F696E">
      <w:pPr>
        <w:keepNext w:val="0"/>
        <w:keepLines w:val="0"/>
        <w:pageBreakBefore w:val="0"/>
        <w:widowControl w:val="0"/>
        <w:kinsoku/>
        <w:wordWrap/>
        <w:overflowPunct/>
        <w:topLinePunct w:val="0"/>
        <w:autoSpaceDE/>
        <w:autoSpaceDN/>
        <w:bidi w:val="0"/>
        <w:adjustRightInd/>
        <w:spacing w:line="480" w:lineRule="auto"/>
        <w:ind w:firstLine="0" w:firstLineChars="0"/>
        <w:jc w:val="center"/>
        <w:textAlignment w:val="auto"/>
        <w:rPr>
          <w:rFonts w:hint="default" w:ascii="Times New Roman" w:hAnsi="Times New Roman" w:eastAsia="宋体" w:cs="Times New Roman"/>
          <w:b/>
          <w:color w:val="auto"/>
          <w:spacing w:val="0"/>
          <w:position w:val="0"/>
          <w:sz w:val="48"/>
          <w:szCs w:val="48"/>
        </w:rPr>
      </w:pPr>
    </w:p>
    <w:p w14:paraId="33055044">
      <w:pPr>
        <w:keepNext w:val="0"/>
        <w:keepLines w:val="0"/>
        <w:pageBreakBefore w:val="0"/>
        <w:widowControl w:val="0"/>
        <w:kinsoku/>
        <w:wordWrap/>
        <w:overflowPunct/>
        <w:topLinePunct w:val="0"/>
        <w:autoSpaceDE/>
        <w:autoSpaceDN/>
        <w:bidi w:val="0"/>
        <w:adjustRightInd/>
        <w:spacing w:line="480" w:lineRule="auto"/>
        <w:ind w:firstLine="0" w:firstLineChars="0"/>
        <w:textAlignment w:val="auto"/>
        <w:rPr>
          <w:rFonts w:hint="default" w:ascii="Times New Roman" w:hAnsi="Times New Roman" w:eastAsia="宋体" w:cs="Times New Roman"/>
          <w:b/>
          <w:color w:val="auto"/>
          <w:spacing w:val="0"/>
          <w:position w:val="0"/>
          <w:sz w:val="48"/>
          <w:szCs w:val="48"/>
        </w:rPr>
      </w:pPr>
    </w:p>
    <w:p w14:paraId="246B2ACD">
      <w:pPr>
        <w:keepNext w:val="0"/>
        <w:keepLines w:val="0"/>
        <w:pageBreakBefore w:val="0"/>
        <w:widowControl w:val="0"/>
        <w:kinsoku/>
        <w:wordWrap/>
        <w:overflowPunct/>
        <w:topLinePunct w:val="0"/>
        <w:autoSpaceDE/>
        <w:autoSpaceDN/>
        <w:bidi w:val="0"/>
        <w:adjustRightInd/>
        <w:spacing w:line="480" w:lineRule="auto"/>
        <w:ind w:firstLine="0" w:firstLineChars="0"/>
        <w:textAlignment w:val="auto"/>
        <w:rPr>
          <w:rFonts w:hint="default" w:ascii="Times New Roman" w:hAnsi="Times New Roman" w:eastAsia="宋体" w:cs="Times New Roman"/>
          <w:b/>
          <w:color w:val="auto"/>
          <w:spacing w:val="0"/>
          <w:position w:val="0"/>
          <w:sz w:val="48"/>
          <w:szCs w:val="48"/>
        </w:rPr>
      </w:pPr>
    </w:p>
    <w:p w14:paraId="2224B186">
      <w:pPr>
        <w:keepNext w:val="0"/>
        <w:keepLines w:val="0"/>
        <w:pageBreakBefore w:val="0"/>
        <w:widowControl w:val="0"/>
        <w:kinsoku/>
        <w:wordWrap/>
        <w:overflowPunct/>
        <w:topLinePunct w:val="0"/>
        <w:autoSpaceDE/>
        <w:autoSpaceDN/>
        <w:bidi w:val="0"/>
        <w:adjustRightInd/>
        <w:spacing w:line="480" w:lineRule="auto"/>
        <w:ind w:firstLine="0" w:firstLineChars="0"/>
        <w:textAlignment w:val="auto"/>
        <w:rPr>
          <w:rFonts w:hint="default" w:ascii="Times New Roman" w:hAnsi="Times New Roman" w:eastAsia="宋体" w:cs="Times New Roman"/>
          <w:b/>
          <w:color w:val="auto"/>
          <w:spacing w:val="0"/>
          <w:position w:val="0"/>
          <w:sz w:val="48"/>
          <w:szCs w:val="48"/>
        </w:rPr>
      </w:pPr>
    </w:p>
    <w:p w14:paraId="677E507A">
      <w:pPr>
        <w:keepNext w:val="0"/>
        <w:keepLines w:val="0"/>
        <w:pageBreakBefore w:val="0"/>
        <w:widowControl w:val="0"/>
        <w:kinsoku/>
        <w:wordWrap/>
        <w:overflowPunct/>
        <w:topLinePunct w:val="0"/>
        <w:autoSpaceDE/>
        <w:autoSpaceDN/>
        <w:bidi w:val="0"/>
        <w:adjustRightInd/>
        <w:spacing w:line="480" w:lineRule="auto"/>
        <w:ind w:firstLine="0" w:firstLineChars="0"/>
        <w:textAlignment w:val="auto"/>
        <w:rPr>
          <w:rFonts w:hint="default" w:ascii="Times New Roman" w:hAnsi="Times New Roman" w:eastAsia="宋体" w:cs="Times New Roman"/>
          <w:b/>
          <w:color w:val="auto"/>
          <w:spacing w:val="0"/>
          <w:position w:val="0"/>
          <w:sz w:val="48"/>
          <w:szCs w:val="48"/>
        </w:rPr>
      </w:pPr>
    </w:p>
    <w:p w14:paraId="3E3F0DD8">
      <w:pPr>
        <w:keepNext w:val="0"/>
        <w:keepLines w:val="0"/>
        <w:pageBreakBefore w:val="0"/>
        <w:widowControl w:val="0"/>
        <w:kinsoku/>
        <w:wordWrap/>
        <w:overflowPunct/>
        <w:topLinePunct w:val="0"/>
        <w:autoSpaceDE/>
        <w:autoSpaceDN/>
        <w:bidi w:val="0"/>
        <w:adjustRightInd/>
        <w:snapToGrid/>
        <w:spacing w:line="720" w:lineRule="auto"/>
        <w:ind w:firstLine="0" w:firstLineChars="0"/>
        <w:jc w:val="center"/>
        <w:textAlignment w:val="auto"/>
        <w:rPr>
          <w:rFonts w:hint="default" w:ascii="Times New Roman" w:hAnsi="Times New Roman" w:eastAsia="宋体" w:cs="Times New Roman"/>
          <w:b/>
          <w:color w:val="auto"/>
          <w:spacing w:val="0"/>
          <w:position w:val="0"/>
          <w:sz w:val="36"/>
          <w:szCs w:val="36"/>
          <w:lang w:val="en-US" w:eastAsia="zh-CN"/>
        </w:rPr>
      </w:pPr>
      <w:r>
        <w:rPr>
          <w:rFonts w:hint="default" w:ascii="Times New Roman" w:hAnsi="Times New Roman" w:eastAsia="宋体" w:cs="Times New Roman"/>
          <w:b/>
          <w:color w:val="auto"/>
          <w:spacing w:val="0"/>
          <w:position w:val="0"/>
          <w:sz w:val="36"/>
          <w:szCs w:val="36"/>
          <w:lang w:val="en-US" w:eastAsia="zh-CN"/>
        </w:rPr>
        <w:t>曲靖市第二人民医院</w:t>
      </w:r>
    </w:p>
    <w:p w14:paraId="488AA8B4">
      <w:pPr>
        <w:keepNext w:val="0"/>
        <w:keepLines w:val="0"/>
        <w:pageBreakBefore w:val="0"/>
        <w:widowControl w:val="0"/>
        <w:kinsoku/>
        <w:wordWrap/>
        <w:overflowPunct/>
        <w:topLinePunct w:val="0"/>
        <w:autoSpaceDE/>
        <w:autoSpaceDN/>
        <w:bidi w:val="0"/>
        <w:adjustRightInd/>
        <w:snapToGrid/>
        <w:spacing w:line="720" w:lineRule="auto"/>
        <w:ind w:firstLine="0" w:firstLineChars="0"/>
        <w:jc w:val="center"/>
        <w:textAlignment w:val="auto"/>
        <w:rPr>
          <w:rFonts w:hint="default" w:ascii="Times New Roman" w:hAnsi="Times New Roman" w:eastAsia="宋体" w:cs="Times New Roman"/>
          <w:b/>
          <w:color w:val="auto"/>
          <w:spacing w:val="0"/>
          <w:position w:val="0"/>
          <w:sz w:val="36"/>
          <w:szCs w:val="36"/>
        </w:rPr>
      </w:pPr>
      <w:r>
        <w:rPr>
          <w:rFonts w:hint="default" w:ascii="Times New Roman" w:hAnsi="Times New Roman" w:eastAsia="宋体" w:cs="Times New Roman"/>
          <w:b/>
          <w:color w:val="auto"/>
          <w:spacing w:val="0"/>
          <w:position w:val="0"/>
          <w:sz w:val="36"/>
          <w:szCs w:val="36"/>
        </w:rPr>
        <w:t>202</w:t>
      </w:r>
      <w:r>
        <w:rPr>
          <w:rFonts w:hint="default" w:ascii="Times New Roman" w:hAnsi="Times New Roman" w:eastAsia="宋体" w:cs="Times New Roman"/>
          <w:b/>
          <w:color w:val="auto"/>
          <w:spacing w:val="0"/>
          <w:position w:val="0"/>
          <w:sz w:val="36"/>
          <w:szCs w:val="36"/>
          <w:lang w:val="en-US" w:eastAsia="zh-CN"/>
        </w:rPr>
        <w:t>6</w:t>
      </w:r>
      <w:r>
        <w:rPr>
          <w:rFonts w:hint="default" w:ascii="Times New Roman" w:hAnsi="Times New Roman" w:eastAsia="宋体" w:cs="Times New Roman"/>
          <w:b/>
          <w:color w:val="auto"/>
          <w:spacing w:val="0"/>
          <w:position w:val="0"/>
          <w:sz w:val="36"/>
          <w:szCs w:val="36"/>
        </w:rPr>
        <w:t xml:space="preserve"> 年 </w:t>
      </w:r>
      <w:r>
        <w:rPr>
          <w:rFonts w:hint="eastAsia" w:cs="Times New Roman"/>
          <w:b/>
          <w:color w:val="auto"/>
          <w:spacing w:val="0"/>
          <w:position w:val="0"/>
          <w:sz w:val="36"/>
          <w:szCs w:val="36"/>
          <w:lang w:val="en-US" w:eastAsia="zh-CN"/>
        </w:rPr>
        <w:t>9</w:t>
      </w:r>
      <w:r>
        <w:rPr>
          <w:rFonts w:hint="default" w:ascii="Times New Roman" w:hAnsi="Times New Roman" w:eastAsia="宋体" w:cs="Times New Roman"/>
          <w:b/>
          <w:color w:val="auto"/>
          <w:spacing w:val="0"/>
          <w:position w:val="0"/>
          <w:sz w:val="36"/>
          <w:szCs w:val="36"/>
        </w:rPr>
        <w:t xml:space="preserve"> 月</w:t>
      </w:r>
    </w:p>
    <w:p w14:paraId="23D19B32">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default" w:ascii="Times New Roman" w:hAnsi="Times New Roman" w:eastAsia="宋体" w:cs="Times New Roman"/>
          <w:b/>
          <w:color w:val="auto"/>
          <w:spacing w:val="0"/>
          <w:position w:val="0"/>
          <w:sz w:val="36"/>
          <w:szCs w:val="36"/>
        </w:rPr>
      </w:pPr>
    </w:p>
    <w:p w14:paraId="23975FFE">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default" w:ascii="Times New Roman" w:hAnsi="Times New Roman" w:eastAsia="宋体" w:cs="Times New Roman"/>
          <w:b/>
          <w:color w:val="auto"/>
          <w:spacing w:val="0"/>
          <w:position w:val="0"/>
          <w:sz w:val="44"/>
          <w:szCs w:val="44"/>
          <w:lang w:val="en-US" w:eastAsia="zh-CN"/>
        </w:rPr>
      </w:pPr>
      <w:r>
        <w:rPr>
          <w:rFonts w:hint="default" w:ascii="Times New Roman" w:hAnsi="Times New Roman" w:eastAsia="宋体" w:cs="Times New Roman"/>
          <w:b/>
          <w:color w:val="auto"/>
          <w:spacing w:val="0"/>
          <w:position w:val="0"/>
          <w:sz w:val="36"/>
          <w:szCs w:val="36"/>
          <w:lang w:val="en-US" w:eastAsia="zh-CN"/>
        </w:rPr>
        <w:t>生态环境</w:t>
      </w:r>
      <w:r>
        <w:rPr>
          <w:rFonts w:hint="default" w:ascii="Times New Roman" w:hAnsi="Times New Roman" w:eastAsia="宋体" w:cs="Times New Roman"/>
          <w:b/>
          <w:color w:val="auto"/>
          <w:spacing w:val="0"/>
          <w:position w:val="0"/>
          <w:sz w:val="36"/>
          <w:szCs w:val="36"/>
        </w:rPr>
        <w:t>部监制</w:t>
      </w:r>
      <w:r>
        <w:rPr>
          <w:rFonts w:hint="default" w:ascii="Times New Roman" w:hAnsi="Times New Roman" w:eastAsia="宋体" w:cs="Times New Roman"/>
          <w:b/>
          <w:color w:val="auto"/>
          <w:spacing w:val="0"/>
          <w:position w:val="0"/>
          <w:sz w:val="44"/>
          <w:szCs w:val="44"/>
          <w:lang w:val="en-US" w:eastAsia="zh-CN"/>
        </w:rPr>
        <w:br w:type="page"/>
      </w:r>
    </w:p>
    <w:p w14:paraId="3542DD75">
      <w:pPr>
        <w:rPr>
          <w:rFonts w:hint="default" w:ascii="Times New Roman" w:hAnsi="Times New Roman" w:eastAsia="宋体" w:cs="Times New Roman"/>
          <w:b/>
          <w:color w:val="auto"/>
          <w:spacing w:val="0"/>
          <w:position w:val="0"/>
          <w:sz w:val="44"/>
          <w:szCs w:val="44"/>
          <w:lang w:val="en-US" w:eastAsia="zh-CN"/>
        </w:rPr>
      </w:pPr>
      <w:r>
        <w:rPr>
          <w:rFonts w:hint="default" w:ascii="Times New Roman" w:hAnsi="Times New Roman" w:eastAsia="宋体" w:cs="Times New Roman"/>
          <w:b/>
          <w:color w:val="auto"/>
          <w:spacing w:val="0"/>
          <w:position w:val="0"/>
          <w:sz w:val="44"/>
          <w:szCs w:val="44"/>
          <w:lang w:val="en-US" w:eastAsia="zh-CN"/>
        </w:rPr>
        <w:br w:type="page"/>
      </w:r>
    </w:p>
    <w:p w14:paraId="41F395AF">
      <w:pPr>
        <w:bidi w:val="0"/>
        <w:rPr>
          <w:rFonts w:hint="default" w:ascii="Times New Roman" w:hAnsi="Times New Roman" w:eastAsia="宋体" w:cs="Times New Roman"/>
          <w:color w:val="auto"/>
          <w:spacing w:val="0"/>
          <w:position w:val="0"/>
          <w:lang w:val="en-US" w:eastAsia="zh-CN"/>
        </w:rPr>
      </w:pPr>
    </w:p>
    <w:p w14:paraId="0C29D685">
      <w:pPr>
        <w:snapToGrid w:val="0"/>
        <w:spacing w:line="480" w:lineRule="auto"/>
        <w:ind w:firstLine="0" w:firstLineChars="0"/>
        <w:jc w:val="center"/>
        <w:rPr>
          <w:rFonts w:hint="default" w:ascii="Times New Roman" w:hAnsi="Times New Roman" w:eastAsia="宋体" w:cs="Times New Roman"/>
          <w:b/>
          <w:color w:val="auto"/>
          <w:spacing w:val="0"/>
          <w:position w:val="0"/>
          <w:sz w:val="44"/>
          <w:szCs w:val="44"/>
          <w:lang w:val="en-US" w:eastAsia="zh-CN"/>
        </w:rPr>
      </w:pPr>
    </w:p>
    <w:p w14:paraId="2DA442F7">
      <w:pPr>
        <w:snapToGrid w:val="0"/>
        <w:spacing w:line="480" w:lineRule="auto"/>
        <w:ind w:firstLine="0" w:firstLineChars="0"/>
        <w:jc w:val="center"/>
        <w:rPr>
          <w:rFonts w:hint="default" w:ascii="Times New Roman" w:hAnsi="Times New Roman" w:eastAsia="宋体" w:cs="Times New Roman"/>
          <w:b/>
          <w:bCs/>
          <w:color w:val="auto"/>
          <w:spacing w:val="0"/>
          <w:position w:val="0"/>
          <w:sz w:val="44"/>
          <w:szCs w:val="44"/>
          <w:lang w:val="zh-CN"/>
        </w:rPr>
      </w:pPr>
      <w:r>
        <w:rPr>
          <w:rFonts w:hint="default" w:ascii="Times New Roman" w:hAnsi="Times New Roman" w:eastAsia="宋体" w:cs="Times New Roman"/>
          <w:b/>
          <w:bCs/>
          <w:color w:val="auto"/>
          <w:spacing w:val="0"/>
          <w:position w:val="0"/>
          <w:sz w:val="44"/>
          <w:szCs w:val="44"/>
          <w:lang w:val="en-US" w:eastAsia="zh-CN"/>
        </w:rPr>
        <w:t>曲靖市第二人民医院X射线血管造影系统（DSA）项目</w:t>
      </w:r>
      <w:r>
        <w:rPr>
          <w:rFonts w:hint="eastAsia" w:cs="Times New Roman"/>
          <w:b/>
          <w:bCs/>
          <w:color w:val="auto"/>
          <w:spacing w:val="0"/>
          <w:position w:val="0"/>
          <w:sz w:val="44"/>
          <w:szCs w:val="44"/>
          <w:lang w:val="zh-CN"/>
        </w:rPr>
        <w:t>生态环境影响报告表</w:t>
      </w:r>
    </w:p>
    <w:p w14:paraId="6489BF76">
      <w:pPr>
        <w:ind w:firstLine="321" w:firstLineChars="100"/>
        <w:rPr>
          <w:rFonts w:hint="default" w:ascii="Times New Roman" w:hAnsi="Times New Roman" w:eastAsia="宋体" w:cs="Times New Roman"/>
          <w:b/>
          <w:color w:val="auto"/>
          <w:spacing w:val="0"/>
          <w:position w:val="0"/>
          <w:sz w:val="32"/>
          <w:szCs w:val="32"/>
        </w:rPr>
      </w:pPr>
    </w:p>
    <w:p w14:paraId="160A6959">
      <w:pPr>
        <w:ind w:firstLine="321" w:firstLineChars="100"/>
        <w:rPr>
          <w:rFonts w:hint="default" w:ascii="Times New Roman" w:hAnsi="Times New Roman" w:eastAsia="宋体" w:cs="Times New Roman"/>
          <w:b/>
          <w:color w:val="auto"/>
          <w:spacing w:val="0"/>
          <w:position w:val="0"/>
          <w:sz w:val="32"/>
          <w:szCs w:val="32"/>
        </w:rPr>
      </w:pPr>
    </w:p>
    <w:p w14:paraId="2F37EFF7">
      <w:pPr>
        <w:ind w:firstLine="321" w:firstLineChars="100"/>
        <w:rPr>
          <w:rFonts w:hint="default" w:ascii="Times New Roman" w:hAnsi="Times New Roman" w:eastAsia="宋体" w:cs="Times New Roman"/>
          <w:b/>
          <w:color w:val="auto"/>
          <w:spacing w:val="0"/>
          <w:position w:val="0"/>
          <w:sz w:val="32"/>
          <w:szCs w:val="32"/>
        </w:rPr>
      </w:pPr>
    </w:p>
    <w:p w14:paraId="3C236201">
      <w:pPr>
        <w:ind w:firstLine="321" w:firstLineChars="100"/>
        <w:rPr>
          <w:rFonts w:hint="default" w:ascii="Times New Roman" w:hAnsi="Times New Roman" w:eastAsia="宋体" w:cs="Times New Roman"/>
          <w:b/>
          <w:color w:val="auto"/>
          <w:spacing w:val="0"/>
          <w:position w:val="0"/>
          <w:sz w:val="32"/>
          <w:szCs w:val="32"/>
        </w:rPr>
      </w:pPr>
    </w:p>
    <w:p w14:paraId="44E78C6A">
      <w:pPr>
        <w:ind w:firstLine="321" w:firstLineChars="100"/>
        <w:rPr>
          <w:rFonts w:hint="default" w:ascii="Times New Roman" w:hAnsi="Times New Roman" w:eastAsia="宋体" w:cs="Times New Roman"/>
          <w:b/>
          <w:color w:val="auto"/>
          <w:spacing w:val="0"/>
          <w:position w:val="0"/>
          <w:sz w:val="32"/>
          <w:szCs w:val="32"/>
        </w:rPr>
      </w:pPr>
    </w:p>
    <w:p w14:paraId="6DE0E8E0">
      <w:pPr>
        <w:ind w:firstLine="321" w:firstLineChars="100"/>
        <w:rPr>
          <w:rFonts w:hint="default" w:ascii="Times New Roman" w:hAnsi="Times New Roman" w:eastAsia="宋体" w:cs="Times New Roman"/>
          <w:b/>
          <w:color w:val="auto"/>
          <w:spacing w:val="0"/>
          <w:position w:val="0"/>
          <w:sz w:val="32"/>
          <w:szCs w:val="32"/>
        </w:rPr>
      </w:pPr>
    </w:p>
    <w:p w14:paraId="3336CF50">
      <w:pPr>
        <w:ind w:firstLine="321" w:firstLineChars="100"/>
        <w:rPr>
          <w:rFonts w:hint="default" w:ascii="Times New Roman" w:hAnsi="Times New Roman" w:eastAsia="宋体" w:cs="Times New Roman"/>
          <w:b/>
          <w:color w:val="auto"/>
          <w:spacing w:val="0"/>
          <w:position w:val="0"/>
          <w:sz w:val="32"/>
          <w:szCs w:val="32"/>
        </w:rPr>
      </w:pPr>
    </w:p>
    <w:p w14:paraId="404F7326">
      <w:pPr>
        <w:ind w:firstLine="321" w:firstLineChars="100"/>
        <w:rPr>
          <w:rFonts w:hint="default" w:ascii="Times New Roman" w:hAnsi="Times New Roman" w:eastAsia="宋体" w:cs="Times New Roman"/>
          <w:color w:val="auto"/>
          <w:spacing w:val="0"/>
          <w:position w:val="0"/>
          <w:sz w:val="32"/>
          <w:szCs w:val="32"/>
          <w:u w:val="single"/>
        </w:rPr>
      </w:pPr>
      <w:r>
        <w:rPr>
          <w:rFonts w:hint="default" w:ascii="Times New Roman" w:hAnsi="Times New Roman" w:eastAsia="宋体" w:cs="Times New Roman"/>
          <w:b/>
          <w:color w:val="auto"/>
          <w:spacing w:val="0"/>
          <w:position w:val="0"/>
          <w:sz w:val="32"/>
          <w:szCs w:val="32"/>
        </w:rPr>
        <w:t>建设单位名称</w:t>
      </w:r>
      <w:r>
        <w:rPr>
          <w:rFonts w:hint="default" w:ascii="Times New Roman" w:hAnsi="Times New Roman" w:eastAsia="宋体" w:cs="Times New Roman"/>
          <w:color w:val="auto"/>
          <w:spacing w:val="0"/>
          <w:position w:val="0"/>
          <w:sz w:val="32"/>
          <w:szCs w:val="32"/>
        </w:rPr>
        <w:t>：</w:t>
      </w:r>
      <w:r>
        <w:rPr>
          <w:rFonts w:hint="default" w:ascii="Times New Roman" w:hAnsi="Times New Roman" w:eastAsia="宋体" w:cs="Times New Roman"/>
          <w:color w:val="auto"/>
          <w:spacing w:val="0"/>
          <w:position w:val="0"/>
          <w:sz w:val="32"/>
          <w:szCs w:val="32"/>
          <w:u w:val="single"/>
        </w:rPr>
        <w:t xml:space="preserve"> </w:t>
      </w:r>
      <w:r>
        <w:rPr>
          <w:rFonts w:hint="default" w:ascii="Times New Roman" w:hAnsi="Times New Roman" w:eastAsia="宋体" w:cs="Times New Roman"/>
          <w:color w:val="auto"/>
          <w:spacing w:val="0"/>
          <w:position w:val="0"/>
          <w:sz w:val="32"/>
          <w:szCs w:val="32"/>
          <w:u w:val="single"/>
          <w:lang w:val="zh-CN" w:eastAsia="zh-CN"/>
        </w:rPr>
        <w:t>曲靖市第二人民医院</w:t>
      </w:r>
      <w:r>
        <w:rPr>
          <w:rFonts w:hint="default" w:ascii="Times New Roman" w:hAnsi="Times New Roman" w:eastAsia="宋体" w:cs="Times New Roman"/>
          <w:color w:val="auto"/>
          <w:spacing w:val="0"/>
          <w:position w:val="0"/>
          <w:sz w:val="32"/>
          <w:szCs w:val="32"/>
          <w:u w:val="single"/>
        </w:rPr>
        <w:t xml:space="preserve"> </w:t>
      </w:r>
    </w:p>
    <w:p w14:paraId="09BD2539">
      <w:pPr>
        <w:ind w:firstLine="321" w:firstLineChars="100"/>
        <w:rPr>
          <w:rFonts w:hint="default" w:ascii="Times New Roman" w:hAnsi="Times New Roman" w:eastAsia="宋体" w:cs="Times New Roman"/>
          <w:color w:val="auto"/>
          <w:spacing w:val="0"/>
          <w:position w:val="0"/>
          <w:sz w:val="32"/>
          <w:szCs w:val="32"/>
        </w:rPr>
      </w:pPr>
      <w:r>
        <w:rPr>
          <w:rFonts w:hint="default" w:ascii="Times New Roman" w:hAnsi="Times New Roman" w:eastAsia="宋体" w:cs="Times New Roman"/>
          <w:b/>
          <w:color w:val="auto"/>
          <w:spacing w:val="0"/>
          <w:position w:val="0"/>
          <w:sz w:val="32"/>
          <w:szCs w:val="32"/>
        </w:rPr>
        <w:t>建设单位法人代表（签名或签章）</w:t>
      </w:r>
      <w:r>
        <w:rPr>
          <w:rFonts w:hint="default" w:ascii="Times New Roman" w:hAnsi="Times New Roman" w:eastAsia="宋体" w:cs="Times New Roman"/>
          <w:color w:val="auto"/>
          <w:spacing w:val="0"/>
          <w:position w:val="0"/>
          <w:sz w:val="32"/>
          <w:szCs w:val="32"/>
        </w:rPr>
        <w:t>：</w:t>
      </w:r>
      <w:r>
        <w:rPr>
          <w:rFonts w:hint="default" w:ascii="Times New Roman" w:hAnsi="Times New Roman" w:eastAsia="宋体" w:cs="Times New Roman"/>
          <w:color w:val="auto"/>
          <w:spacing w:val="0"/>
          <w:position w:val="0"/>
          <w:sz w:val="32"/>
          <w:szCs w:val="32"/>
          <w:u w:val="single"/>
        </w:rPr>
        <w:t xml:space="preserve">                   </w:t>
      </w:r>
    </w:p>
    <w:p w14:paraId="1A93FC63">
      <w:pPr>
        <w:ind w:left="1925" w:leftChars="133" w:hanging="1606" w:hangingChars="500"/>
        <w:rPr>
          <w:rFonts w:hint="default" w:ascii="Times New Roman" w:hAnsi="Times New Roman" w:eastAsia="宋体" w:cs="Times New Roman"/>
          <w:color w:val="auto"/>
          <w:spacing w:val="0"/>
          <w:position w:val="0"/>
          <w:sz w:val="32"/>
          <w:szCs w:val="32"/>
          <w:lang w:eastAsia="zh-CN"/>
        </w:rPr>
      </w:pPr>
      <w:r>
        <w:rPr>
          <w:rFonts w:hint="default" w:ascii="Times New Roman" w:hAnsi="Times New Roman" w:eastAsia="宋体" w:cs="Times New Roman"/>
          <w:b/>
          <w:color w:val="auto"/>
          <w:spacing w:val="0"/>
          <w:position w:val="0"/>
          <w:sz w:val="32"/>
          <w:szCs w:val="32"/>
        </w:rPr>
        <w:t>通讯地址</w:t>
      </w:r>
      <w:r>
        <w:rPr>
          <w:rFonts w:hint="default" w:ascii="Times New Roman" w:hAnsi="Times New Roman" w:eastAsia="宋体" w:cs="Times New Roman"/>
          <w:color w:val="auto"/>
          <w:spacing w:val="0"/>
          <w:position w:val="0"/>
          <w:sz w:val="32"/>
          <w:szCs w:val="32"/>
        </w:rPr>
        <w:t>：</w:t>
      </w:r>
      <w:r>
        <w:rPr>
          <w:rFonts w:hint="default" w:ascii="Times New Roman" w:hAnsi="Times New Roman" w:eastAsia="宋体" w:cs="Times New Roman"/>
          <w:color w:val="auto"/>
          <w:spacing w:val="0"/>
          <w:position w:val="0"/>
          <w:sz w:val="32"/>
          <w:szCs w:val="32"/>
          <w:u w:val="single"/>
          <w:lang w:eastAsia="zh-CN"/>
        </w:rPr>
        <w:t>曲靖市麒麟区麒麟西路287号</w:t>
      </w:r>
    </w:p>
    <w:p w14:paraId="2BFADDF7">
      <w:pPr>
        <w:ind w:firstLine="321" w:firstLineChars="100"/>
        <w:rPr>
          <w:rFonts w:hint="default" w:ascii="Times New Roman" w:hAnsi="Times New Roman" w:eastAsia="宋体" w:cs="Times New Roman"/>
          <w:color w:val="auto"/>
          <w:spacing w:val="0"/>
          <w:position w:val="0"/>
          <w:sz w:val="32"/>
          <w:szCs w:val="32"/>
          <w:u w:val="single"/>
        </w:rPr>
      </w:pPr>
      <w:r>
        <w:rPr>
          <w:rFonts w:hint="default" w:ascii="Times New Roman" w:hAnsi="Times New Roman" w:eastAsia="宋体" w:cs="Times New Roman"/>
          <w:b/>
          <w:bCs/>
          <w:color w:val="auto"/>
          <w:spacing w:val="0"/>
          <w:position w:val="0"/>
          <w:sz w:val="32"/>
          <w:szCs w:val="32"/>
        </w:rPr>
        <w:t>邮政编码：</w:t>
      </w:r>
      <w:r>
        <w:rPr>
          <w:rFonts w:hint="default" w:ascii="Times New Roman" w:hAnsi="Times New Roman" w:eastAsia="宋体" w:cs="Times New Roman"/>
          <w:color w:val="auto"/>
          <w:spacing w:val="0"/>
          <w:position w:val="0"/>
          <w:sz w:val="32"/>
          <w:szCs w:val="32"/>
          <w:u w:val="single"/>
        </w:rPr>
        <w:t xml:space="preserve">    </w:t>
      </w:r>
      <w:r>
        <w:rPr>
          <w:rFonts w:hint="default" w:ascii="Times New Roman" w:hAnsi="Times New Roman" w:eastAsia="宋体" w:cs="Times New Roman"/>
          <w:color w:val="auto"/>
          <w:spacing w:val="0"/>
          <w:position w:val="0"/>
          <w:sz w:val="32"/>
          <w:szCs w:val="32"/>
          <w:u w:val="single"/>
          <w:lang w:eastAsia="zh-CN"/>
        </w:rPr>
        <w:t>655099</w:t>
      </w:r>
      <w:r>
        <w:rPr>
          <w:rFonts w:hint="default" w:ascii="Times New Roman" w:hAnsi="Times New Roman" w:eastAsia="宋体" w:cs="Times New Roman"/>
          <w:color w:val="auto"/>
          <w:spacing w:val="0"/>
          <w:position w:val="0"/>
          <w:sz w:val="32"/>
          <w:szCs w:val="32"/>
          <w:u w:val="single"/>
        </w:rPr>
        <w:t xml:space="preserve">     </w:t>
      </w:r>
      <w:r>
        <w:rPr>
          <w:rFonts w:hint="default" w:ascii="Times New Roman" w:hAnsi="Times New Roman" w:eastAsia="宋体" w:cs="Times New Roman"/>
          <w:color w:val="auto"/>
          <w:spacing w:val="0"/>
          <w:position w:val="0"/>
          <w:sz w:val="32"/>
          <w:szCs w:val="32"/>
          <w:u w:val="single"/>
          <w:lang w:val="en-US" w:eastAsia="zh-CN"/>
        </w:rPr>
        <w:t xml:space="preserve"> </w:t>
      </w:r>
      <w:r>
        <w:rPr>
          <w:rFonts w:hint="default" w:ascii="Times New Roman" w:hAnsi="Times New Roman" w:eastAsia="宋体" w:cs="Times New Roman"/>
          <w:color w:val="auto"/>
          <w:spacing w:val="0"/>
          <w:position w:val="0"/>
          <w:sz w:val="32"/>
          <w:szCs w:val="32"/>
          <w:u w:val="single"/>
        </w:rPr>
        <w:t xml:space="preserve"> </w:t>
      </w:r>
      <w:r>
        <w:rPr>
          <w:rFonts w:hint="default" w:ascii="Times New Roman" w:hAnsi="Times New Roman" w:eastAsia="宋体" w:cs="Times New Roman"/>
          <w:b/>
          <w:bCs/>
          <w:color w:val="auto"/>
          <w:spacing w:val="0"/>
          <w:position w:val="0"/>
          <w:sz w:val="32"/>
          <w:szCs w:val="32"/>
        </w:rPr>
        <w:t>联系人：</w:t>
      </w:r>
      <w:r>
        <w:rPr>
          <w:rFonts w:hint="default" w:ascii="Times New Roman" w:hAnsi="Times New Roman" w:eastAsia="宋体" w:cs="Times New Roman"/>
          <w:color w:val="auto"/>
          <w:spacing w:val="0"/>
          <w:position w:val="0"/>
          <w:sz w:val="32"/>
          <w:szCs w:val="32"/>
        </w:rPr>
        <w:t xml:space="preserve">  </w:t>
      </w:r>
      <w:r>
        <w:rPr>
          <w:rFonts w:hint="default" w:ascii="Times New Roman" w:hAnsi="Times New Roman" w:eastAsia="宋体" w:cs="Times New Roman"/>
          <w:color w:val="auto"/>
          <w:spacing w:val="0"/>
          <w:position w:val="0"/>
          <w:sz w:val="32"/>
          <w:szCs w:val="32"/>
          <w:u w:val="single"/>
        </w:rPr>
        <w:t xml:space="preserve"> </w:t>
      </w:r>
      <w:r>
        <w:rPr>
          <w:rFonts w:hint="default" w:ascii="Times New Roman" w:hAnsi="Times New Roman" w:eastAsia="宋体" w:cs="Times New Roman"/>
          <w:color w:val="auto"/>
          <w:spacing w:val="0"/>
          <w:position w:val="0"/>
          <w:sz w:val="32"/>
          <w:szCs w:val="32"/>
          <w:u w:val="single"/>
          <w:lang w:val="en-US" w:eastAsia="zh-CN"/>
        </w:rPr>
        <w:t>郭志</w:t>
      </w:r>
      <w:r>
        <w:rPr>
          <w:rFonts w:hint="default" w:ascii="Times New Roman" w:hAnsi="Times New Roman" w:eastAsia="宋体" w:cs="Times New Roman"/>
          <w:color w:val="auto"/>
          <w:spacing w:val="0"/>
          <w:position w:val="0"/>
          <w:sz w:val="32"/>
          <w:szCs w:val="32"/>
          <w:u w:val="single"/>
        </w:rPr>
        <w:t xml:space="preserve">   </w:t>
      </w:r>
    </w:p>
    <w:p w14:paraId="7F56DA7E">
      <w:pPr>
        <w:ind w:firstLine="321" w:firstLineChars="100"/>
        <w:rPr>
          <w:rFonts w:hint="default" w:ascii="Times New Roman" w:hAnsi="Times New Roman" w:eastAsia="宋体" w:cs="Times New Roman"/>
          <w:b/>
          <w:color w:val="auto"/>
          <w:spacing w:val="0"/>
          <w:position w:val="0"/>
          <w:sz w:val="32"/>
          <w:szCs w:val="32"/>
        </w:rPr>
      </w:pPr>
      <w:r>
        <w:rPr>
          <w:rFonts w:hint="default" w:ascii="Times New Roman" w:hAnsi="Times New Roman" w:eastAsia="宋体" w:cs="Times New Roman"/>
          <w:b/>
          <w:bCs/>
          <w:color w:val="auto"/>
          <w:spacing w:val="0"/>
          <w:position w:val="0"/>
          <w:sz w:val="32"/>
          <w:szCs w:val="32"/>
        </w:rPr>
        <w:t>电子邮箱：</w:t>
      </w:r>
      <w:r>
        <w:rPr>
          <w:rFonts w:hint="default" w:ascii="Times New Roman" w:hAnsi="Times New Roman" w:eastAsia="宋体" w:cs="Times New Roman"/>
          <w:b/>
          <w:bCs/>
          <w:color w:val="auto"/>
          <w:spacing w:val="0"/>
          <w:position w:val="0"/>
          <w:sz w:val="32"/>
          <w:szCs w:val="32"/>
          <w:u w:val="single"/>
          <w:lang w:val="en-US" w:eastAsia="zh-CN"/>
        </w:rPr>
        <w:t xml:space="preserve">   </w:t>
      </w:r>
      <w:r>
        <w:rPr>
          <w:rFonts w:hint="default" w:ascii="Times New Roman" w:hAnsi="Times New Roman" w:eastAsia="宋体" w:cs="Times New Roman"/>
          <w:color w:val="auto"/>
          <w:spacing w:val="0"/>
          <w:position w:val="0"/>
          <w:sz w:val="32"/>
          <w:szCs w:val="32"/>
          <w:u w:val="single"/>
          <w:lang w:val="en-US" w:eastAsia="zh-CN"/>
        </w:rPr>
        <w:t xml:space="preserve">    /        </w:t>
      </w:r>
      <w:r>
        <w:rPr>
          <w:rFonts w:hint="default" w:ascii="Times New Roman" w:hAnsi="Times New Roman" w:eastAsia="宋体" w:cs="Times New Roman"/>
          <w:color w:val="auto"/>
          <w:spacing w:val="0"/>
          <w:position w:val="0"/>
          <w:sz w:val="32"/>
          <w:szCs w:val="32"/>
          <w:u w:val="single"/>
        </w:rPr>
        <w:t xml:space="preserve"> </w:t>
      </w:r>
      <w:r>
        <w:rPr>
          <w:rFonts w:hint="default" w:ascii="Times New Roman" w:hAnsi="Times New Roman" w:eastAsia="宋体" w:cs="Times New Roman"/>
          <w:b/>
          <w:color w:val="auto"/>
          <w:spacing w:val="0"/>
          <w:position w:val="0"/>
          <w:sz w:val="32"/>
          <w:szCs w:val="32"/>
        </w:rPr>
        <w:t>联系电话</w:t>
      </w:r>
      <w:r>
        <w:rPr>
          <w:rFonts w:hint="default" w:ascii="Times New Roman" w:hAnsi="Times New Roman" w:eastAsia="宋体" w:cs="Times New Roman"/>
          <w:color w:val="auto"/>
          <w:spacing w:val="0"/>
          <w:position w:val="0"/>
          <w:sz w:val="32"/>
          <w:szCs w:val="32"/>
        </w:rPr>
        <w:t>：</w:t>
      </w:r>
      <w:r>
        <w:rPr>
          <w:rFonts w:hint="default" w:ascii="Times New Roman" w:hAnsi="Times New Roman" w:eastAsia="宋体" w:cs="Times New Roman"/>
          <w:color w:val="auto"/>
          <w:spacing w:val="0"/>
          <w:position w:val="0"/>
          <w:sz w:val="32"/>
          <w:szCs w:val="32"/>
          <w:u w:val="single"/>
        </w:rPr>
        <w:t xml:space="preserve"> </w:t>
      </w:r>
      <w:r>
        <w:rPr>
          <w:rFonts w:hint="default" w:ascii="Times New Roman" w:hAnsi="Times New Roman" w:eastAsia="宋体" w:cs="Times New Roman"/>
          <w:color w:val="auto"/>
          <w:spacing w:val="0"/>
          <w:position w:val="0"/>
          <w:sz w:val="32"/>
          <w:szCs w:val="32"/>
          <w:u w:val="single"/>
          <w:lang w:val="en-US" w:eastAsia="zh-CN"/>
        </w:rPr>
        <w:t>138 8745 2586</w:t>
      </w:r>
      <w:r>
        <w:rPr>
          <w:rFonts w:hint="default" w:ascii="Times New Roman" w:hAnsi="Times New Roman" w:eastAsia="宋体" w:cs="Times New Roman"/>
          <w:color w:val="auto"/>
          <w:spacing w:val="0"/>
          <w:position w:val="0"/>
          <w:sz w:val="32"/>
          <w:szCs w:val="32"/>
          <w:u w:val="single"/>
        </w:rPr>
        <w:t xml:space="preserve"> </w:t>
      </w:r>
    </w:p>
    <w:p w14:paraId="06D0828C">
      <w:pPr>
        <w:spacing w:line="720" w:lineRule="auto"/>
        <w:ind w:firstLine="640"/>
        <w:jc w:val="center"/>
        <w:rPr>
          <w:rFonts w:hint="default" w:ascii="Times New Roman" w:hAnsi="Times New Roman" w:eastAsia="宋体" w:cs="Times New Roman"/>
          <w:color w:val="auto"/>
          <w:spacing w:val="0"/>
          <w:position w:val="0"/>
          <w:sz w:val="32"/>
          <w:szCs w:val="32"/>
        </w:rPr>
      </w:pPr>
    </w:p>
    <w:p w14:paraId="1962F70C">
      <w:pPr>
        <w:spacing w:line="720" w:lineRule="auto"/>
        <w:ind w:firstLine="640"/>
        <w:jc w:val="center"/>
        <w:rPr>
          <w:rFonts w:hint="default" w:ascii="Times New Roman" w:hAnsi="Times New Roman" w:eastAsia="宋体" w:cs="Times New Roman"/>
          <w:color w:val="auto"/>
          <w:spacing w:val="0"/>
          <w:position w:val="0"/>
          <w:sz w:val="32"/>
          <w:szCs w:val="32"/>
        </w:rPr>
      </w:pPr>
    </w:p>
    <w:p w14:paraId="3DEC9C2A">
      <w:pPr>
        <w:snapToGrid w:val="0"/>
        <w:spacing w:line="240" w:lineRule="auto"/>
        <w:ind w:firstLine="0" w:firstLineChars="0"/>
        <w:jc w:val="center"/>
        <w:rPr>
          <w:rFonts w:hint="default" w:ascii="Times New Roman" w:hAnsi="Times New Roman" w:eastAsia="宋体" w:cs="Times New Roman"/>
          <w:color w:val="auto"/>
          <w:spacing w:val="0"/>
          <w:position w:val="0"/>
          <w:sz w:val="32"/>
          <w:szCs w:val="32"/>
        </w:rPr>
        <w:sectPr>
          <w:footerReference r:id="rId5" w:type="default"/>
          <w:pgSz w:w="11906" w:h="16838"/>
          <w:pgMar w:top="1440" w:right="1803" w:bottom="1440" w:left="180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953B847">
      <w:pPr>
        <w:snapToGrid w:val="0"/>
        <w:spacing w:line="240" w:lineRule="auto"/>
        <w:ind w:firstLine="0" w:firstLineChars="0"/>
        <w:jc w:val="center"/>
        <w:rPr>
          <w:rFonts w:hint="default" w:ascii="Times New Roman" w:hAnsi="Times New Roman" w:eastAsia="宋体" w:cs="Times New Roman"/>
          <w:color w:val="auto"/>
          <w:spacing w:val="0"/>
          <w:position w:val="0"/>
          <w:sz w:val="32"/>
          <w:szCs w:val="32"/>
          <w:lang w:val="en-US" w:eastAsia="zh-CN"/>
        </w:rPr>
      </w:pPr>
      <w:r>
        <w:rPr>
          <w:rFonts w:hint="default" w:ascii="Times New Roman" w:hAnsi="Times New Roman" w:eastAsia="宋体" w:cs="Times New Roman"/>
          <w:color w:val="auto"/>
          <w:spacing w:val="0"/>
          <w:position w:val="0"/>
          <w:sz w:val="32"/>
          <w:szCs w:val="32"/>
        </w:rPr>
        <w:t>现场照片</w:t>
      </w:r>
      <w:r>
        <w:rPr>
          <w:rFonts w:hint="default" w:ascii="Times New Roman" w:hAnsi="Times New Roman" w:eastAsia="宋体" w:cs="Times New Roman"/>
          <w:color w:val="auto"/>
          <w:spacing w:val="0"/>
          <w:position w:val="0"/>
          <w:sz w:val="32"/>
          <w:szCs w:val="32"/>
          <w:lang w:val="en-US" w:eastAsia="zh-CN"/>
        </w:rPr>
        <w:t>（一）</w:t>
      </w:r>
    </w:p>
    <w:p w14:paraId="5A978B30">
      <w:pPr>
        <w:snapToGrid w:val="0"/>
        <w:spacing w:line="240" w:lineRule="auto"/>
        <w:ind w:firstLine="0" w:firstLineChars="0"/>
        <w:jc w:val="center"/>
        <w:rPr>
          <w:rFonts w:hint="default" w:ascii="Times New Roman" w:hAnsi="Times New Roman" w:eastAsia="宋体" w:cs="Times New Roman"/>
          <w:color w:val="auto"/>
          <w:spacing w:val="0"/>
          <w:position w:val="0"/>
          <w:sz w:val="32"/>
          <w:szCs w:val="32"/>
          <w:lang w:val="en-US" w:eastAsia="zh-CN"/>
        </w:rPr>
      </w:pPr>
    </w:p>
    <w:tbl>
      <w:tblPr>
        <w:tblStyle w:val="21"/>
        <w:tblW w:w="98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903"/>
        <w:gridCol w:w="4926"/>
      </w:tblGrid>
      <w:tr w14:paraId="6129E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56" w:hRule="atLeast"/>
          <w:jc w:val="center"/>
        </w:trPr>
        <w:tc>
          <w:tcPr>
            <w:tcW w:w="4903" w:type="dxa"/>
            <w:tcBorders>
              <w:tl2br w:val="nil"/>
              <w:tr2bl w:val="nil"/>
            </w:tcBorders>
            <w:noWrap w:val="0"/>
            <w:vAlign w:val="center"/>
          </w:tcPr>
          <w:p w14:paraId="020289D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0"/>
                <w:position w:val="0"/>
                <w:sz w:val="24"/>
                <w:szCs w:val="24"/>
                <w:lang w:eastAsia="zh-CN"/>
              </w:rPr>
            </w:pPr>
            <w:r>
              <w:rPr>
                <w:rFonts w:hint="default" w:ascii="Times New Roman" w:hAnsi="Times New Roman" w:eastAsia="宋体" w:cs="Times New Roman"/>
                <w:b w:val="0"/>
                <w:bCs w:val="0"/>
                <w:color w:val="auto"/>
                <w:spacing w:val="0"/>
                <w:position w:val="0"/>
                <w:sz w:val="24"/>
                <w:szCs w:val="24"/>
                <w:lang w:eastAsia="zh-CN"/>
              </w:rPr>
              <w:drawing>
                <wp:inline distT="0" distB="0" distL="114300" distR="114300">
                  <wp:extent cx="2964815" cy="2223770"/>
                  <wp:effectExtent l="0" t="0" r="6985" b="5080"/>
                  <wp:docPr id="1" name="图片 14" descr="IMG_20251031_155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4" descr="IMG_20251031_1555228"/>
                          <pic:cNvPicPr>
                            <a:picLocks noChangeAspect="1"/>
                          </pic:cNvPicPr>
                        </pic:nvPicPr>
                        <pic:blipFill>
                          <a:blip r:embed="rId11"/>
                          <a:stretch>
                            <a:fillRect/>
                          </a:stretch>
                        </pic:blipFill>
                        <pic:spPr>
                          <a:xfrm>
                            <a:off x="0" y="0"/>
                            <a:ext cx="2964815" cy="2223770"/>
                          </a:xfrm>
                          <a:prstGeom prst="rect">
                            <a:avLst/>
                          </a:prstGeom>
                          <a:noFill/>
                          <a:ln>
                            <a:noFill/>
                          </a:ln>
                        </pic:spPr>
                      </pic:pic>
                    </a:graphicData>
                  </a:graphic>
                </wp:inline>
              </w:drawing>
            </w:r>
          </w:p>
        </w:tc>
        <w:tc>
          <w:tcPr>
            <w:tcW w:w="4926" w:type="dxa"/>
            <w:tcBorders>
              <w:tl2br w:val="nil"/>
              <w:tr2bl w:val="nil"/>
            </w:tcBorders>
            <w:noWrap w:val="0"/>
            <w:vAlign w:val="center"/>
          </w:tcPr>
          <w:p w14:paraId="094136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position w:val="0"/>
                <w:sz w:val="24"/>
                <w:szCs w:val="24"/>
                <w:lang w:val="en-US" w:eastAsia="zh-CN" w:bidi="ar-SA"/>
              </w:rPr>
            </w:pPr>
            <w:r>
              <w:rPr>
                <w:rFonts w:hint="default" w:ascii="Times New Roman" w:hAnsi="Times New Roman" w:eastAsia="宋体" w:cs="Times New Roman"/>
                <w:b w:val="0"/>
                <w:bCs w:val="0"/>
                <w:color w:val="auto"/>
                <w:spacing w:val="0"/>
                <w:kern w:val="2"/>
                <w:position w:val="0"/>
                <w:sz w:val="24"/>
                <w:szCs w:val="24"/>
                <w:lang w:val="en-US" w:eastAsia="zh-CN" w:bidi="ar-SA"/>
              </w:rPr>
              <w:drawing>
                <wp:inline distT="0" distB="0" distL="114300" distR="114300">
                  <wp:extent cx="2964815" cy="2223770"/>
                  <wp:effectExtent l="0" t="0" r="6985" b="5080"/>
                  <wp:docPr id="2" name="图片 15" descr="IMG_20251031_15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IMG_20251031_155528"/>
                          <pic:cNvPicPr>
                            <a:picLocks noChangeAspect="1"/>
                          </pic:cNvPicPr>
                        </pic:nvPicPr>
                        <pic:blipFill>
                          <a:blip r:embed="rId12"/>
                          <a:stretch>
                            <a:fillRect/>
                          </a:stretch>
                        </pic:blipFill>
                        <pic:spPr>
                          <a:xfrm>
                            <a:off x="0" y="0"/>
                            <a:ext cx="2964815" cy="2223770"/>
                          </a:xfrm>
                          <a:prstGeom prst="rect">
                            <a:avLst/>
                          </a:prstGeom>
                          <a:noFill/>
                          <a:ln>
                            <a:noFill/>
                          </a:ln>
                        </pic:spPr>
                      </pic:pic>
                    </a:graphicData>
                  </a:graphic>
                </wp:inline>
              </w:drawing>
            </w:r>
          </w:p>
        </w:tc>
      </w:tr>
      <w:tr w14:paraId="44934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03" w:type="dxa"/>
            <w:tcBorders>
              <w:tl2br w:val="nil"/>
              <w:tr2bl w:val="nil"/>
            </w:tcBorders>
            <w:noWrap w:val="0"/>
            <w:vAlign w:val="center"/>
          </w:tcPr>
          <w:p w14:paraId="1E6E66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position w:val="0"/>
                <w:sz w:val="24"/>
                <w:szCs w:val="24"/>
                <w:lang w:val="en-US" w:eastAsia="zh-CN" w:bidi="ar-SA"/>
              </w:rPr>
            </w:pPr>
            <w:r>
              <w:rPr>
                <w:rFonts w:hint="default" w:ascii="Times New Roman" w:hAnsi="Times New Roman" w:eastAsia="宋体" w:cs="Times New Roman"/>
                <w:b w:val="0"/>
                <w:bCs w:val="0"/>
                <w:color w:val="auto"/>
                <w:spacing w:val="0"/>
                <w:position w:val="0"/>
                <w:sz w:val="24"/>
                <w:szCs w:val="24"/>
                <w:lang w:val="en-US" w:eastAsia="zh-CN"/>
              </w:rPr>
              <w:t>DSA拟建机房（14号机房）现状</w:t>
            </w:r>
          </w:p>
        </w:tc>
        <w:tc>
          <w:tcPr>
            <w:tcW w:w="4926" w:type="dxa"/>
            <w:tcBorders>
              <w:tl2br w:val="nil"/>
              <w:tr2bl w:val="nil"/>
            </w:tcBorders>
            <w:noWrap w:val="0"/>
            <w:vAlign w:val="center"/>
          </w:tcPr>
          <w:p w14:paraId="74289E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position w:val="0"/>
                <w:sz w:val="24"/>
                <w:szCs w:val="24"/>
                <w:lang w:val="en-US" w:eastAsia="zh-CN" w:bidi="ar-SA"/>
              </w:rPr>
            </w:pPr>
            <w:r>
              <w:rPr>
                <w:rFonts w:hint="default" w:ascii="Times New Roman" w:hAnsi="Times New Roman" w:eastAsia="宋体" w:cs="Times New Roman"/>
                <w:b w:val="0"/>
                <w:bCs w:val="0"/>
                <w:color w:val="auto"/>
                <w:spacing w:val="0"/>
                <w:position w:val="0"/>
                <w:sz w:val="24"/>
                <w:szCs w:val="24"/>
                <w:lang w:val="en-US" w:eastAsia="zh-CN"/>
              </w:rPr>
              <w:t>DSA拟建机房（15号机房）现状</w:t>
            </w:r>
          </w:p>
        </w:tc>
      </w:tr>
      <w:tr w14:paraId="66FCB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93" w:hRule="atLeast"/>
          <w:jc w:val="center"/>
        </w:trPr>
        <w:tc>
          <w:tcPr>
            <w:tcW w:w="4903" w:type="dxa"/>
            <w:tcBorders>
              <w:tl2br w:val="nil"/>
              <w:tr2bl w:val="nil"/>
            </w:tcBorders>
            <w:noWrap w:val="0"/>
            <w:vAlign w:val="center"/>
          </w:tcPr>
          <w:p w14:paraId="13EBF8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position w:val="0"/>
                <w:sz w:val="24"/>
                <w:szCs w:val="24"/>
                <w:lang w:val="en-US" w:eastAsia="zh-CN" w:bidi="ar-SA"/>
              </w:rPr>
            </w:pPr>
            <w:r>
              <w:rPr>
                <w:rFonts w:hint="default" w:ascii="Times New Roman" w:hAnsi="Times New Roman" w:eastAsia="宋体" w:cs="Times New Roman"/>
                <w:b w:val="0"/>
                <w:bCs w:val="0"/>
                <w:color w:val="auto"/>
                <w:spacing w:val="0"/>
                <w:kern w:val="2"/>
                <w:position w:val="0"/>
                <w:sz w:val="24"/>
                <w:szCs w:val="24"/>
                <w:lang w:val="en-US" w:eastAsia="zh-CN" w:bidi="ar-SA"/>
              </w:rPr>
              <w:drawing>
                <wp:inline distT="0" distB="0" distL="114300" distR="114300">
                  <wp:extent cx="2964815" cy="2223770"/>
                  <wp:effectExtent l="0" t="0" r="6985" b="5080"/>
                  <wp:docPr id="3" name="图片 23" descr="IMG_20251031_15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3" descr="IMG_20251031_155529"/>
                          <pic:cNvPicPr>
                            <a:picLocks noChangeAspect="1"/>
                          </pic:cNvPicPr>
                        </pic:nvPicPr>
                        <pic:blipFill>
                          <a:blip r:embed="rId13"/>
                          <a:stretch>
                            <a:fillRect/>
                          </a:stretch>
                        </pic:blipFill>
                        <pic:spPr>
                          <a:xfrm>
                            <a:off x="0" y="0"/>
                            <a:ext cx="2964815" cy="2223770"/>
                          </a:xfrm>
                          <a:prstGeom prst="rect">
                            <a:avLst/>
                          </a:prstGeom>
                          <a:noFill/>
                          <a:ln>
                            <a:noFill/>
                          </a:ln>
                        </pic:spPr>
                      </pic:pic>
                    </a:graphicData>
                  </a:graphic>
                </wp:inline>
              </w:drawing>
            </w:r>
          </w:p>
        </w:tc>
        <w:tc>
          <w:tcPr>
            <w:tcW w:w="4926" w:type="dxa"/>
            <w:tcBorders>
              <w:tl2br w:val="nil"/>
              <w:tr2bl w:val="nil"/>
            </w:tcBorders>
            <w:noWrap w:val="0"/>
            <w:vAlign w:val="center"/>
          </w:tcPr>
          <w:p w14:paraId="4EA121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position w:val="0"/>
                <w:sz w:val="24"/>
                <w:szCs w:val="24"/>
                <w:lang w:val="en-US" w:eastAsia="zh-CN" w:bidi="ar-SA"/>
              </w:rPr>
            </w:pPr>
            <w:r>
              <w:rPr>
                <w:rFonts w:hint="default" w:ascii="Times New Roman" w:hAnsi="Times New Roman" w:eastAsia="宋体" w:cs="Times New Roman"/>
                <w:b w:val="0"/>
                <w:bCs w:val="0"/>
                <w:color w:val="auto"/>
                <w:spacing w:val="0"/>
                <w:kern w:val="2"/>
                <w:position w:val="0"/>
                <w:sz w:val="24"/>
                <w:szCs w:val="24"/>
                <w:lang w:val="en-US" w:eastAsia="zh-CN" w:bidi="ar-SA"/>
              </w:rPr>
              <w:drawing>
                <wp:inline distT="0" distB="0" distL="114300" distR="114300">
                  <wp:extent cx="2964815" cy="2223770"/>
                  <wp:effectExtent l="0" t="0" r="6985" b="5080"/>
                  <wp:docPr id="4" name="图片 24" descr="IMG_20251031_15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descr="IMG_20251031_155528"/>
                          <pic:cNvPicPr>
                            <a:picLocks noChangeAspect="1"/>
                          </pic:cNvPicPr>
                        </pic:nvPicPr>
                        <pic:blipFill>
                          <a:blip r:embed="rId14"/>
                          <a:stretch>
                            <a:fillRect/>
                          </a:stretch>
                        </pic:blipFill>
                        <pic:spPr>
                          <a:xfrm>
                            <a:off x="0" y="0"/>
                            <a:ext cx="2964815" cy="2223770"/>
                          </a:xfrm>
                          <a:prstGeom prst="rect">
                            <a:avLst/>
                          </a:prstGeom>
                          <a:noFill/>
                          <a:ln>
                            <a:noFill/>
                          </a:ln>
                        </pic:spPr>
                      </pic:pic>
                    </a:graphicData>
                  </a:graphic>
                </wp:inline>
              </w:drawing>
            </w:r>
          </w:p>
        </w:tc>
      </w:tr>
      <w:tr w14:paraId="65326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03" w:type="dxa"/>
            <w:tcBorders>
              <w:tl2br w:val="nil"/>
              <w:tr2bl w:val="nil"/>
            </w:tcBorders>
            <w:noWrap w:val="0"/>
            <w:vAlign w:val="center"/>
          </w:tcPr>
          <w:p w14:paraId="53A829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position w:val="0"/>
                <w:sz w:val="24"/>
                <w:szCs w:val="24"/>
                <w:lang w:val="en-US" w:eastAsia="zh-CN" w:bidi="ar-SA"/>
              </w:rPr>
            </w:pPr>
            <w:r>
              <w:rPr>
                <w:rFonts w:hint="default" w:ascii="Times New Roman" w:hAnsi="Times New Roman" w:eastAsia="宋体" w:cs="Times New Roman"/>
                <w:b w:val="0"/>
                <w:bCs w:val="0"/>
                <w:color w:val="auto"/>
                <w:spacing w:val="0"/>
                <w:kern w:val="2"/>
                <w:position w:val="0"/>
                <w:sz w:val="24"/>
                <w:szCs w:val="24"/>
                <w:lang w:val="en-US" w:eastAsia="zh-CN" w:bidi="ar-SA"/>
              </w:rPr>
              <w:t>DSA拟建机房（15号机房）现状</w:t>
            </w:r>
          </w:p>
        </w:tc>
        <w:tc>
          <w:tcPr>
            <w:tcW w:w="4926" w:type="dxa"/>
            <w:tcBorders>
              <w:tl2br w:val="nil"/>
              <w:tr2bl w:val="nil"/>
            </w:tcBorders>
            <w:noWrap w:val="0"/>
            <w:vAlign w:val="center"/>
          </w:tcPr>
          <w:p w14:paraId="19D770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
                <w:position w:val="0"/>
                <w:sz w:val="24"/>
                <w:szCs w:val="24"/>
                <w:lang w:val="en-US" w:eastAsia="zh-CN" w:bidi="ar-SA"/>
              </w:rPr>
            </w:pPr>
            <w:r>
              <w:rPr>
                <w:rFonts w:hint="default" w:ascii="Times New Roman" w:hAnsi="Times New Roman" w:eastAsia="宋体" w:cs="Times New Roman"/>
                <w:b w:val="0"/>
                <w:bCs w:val="0"/>
                <w:color w:val="auto"/>
                <w:spacing w:val="0"/>
                <w:kern w:val="2"/>
                <w:position w:val="0"/>
                <w:sz w:val="24"/>
                <w:szCs w:val="24"/>
                <w:lang w:val="en-US" w:eastAsia="zh-CN" w:bidi="ar-SA"/>
              </w:rPr>
              <w:t>DSA拟建机房（14号机房）现状</w:t>
            </w:r>
          </w:p>
        </w:tc>
      </w:tr>
      <w:tr w14:paraId="5F8E0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03" w:type="dxa"/>
            <w:tcBorders>
              <w:tl2br w:val="nil"/>
              <w:tr2bl w:val="nil"/>
            </w:tcBorders>
            <w:noWrap w:val="0"/>
            <w:vAlign w:val="center"/>
          </w:tcPr>
          <w:p w14:paraId="135706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0"/>
                <w:position w:val="0"/>
                <w:sz w:val="24"/>
                <w:szCs w:val="24"/>
                <w:lang w:eastAsia="zh-CN"/>
              </w:rPr>
            </w:pPr>
            <w:r>
              <w:rPr>
                <w:rFonts w:hint="default" w:ascii="Times New Roman" w:hAnsi="Times New Roman" w:eastAsia="宋体" w:cs="Times New Roman"/>
                <w:b w:val="0"/>
                <w:bCs w:val="0"/>
                <w:color w:val="auto"/>
                <w:spacing w:val="0"/>
                <w:position w:val="0"/>
                <w:sz w:val="24"/>
                <w:szCs w:val="24"/>
                <w:lang w:eastAsia="zh-CN"/>
              </w:rPr>
              <w:drawing>
                <wp:inline distT="0" distB="0" distL="114300" distR="114300">
                  <wp:extent cx="2964815" cy="2223770"/>
                  <wp:effectExtent l="0" t="0" r="6985" b="5080"/>
                  <wp:docPr id="5" name="图片 29" descr="IMG_20260722_10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9" descr="IMG_20260722_102703"/>
                          <pic:cNvPicPr>
                            <a:picLocks noChangeAspect="1"/>
                          </pic:cNvPicPr>
                        </pic:nvPicPr>
                        <pic:blipFill>
                          <a:blip r:embed="rId15"/>
                          <a:stretch>
                            <a:fillRect/>
                          </a:stretch>
                        </pic:blipFill>
                        <pic:spPr>
                          <a:xfrm>
                            <a:off x="0" y="0"/>
                            <a:ext cx="2964815" cy="2223770"/>
                          </a:xfrm>
                          <a:prstGeom prst="rect">
                            <a:avLst/>
                          </a:prstGeom>
                          <a:noFill/>
                          <a:ln>
                            <a:noFill/>
                          </a:ln>
                        </pic:spPr>
                      </pic:pic>
                    </a:graphicData>
                  </a:graphic>
                </wp:inline>
              </w:drawing>
            </w:r>
          </w:p>
        </w:tc>
        <w:tc>
          <w:tcPr>
            <w:tcW w:w="4926" w:type="dxa"/>
            <w:tcBorders>
              <w:tl2br w:val="nil"/>
              <w:tr2bl w:val="nil"/>
            </w:tcBorders>
            <w:noWrap w:val="0"/>
            <w:vAlign w:val="center"/>
          </w:tcPr>
          <w:p w14:paraId="708D12E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0"/>
                <w:position w:val="0"/>
                <w:sz w:val="24"/>
                <w:szCs w:val="24"/>
                <w:lang w:eastAsia="zh-CN"/>
              </w:rPr>
            </w:pPr>
            <w:r>
              <w:rPr>
                <w:rFonts w:hint="default" w:ascii="Times New Roman" w:hAnsi="Times New Roman" w:eastAsia="宋体" w:cs="Times New Roman"/>
                <w:b w:val="0"/>
                <w:bCs w:val="0"/>
                <w:color w:val="auto"/>
                <w:spacing w:val="0"/>
                <w:position w:val="0"/>
                <w:sz w:val="24"/>
                <w:szCs w:val="24"/>
                <w:lang w:eastAsia="zh-CN"/>
              </w:rPr>
              <w:drawing>
                <wp:inline distT="0" distB="0" distL="114300" distR="114300">
                  <wp:extent cx="2964815" cy="2223770"/>
                  <wp:effectExtent l="0" t="0" r="6985" b="5080"/>
                  <wp:docPr id="6" name="图片 33" descr="IMG_20251031_15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3" descr="IMG_20251031_155528"/>
                          <pic:cNvPicPr>
                            <a:picLocks noChangeAspect="1"/>
                          </pic:cNvPicPr>
                        </pic:nvPicPr>
                        <pic:blipFill>
                          <a:blip r:embed="rId16"/>
                          <a:stretch>
                            <a:fillRect/>
                          </a:stretch>
                        </pic:blipFill>
                        <pic:spPr>
                          <a:xfrm>
                            <a:off x="0" y="0"/>
                            <a:ext cx="2964815" cy="2223770"/>
                          </a:xfrm>
                          <a:prstGeom prst="rect">
                            <a:avLst/>
                          </a:prstGeom>
                          <a:noFill/>
                          <a:ln>
                            <a:noFill/>
                          </a:ln>
                        </pic:spPr>
                      </pic:pic>
                    </a:graphicData>
                  </a:graphic>
                </wp:inline>
              </w:drawing>
            </w:r>
          </w:p>
        </w:tc>
      </w:tr>
      <w:tr w14:paraId="3EDD4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903" w:type="dxa"/>
            <w:tcBorders>
              <w:tl2br w:val="nil"/>
              <w:tr2bl w:val="nil"/>
            </w:tcBorders>
            <w:noWrap w:val="0"/>
            <w:vAlign w:val="center"/>
          </w:tcPr>
          <w:p w14:paraId="7EDDB3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DSA机房西侧16号机房</w:t>
            </w:r>
          </w:p>
        </w:tc>
        <w:tc>
          <w:tcPr>
            <w:tcW w:w="4926" w:type="dxa"/>
            <w:tcBorders>
              <w:tl2br w:val="nil"/>
              <w:tr2bl w:val="nil"/>
            </w:tcBorders>
            <w:noWrap w:val="0"/>
            <w:vAlign w:val="center"/>
          </w:tcPr>
          <w:p w14:paraId="5F95C7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DSA机房东侧13号病房</w:t>
            </w:r>
          </w:p>
        </w:tc>
      </w:tr>
    </w:tbl>
    <w:p w14:paraId="6D11ECE6">
      <w:pPr>
        <w:ind w:left="0" w:leftChars="0" w:firstLine="0" w:firstLineChars="0"/>
        <w:jc w:val="center"/>
        <w:rPr>
          <w:rFonts w:hint="default" w:ascii="Times New Roman" w:hAnsi="Times New Roman" w:eastAsia="宋体" w:cs="Times New Roman"/>
          <w:color w:val="auto"/>
          <w:spacing w:val="0"/>
          <w:position w:val="0"/>
          <w:sz w:val="32"/>
          <w:szCs w:val="32"/>
          <w:lang w:val="en-US" w:eastAsia="zh-CN"/>
        </w:rPr>
      </w:pPr>
      <w:r>
        <w:rPr>
          <w:rFonts w:hint="default" w:ascii="Times New Roman" w:hAnsi="Times New Roman" w:eastAsia="宋体" w:cs="Times New Roman"/>
          <w:b/>
          <w:bCs/>
          <w:color w:val="auto"/>
          <w:spacing w:val="0"/>
          <w:position w:val="0"/>
          <w:sz w:val="30"/>
          <w:szCs w:val="30"/>
        </w:rPr>
        <w:br w:type="page"/>
      </w:r>
      <w:r>
        <w:rPr>
          <w:rFonts w:hint="default" w:ascii="Times New Roman" w:hAnsi="Times New Roman" w:eastAsia="宋体" w:cs="Times New Roman"/>
          <w:color w:val="auto"/>
          <w:spacing w:val="0"/>
          <w:position w:val="0"/>
          <w:sz w:val="32"/>
          <w:szCs w:val="32"/>
          <w:lang w:val="en-US" w:eastAsia="zh-CN"/>
        </w:rPr>
        <w:t>现场照片（二）</w:t>
      </w:r>
    </w:p>
    <w:tbl>
      <w:tblPr>
        <w:tblStyle w:val="21"/>
        <w:tblW w:w="98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903"/>
        <w:gridCol w:w="4926"/>
      </w:tblGrid>
      <w:tr w14:paraId="08E74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4903" w:type="dxa"/>
            <w:tcBorders>
              <w:tl2br w:val="nil"/>
              <w:tr2bl w:val="nil"/>
            </w:tcBorders>
            <w:noWrap w:val="0"/>
            <w:vAlign w:val="bottom"/>
          </w:tcPr>
          <w:p w14:paraId="5A4B7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7" name="图片 34" descr="IMG_20260722_10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4" descr="IMG_20260722_101127"/>
                          <pic:cNvPicPr>
                            <a:picLocks noChangeAspect="1"/>
                          </pic:cNvPicPr>
                        </pic:nvPicPr>
                        <pic:blipFill>
                          <a:blip r:embed="rId17"/>
                          <a:stretch>
                            <a:fillRect/>
                          </a:stretch>
                        </pic:blipFill>
                        <pic:spPr>
                          <a:xfrm>
                            <a:off x="0" y="0"/>
                            <a:ext cx="2964815" cy="2223770"/>
                          </a:xfrm>
                          <a:prstGeom prst="rect">
                            <a:avLst/>
                          </a:prstGeom>
                          <a:noFill/>
                          <a:ln>
                            <a:noFill/>
                          </a:ln>
                        </pic:spPr>
                      </pic:pic>
                    </a:graphicData>
                  </a:graphic>
                </wp:inline>
              </w:drawing>
            </w:r>
          </w:p>
        </w:tc>
        <w:tc>
          <w:tcPr>
            <w:tcW w:w="4926" w:type="dxa"/>
            <w:tcBorders>
              <w:tl2br w:val="nil"/>
              <w:tr2bl w:val="nil"/>
            </w:tcBorders>
            <w:noWrap w:val="0"/>
            <w:vAlign w:val="bottom"/>
          </w:tcPr>
          <w:p w14:paraId="11A75C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8" name="图片 37" descr="IMG_20260722_10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7" descr="IMG_20260722_102217"/>
                          <pic:cNvPicPr>
                            <a:picLocks noChangeAspect="1"/>
                          </pic:cNvPicPr>
                        </pic:nvPicPr>
                        <pic:blipFill>
                          <a:blip r:embed="rId18"/>
                          <a:stretch>
                            <a:fillRect/>
                          </a:stretch>
                        </pic:blipFill>
                        <pic:spPr>
                          <a:xfrm>
                            <a:off x="0" y="0"/>
                            <a:ext cx="2964815" cy="2223770"/>
                          </a:xfrm>
                          <a:prstGeom prst="rect">
                            <a:avLst/>
                          </a:prstGeom>
                          <a:noFill/>
                          <a:ln>
                            <a:noFill/>
                          </a:ln>
                        </pic:spPr>
                      </pic:pic>
                    </a:graphicData>
                  </a:graphic>
                </wp:inline>
              </w:drawing>
            </w:r>
          </w:p>
        </w:tc>
      </w:tr>
      <w:tr w14:paraId="2BDB7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4" w:hRule="atLeast"/>
          <w:jc w:val="center"/>
        </w:trPr>
        <w:tc>
          <w:tcPr>
            <w:tcW w:w="4903" w:type="dxa"/>
            <w:tcBorders>
              <w:tl2br w:val="nil"/>
              <w:tr2bl w:val="nil"/>
            </w:tcBorders>
            <w:noWrap w:val="0"/>
            <w:vAlign w:val="bottom"/>
          </w:tcPr>
          <w:p w14:paraId="02E467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DSA机房北侧麻醉复苏室</w:t>
            </w:r>
          </w:p>
        </w:tc>
        <w:tc>
          <w:tcPr>
            <w:tcW w:w="4926" w:type="dxa"/>
            <w:tcBorders>
              <w:tl2br w:val="nil"/>
              <w:tr2bl w:val="nil"/>
            </w:tcBorders>
            <w:noWrap w:val="0"/>
            <w:vAlign w:val="bottom"/>
          </w:tcPr>
          <w:p w14:paraId="43B89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DSA机房南侧污物通道</w:t>
            </w:r>
          </w:p>
        </w:tc>
      </w:tr>
      <w:tr w14:paraId="54C7B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03" w:type="dxa"/>
            <w:tcBorders>
              <w:tl2br w:val="nil"/>
              <w:tr2bl w:val="nil"/>
            </w:tcBorders>
            <w:noWrap w:val="0"/>
            <w:vAlign w:val="center"/>
          </w:tcPr>
          <w:p w14:paraId="6EE2F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9" name="图片 40" descr="IMG_20260722_10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0" descr="IMG_20260722_102228"/>
                          <pic:cNvPicPr>
                            <a:picLocks noChangeAspect="1"/>
                          </pic:cNvPicPr>
                        </pic:nvPicPr>
                        <pic:blipFill>
                          <a:blip r:embed="rId19"/>
                          <a:stretch>
                            <a:fillRect/>
                          </a:stretch>
                        </pic:blipFill>
                        <pic:spPr>
                          <a:xfrm>
                            <a:off x="0" y="0"/>
                            <a:ext cx="2964815" cy="2223770"/>
                          </a:xfrm>
                          <a:prstGeom prst="rect">
                            <a:avLst/>
                          </a:prstGeom>
                          <a:noFill/>
                          <a:ln>
                            <a:noFill/>
                          </a:ln>
                        </pic:spPr>
                      </pic:pic>
                    </a:graphicData>
                  </a:graphic>
                </wp:inline>
              </w:drawing>
            </w:r>
          </w:p>
        </w:tc>
        <w:tc>
          <w:tcPr>
            <w:tcW w:w="4926" w:type="dxa"/>
            <w:tcBorders>
              <w:tl2br w:val="nil"/>
              <w:tr2bl w:val="nil"/>
            </w:tcBorders>
            <w:noWrap w:val="0"/>
            <w:vAlign w:val="center"/>
          </w:tcPr>
          <w:p w14:paraId="4E01E3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10" name="图片 41" descr="IMG_20260722_10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1" descr="IMG_20260722_104732"/>
                          <pic:cNvPicPr>
                            <a:picLocks noChangeAspect="1"/>
                          </pic:cNvPicPr>
                        </pic:nvPicPr>
                        <pic:blipFill>
                          <a:blip r:embed="rId20"/>
                          <a:stretch>
                            <a:fillRect/>
                          </a:stretch>
                        </pic:blipFill>
                        <pic:spPr>
                          <a:xfrm>
                            <a:off x="0" y="0"/>
                            <a:ext cx="2964815" cy="2223770"/>
                          </a:xfrm>
                          <a:prstGeom prst="rect">
                            <a:avLst/>
                          </a:prstGeom>
                          <a:noFill/>
                          <a:ln>
                            <a:noFill/>
                          </a:ln>
                        </pic:spPr>
                      </pic:pic>
                    </a:graphicData>
                  </a:graphic>
                </wp:inline>
              </w:drawing>
            </w:r>
          </w:p>
        </w:tc>
      </w:tr>
      <w:tr w14:paraId="5F35A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03" w:type="dxa"/>
            <w:tcBorders>
              <w:tl2br w:val="nil"/>
              <w:tr2bl w:val="nil"/>
            </w:tcBorders>
            <w:noWrap w:val="0"/>
            <w:vAlign w:val="center"/>
          </w:tcPr>
          <w:p w14:paraId="0F2EE0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DSA机房南侧住宿区</w:t>
            </w:r>
          </w:p>
        </w:tc>
        <w:tc>
          <w:tcPr>
            <w:tcW w:w="4926" w:type="dxa"/>
            <w:tcBorders>
              <w:tl2br w:val="nil"/>
              <w:tr2bl w:val="nil"/>
            </w:tcBorders>
            <w:noWrap w:val="0"/>
            <w:vAlign w:val="center"/>
          </w:tcPr>
          <w:p w14:paraId="7AA8B8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DSA机房上方住院病房</w:t>
            </w:r>
          </w:p>
        </w:tc>
      </w:tr>
      <w:tr w14:paraId="7A846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03" w:type="dxa"/>
            <w:tcBorders>
              <w:tl2br w:val="nil"/>
              <w:tr2bl w:val="nil"/>
            </w:tcBorders>
            <w:noWrap w:val="0"/>
            <w:vAlign w:val="center"/>
          </w:tcPr>
          <w:p w14:paraId="04F923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11" name="图片 47" descr="IMG_20260722_10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7" descr="IMG_20260722_100847"/>
                          <pic:cNvPicPr>
                            <a:picLocks noChangeAspect="1"/>
                          </pic:cNvPicPr>
                        </pic:nvPicPr>
                        <pic:blipFill>
                          <a:blip r:embed="rId21"/>
                          <a:stretch>
                            <a:fillRect/>
                          </a:stretch>
                        </pic:blipFill>
                        <pic:spPr>
                          <a:xfrm>
                            <a:off x="0" y="0"/>
                            <a:ext cx="2964815" cy="2223770"/>
                          </a:xfrm>
                          <a:prstGeom prst="rect">
                            <a:avLst/>
                          </a:prstGeom>
                          <a:noFill/>
                          <a:ln>
                            <a:noFill/>
                          </a:ln>
                        </pic:spPr>
                      </pic:pic>
                    </a:graphicData>
                  </a:graphic>
                </wp:inline>
              </w:drawing>
            </w:r>
          </w:p>
        </w:tc>
        <w:tc>
          <w:tcPr>
            <w:tcW w:w="4926" w:type="dxa"/>
            <w:tcBorders>
              <w:tl2br w:val="nil"/>
              <w:tr2bl w:val="nil"/>
            </w:tcBorders>
            <w:noWrap w:val="0"/>
            <w:vAlign w:val="center"/>
          </w:tcPr>
          <w:p w14:paraId="300B3F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12" name="图片 43" descr="IMG_20260722_10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3" descr="IMG_20260722_101127"/>
                          <pic:cNvPicPr>
                            <a:picLocks noChangeAspect="1"/>
                          </pic:cNvPicPr>
                        </pic:nvPicPr>
                        <pic:blipFill>
                          <a:blip r:embed="rId22"/>
                          <a:stretch>
                            <a:fillRect/>
                          </a:stretch>
                        </pic:blipFill>
                        <pic:spPr>
                          <a:xfrm>
                            <a:off x="0" y="0"/>
                            <a:ext cx="2964815" cy="2223770"/>
                          </a:xfrm>
                          <a:prstGeom prst="rect">
                            <a:avLst/>
                          </a:prstGeom>
                          <a:noFill/>
                          <a:ln>
                            <a:noFill/>
                          </a:ln>
                        </pic:spPr>
                      </pic:pic>
                    </a:graphicData>
                  </a:graphic>
                </wp:inline>
              </w:drawing>
            </w:r>
          </w:p>
        </w:tc>
      </w:tr>
      <w:tr w14:paraId="356F5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03" w:type="dxa"/>
            <w:tcBorders>
              <w:tl2br w:val="nil"/>
              <w:tr2bl w:val="nil"/>
            </w:tcBorders>
            <w:noWrap w:val="0"/>
            <w:vAlign w:val="center"/>
          </w:tcPr>
          <w:p w14:paraId="7E6C0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DSA机房下方3号手术室</w:t>
            </w:r>
          </w:p>
        </w:tc>
        <w:tc>
          <w:tcPr>
            <w:tcW w:w="4926" w:type="dxa"/>
            <w:tcBorders>
              <w:tl2br w:val="nil"/>
              <w:tr2bl w:val="nil"/>
            </w:tcBorders>
            <w:noWrap w:val="0"/>
            <w:vAlign w:val="center"/>
          </w:tcPr>
          <w:p w14:paraId="30F010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DSA机房下方2号手术室</w:t>
            </w:r>
          </w:p>
        </w:tc>
      </w:tr>
      <w:tr w14:paraId="26816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03" w:type="dxa"/>
            <w:tcBorders>
              <w:tl2br w:val="nil"/>
              <w:tr2bl w:val="nil"/>
            </w:tcBorders>
            <w:noWrap w:val="0"/>
            <w:vAlign w:val="center"/>
          </w:tcPr>
          <w:p w14:paraId="0CC1BC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13" name="图片 2" descr="IMG_20260812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IMG_20260812_100022"/>
                          <pic:cNvPicPr>
                            <a:picLocks noChangeAspect="1"/>
                          </pic:cNvPicPr>
                        </pic:nvPicPr>
                        <pic:blipFill>
                          <a:blip r:embed="rId23"/>
                          <a:stretch>
                            <a:fillRect/>
                          </a:stretch>
                        </pic:blipFill>
                        <pic:spPr>
                          <a:xfrm>
                            <a:off x="0" y="0"/>
                            <a:ext cx="2964815" cy="2223770"/>
                          </a:xfrm>
                          <a:prstGeom prst="rect">
                            <a:avLst/>
                          </a:prstGeom>
                          <a:noFill/>
                          <a:ln>
                            <a:noFill/>
                          </a:ln>
                        </pic:spPr>
                      </pic:pic>
                    </a:graphicData>
                  </a:graphic>
                </wp:inline>
              </w:drawing>
            </w:r>
          </w:p>
        </w:tc>
        <w:tc>
          <w:tcPr>
            <w:tcW w:w="4926" w:type="dxa"/>
            <w:tcBorders>
              <w:tl2br w:val="nil"/>
              <w:tr2bl w:val="nil"/>
            </w:tcBorders>
            <w:noWrap w:val="0"/>
            <w:vAlign w:val="center"/>
          </w:tcPr>
          <w:p w14:paraId="0C6D83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drawing>
                <wp:inline distT="0" distB="0" distL="114300" distR="114300">
                  <wp:extent cx="2964815" cy="2223770"/>
                  <wp:effectExtent l="0" t="0" r="6985" b="5080"/>
                  <wp:docPr id="14" name="图片 35" descr="IMG_20260812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5" descr="IMG_20260812_100012"/>
                          <pic:cNvPicPr>
                            <a:picLocks noChangeAspect="1"/>
                          </pic:cNvPicPr>
                        </pic:nvPicPr>
                        <pic:blipFill>
                          <a:blip r:embed="rId24"/>
                          <a:stretch>
                            <a:fillRect/>
                          </a:stretch>
                        </pic:blipFill>
                        <pic:spPr>
                          <a:xfrm>
                            <a:off x="0" y="0"/>
                            <a:ext cx="2964815" cy="2223770"/>
                          </a:xfrm>
                          <a:prstGeom prst="rect">
                            <a:avLst/>
                          </a:prstGeom>
                          <a:noFill/>
                          <a:ln>
                            <a:noFill/>
                          </a:ln>
                        </pic:spPr>
                      </pic:pic>
                    </a:graphicData>
                  </a:graphic>
                </wp:inline>
              </w:drawing>
            </w:r>
          </w:p>
        </w:tc>
      </w:tr>
      <w:tr w14:paraId="22CDF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03" w:type="dxa"/>
            <w:tcBorders>
              <w:tl2br w:val="nil"/>
              <w:tr2bl w:val="nil"/>
            </w:tcBorders>
            <w:noWrap w:val="0"/>
            <w:vAlign w:val="center"/>
          </w:tcPr>
          <w:p w14:paraId="76628D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eastAsia" w:cs="Times New Roman"/>
                <w:color w:val="auto"/>
                <w:spacing w:val="0"/>
                <w:position w:val="0"/>
                <w:sz w:val="24"/>
                <w:szCs w:val="24"/>
                <w:lang w:val="en-US" w:eastAsia="zh-CN"/>
              </w:rPr>
              <w:t>工程师现场踏勘</w:t>
            </w:r>
          </w:p>
        </w:tc>
        <w:tc>
          <w:tcPr>
            <w:tcW w:w="4926" w:type="dxa"/>
            <w:tcBorders>
              <w:tl2br w:val="nil"/>
              <w:tr2bl w:val="nil"/>
            </w:tcBorders>
            <w:noWrap w:val="0"/>
            <w:vAlign w:val="center"/>
          </w:tcPr>
          <w:p w14:paraId="175E7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工程师现场踏勘</w:t>
            </w:r>
          </w:p>
        </w:tc>
      </w:tr>
    </w:tbl>
    <w:p w14:paraId="7BE32520">
      <w:pPr>
        <w:rPr>
          <w:rFonts w:hint="default" w:ascii="Times New Roman" w:hAnsi="Times New Roman" w:eastAsia="宋体" w:cs="Times New Roman"/>
          <w:color w:val="auto"/>
          <w:spacing w:val="0"/>
          <w:position w:val="0"/>
          <w:sz w:val="32"/>
          <w:szCs w:val="32"/>
          <w:lang w:val="en-US" w:eastAsia="zh-CN"/>
        </w:rPr>
      </w:pPr>
      <w:r>
        <w:rPr>
          <w:rFonts w:hint="default" w:ascii="Times New Roman" w:hAnsi="Times New Roman" w:eastAsia="宋体" w:cs="Times New Roman"/>
          <w:color w:val="auto"/>
          <w:spacing w:val="0"/>
          <w:position w:val="0"/>
          <w:sz w:val="32"/>
          <w:szCs w:val="32"/>
          <w:lang w:val="en-US" w:eastAsia="zh-CN"/>
        </w:rPr>
        <w:br w:type="page"/>
      </w:r>
    </w:p>
    <w:p w14:paraId="6CCA2610">
      <w:pPr>
        <w:ind w:left="0" w:leftChars="0" w:firstLine="0" w:firstLineChars="0"/>
        <w:jc w:val="center"/>
        <w:rPr>
          <w:rFonts w:hint="default" w:ascii="Times New Roman" w:hAnsi="Times New Roman" w:eastAsia="宋体" w:cs="Times New Roman"/>
          <w:b/>
          <w:bCs/>
          <w:color w:val="auto"/>
          <w:spacing w:val="0"/>
          <w:position w:val="0"/>
          <w:sz w:val="30"/>
          <w:szCs w:val="30"/>
        </w:rPr>
      </w:pPr>
    </w:p>
    <w:p w14:paraId="5AA0039D">
      <w:pPr>
        <w:spacing w:line="240" w:lineRule="auto"/>
        <w:ind w:firstLine="0" w:firstLineChars="0"/>
        <w:jc w:val="center"/>
        <w:rPr>
          <w:rFonts w:hint="default" w:ascii="Times New Roman" w:hAnsi="Times New Roman" w:eastAsia="宋体" w:cs="Times New Roman"/>
          <w:color w:val="auto"/>
          <w:spacing w:val="0"/>
          <w:position w:val="0"/>
          <w:sz w:val="36"/>
          <w:szCs w:val="36"/>
        </w:rPr>
      </w:pPr>
      <w:r>
        <w:rPr>
          <w:rFonts w:hint="default" w:ascii="Times New Roman" w:hAnsi="Times New Roman" w:eastAsia="宋体" w:cs="Times New Roman"/>
          <w:color w:val="auto"/>
          <w:spacing w:val="0"/>
          <w:position w:val="0"/>
          <w:sz w:val="36"/>
          <w:szCs w:val="36"/>
        </w:rPr>
        <w:t>目录</w:t>
      </w:r>
    </w:p>
    <w:p w14:paraId="258E917A">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TOC \o "1-1" \h \u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"_Toc32426"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表1项目基本情况</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_Toc32426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5</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7CBF3675">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"_Toc25621"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表2放射源</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_Toc25621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29</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57DA2208">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"_Toc12579"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表3非密封放射性质</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_Toc12579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29</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259040E1">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"_Toc15437"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表4射线装置</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_Toc15437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30</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48D89B20">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"_Toc19135"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表5废弃物（重点是放射性废弃物）</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_Toc19135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31</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46BC0491">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"_Toc15046"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表6评价依据</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_Toc15046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32</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7DD09FB8">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"_Toc22284"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表7保护目标与评价标准</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_Toc22284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35</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3FE93D75">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"_Toc20355"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表8环境质量和辐射现状</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_Toc20355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41</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63CB2B55">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"_Toc23997"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表9项目工程分析与源项</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_Toc23997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47</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3553B830">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"_Toc31239"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表10辐射安全与防护</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_Toc31239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61</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492F02D6">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"_Toc20346"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表11环境影响分析</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_Toc20346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84</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586CAF36">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"_Toc31958"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表12辐射安全管理</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_Toc31958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108</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515B5BE9">
      <w:pPr>
        <w:pStyle w:val="38"/>
        <w:tabs>
          <w:tab w:val="right" w:leader="dot" w:pos="8300"/>
        </w:tabs>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"_Toc15503"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表13结论与建议</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_Toc15503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117</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575F3EED">
      <w:pPr>
        <w:pStyle w:val="38"/>
        <w:tabs>
          <w:tab w:val="right" w:leader="dot" w:pos="8300"/>
        </w:tabs>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\l "_Toc20832"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sz w:val="24"/>
          <w:szCs w:val="24"/>
        </w:rPr>
        <w:t>表14审批</w:t>
      </w:r>
      <w:r>
        <w:rPr>
          <w:rFonts w:hint="default" w:ascii="Times New Roman" w:hAnsi="Times New Roman" w:eastAsia="宋体" w:cs="Times New Roman"/>
          <w:color w:val="auto"/>
          <w:spacing w:val="0"/>
          <w:position w:val="0"/>
          <w:sz w:val="24"/>
          <w:szCs w:val="24"/>
        </w:rPr>
        <w:tab/>
      </w:r>
      <w:r>
        <w:rPr>
          <w:rFonts w:hint="default" w:ascii="Times New Roman" w:hAnsi="Times New Roman" w:eastAsia="宋体" w:cs="Times New Roman"/>
          <w:color w:val="auto"/>
          <w:spacing w:val="0"/>
          <w:position w:val="0"/>
          <w:sz w:val="24"/>
          <w:szCs w:val="24"/>
        </w:rPr>
        <w:fldChar w:fldCharType="begin"/>
      </w:r>
      <w:r>
        <w:rPr>
          <w:rFonts w:hint="default" w:ascii="Times New Roman" w:hAnsi="Times New Roman" w:eastAsia="宋体" w:cs="Times New Roman"/>
          <w:color w:val="auto"/>
          <w:spacing w:val="0"/>
          <w:position w:val="0"/>
          <w:sz w:val="24"/>
          <w:szCs w:val="24"/>
        </w:rPr>
        <w:instrText xml:space="preserve"> PAGEREF _Toc20832 </w:instrText>
      </w:r>
      <w:r>
        <w:rPr>
          <w:rFonts w:hint="default" w:ascii="Times New Roman" w:hAnsi="Times New Roman" w:eastAsia="宋体" w:cs="Times New Roman"/>
          <w:color w:val="auto"/>
          <w:spacing w:val="0"/>
          <w:position w:val="0"/>
          <w:sz w:val="24"/>
          <w:szCs w:val="24"/>
        </w:rPr>
        <w:fldChar w:fldCharType="separate"/>
      </w:r>
      <w:r>
        <w:rPr>
          <w:rFonts w:hint="default" w:ascii="Times New Roman" w:hAnsi="Times New Roman" w:eastAsia="宋体" w:cs="Times New Roman"/>
          <w:color w:val="auto"/>
          <w:spacing w:val="0"/>
          <w:position w:val="0"/>
          <w:sz w:val="24"/>
          <w:szCs w:val="24"/>
        </w:rPr>
        <w:t>128</w:t>
      </w:r>
      <w:r>
        <w:rPr>
          <w:rFonts w:hint="default" w:ascii="Times New Roman" w:hAnsi="Times New Roman" w:eastAsia="宋体" w:cs="Times New Roman"/>
          <w:color w:val="auto"/>
          <w:spacing w:val="0"/>
          <w:position w:val="0"/>
          <w:sz w:val="24"/>
          <w:szCs w:val="24"/>
        </w:rPr>
        <w:fldChar w:fldCharType="end"/>
      </w:r>
      <w:r>
        <w:rPr>
          <w:rFonts w:hint="default" w:ascii="Times New Roman" w:hAnsi="Times New Roman" w:eastAsia="宋体" w:cs="Times New Roman"/>
          <w:color w:val="auto"/>
          <w:spacing w:val="0"/>
          <w:position w:val="0"/>
          <w:sz w:val="24"/>
          <w:szCs w:val="24"/>
        </w:rPr>
        <w:fldChar w:fldCharType="end"/>
      </w:r>
    </w:p>
    <w:p w14:paraId="05405970">
      <w:pPr>
        <w:rPr>
          <w:rFonts w:hint="default" w:ascii="Times New Roman" w:hAnsi="Times New Roman" w:eastAsia="宋体" w:cs="Times New Roman"/>
          <w:color w:val="auto"/>
          <w:spacing w:val="0"/>
          <w:position w:val="0"/>
        </w:rPr>
        <w:sectPr>
          <w:footerReference r:id="rId6" w:type="default"/>
          <w:pgSz w:w="11906" w:h="16838"/>
          <w:pgMar w:top="1440" w:right="1803" w:bottom="1440" w:left="1803"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r>
        <w:rPr>
          <w:rFonts w:hint="default" w:ascii="Times New Roman" w:hAnsi="Times New Roman" w:eastAsia="宋体" w:cs="Times New Roman"/>
          <w:color w:val="auto"/>
          <w:spacing w:val="0"/>
          <w:position w:val="0"/>
        </w:rPr>
        <w:fldChar w:fldCharType="end"/>
      </w:r>
    </w:p>
    <w:p w14:paraId="48E086C5">
      <w:pPr>
        <w:pStyle w:val="2"/>
        <w:rPr>
          <w:rFonts w:hint="default" w:ascii="Times New Roman" w:hAnsi="Times New Roman" w:eastAsia="宋体" w:cs="Times New Roman"/>
          <w:color w:val="auto"/>
          <w:spacing w:val="0"/>
          <w:position w:val="0"/>
        </w:rPr>
      </w:pPr>
      <w:bookmarkStart w:id="1" w:name="_Toc32426"/>
      <w:r>
        <w:rPr>
          <w:rFonts w:hint="default" w:ascii="Times New Roman" w:hAnsi="Times New Roman" w:eastAsia="宋体" w:cs="Times New Roman"/>
          <w:color w:val="auto"/>
          <w:spacing w:val="0"/>
          <w:position w:val="0"/>
        </w:rPr>
        <w:t>表1项目基本情况</w:t>
      </w:r>
      <w:bookmarkEnd w:id="0"/>
      <w:bookmarkEnd w:id="1"/>
    </w:p>
    <w:tbl>
      <w:tblPr>
        <w:tblStyle w:val="20"/>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152"/>
        <w:gridCol w:w="1154"/>
        <w:gridCol w:w="15"/>
        <w:gridCol w:w="19"/>
        <w:gridCol w:w="1377"/>
        <w:gridCol w:w="786"/>
        <w:gridCol w:w="669"/>
        <w:gridCol w:w="544"/>
        <w:gridCol w:w="1241"/>
        <w:gridCol w:w="1498"/>
      </w:tblGrid>
      <w:tr w14:paraId="2AC5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677" w:type="dxa"/>
            <w:gridSpan w:val="2"/>
            <w:noWrap w:val="0"/>
            <w:vAlign w:val="center"/>
          </w:tcPr>
          <w:p w14:paraId="083CA6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建设项目名称</w:t>
            </w:r>
          </w:p>
        </w:tc>
        <w:tc>
          <w:tcPr>
            <w:tcW w:w="7303" w:type="dxa"/>
            <w:gridSpan w:val="9"/>
            <w:noWrap w:val="0"/>
            <w:vAlign w:val="center"/>
          </w:tcPr>
          <w:p w14:paraId="064094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曲靖市第二人民医院X射线血管造影系统（DSA）项目</w:t>
            </w:r>
          </w:p>
        </w:tc>
      </w:tr>
      <w:tr w14:paraId="0967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7" w:type="dxa"/>
            <w:gridSpan w:val="2"/>
            <w:noWrap w:val="0"/>
            <w:vAlign w:val="center"/>
          </w:tcPr>
          <w:p w14:paraId="5239DF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建设单位</w:t>
            </w:r>
          </w:p>
        </w:tc>
        <w:tc>
          <w:tcPr>
            <w:tcW w:w="7303" w:type="dxa"/>
            <w:gridSpan w:val="9"/>
            <w:noWrap w:val="0"/>
            <w:vAlign w:val="center"/>
          </w:tcPr>
          <w:p w14:paraId="647AC5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w:t>
            </w:r>
          </w:p>
        </w:tc>
      </w:tr>
      <w:tr w14:paraId="7BF3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7" w:type="dxa"/>
            <w:gridSpan w:val="2"/>
            <w:noWrap w:val="0"/>
            <w:vAlign w:val="center"/>
          </w:tcPr>
          <w:p w14:paraId="067472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法人代表</w:t>
            </w:r>
          </w:p>
        </w:tc>
        <w:tc>
          <w:tcPr>
            <w:tcW w:w="1188" w:type="dxa"/>
            <w:gridSpan w:val="3"/>
            <w:noWrap w:val="0"/>
            <w:vAlign w:val="center"/>
          </w:tcPr>
          <w:p w14:paraId="256D652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highlight w:val="cyan"/>
                <w:lang w:val="en-US" w:eastAsia="zh-CN"/>
              </w:rPr>
            </w:pPr>
            <w:r>
              <w:rPr>
                <w:rFonts w:hint="default" w:ascii="Times New Roman" w:hAnsi="Times New Roman" w:eastAsia="宋体" w:cs="Times New Roman"/>
                <w:color w:val="auto"/>
                <w:spacing w:val="0"/>
                <w:position w:val="0"/>
                <w:lang w:val="en-US" w:eastAsia="zh-CN"/>
              </w:rPr>
              <w:t>陈卫文</w:t>
            </w:r>
          </w:p>
        </w:tc>
        <w:tc>
          <w:tcPr>
            <w:tcW w:w="1377" w:type="dxa"/>
            <w:noWrap w:val="0"/>
            <w:vAlign w:val="center"/>
          </w:tcPr>
          <w:p w14:paraId="7B5C9D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联系人</w:t>
            </w:r>
          </w:p>
        </w:tc>
        <w:tc>
          <w:tcPr>
            <w:tcW w:w="786" w:type="dxa"/>
            <w:noWrap w:val="0"/>
            <w:vAlign w:val="center"/>
          </w:tcPr>
          <w:p w14:paraId="2060E6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郭志</w:t>
            </w:r>
          </w:p>
        </w:tc>
        <w:tc>
          <w:tcPr>
            <w:tcW w:w="1213" w:type="dxa"/>
            <w:gridSpan w:val="2"/>
            <w:noWrap w:val="0"/>
            <w:vAlign w:val="center"/>
          </w:tcPr>
          <w:p w14:paraId="3AC464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联系电话</w:t>
            </w:r>
          </w:p>
        </w:tc>
        <w:tc>
          <w:tcPr>
            <w:tcW w:w="2739" w:type="dxa"/>
            <w:gridSpan w:val="2"/>
            <w:noWrap w:val="0"/>
            <w:vAlign w:val="center"/>
          </w:tcPr>
          <w:p w14:paraId="63BA00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138 8745 2586</w:t>
            </w:r>
          </w:p>
        </w:tc>
      </w:tr>
      <w:tr w14:paraId="6470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7" w:type="dxa"/>
            <w:gridSpan w:val="2"/>
            <w:noWrap w:val="0"/>
            <w:vAlign w:val="center"/>
          </w:tcPr>
          <w:p w14:paraId="777C42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注册地址</w:t>
            </w:r>
          </w:p>
        </w:tc>
        <w:tc>
          <w:tcPr>
            <w:tcW w:w="7303" w:type="dxa"/>
            <w:gridSpan w:val="9"/>
            <w:noWrap w:val="0"/>
            <w:vAlign w:val="center"/>
          </w:tcPr>
          <w:p w14:paraId="76C3ED6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eastAsia="zh-CN"/>
              </w:rPr>
              <w:t>曲靖市麒麟区麒麟西路287号</w:t>
            </w:r>
          </w:p>
        </w:tc>
      </w:tr>
      <w:tr w14:paraId="4064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7" w:type="dxa"/>
            <w:gridSpan w:val="2"/>
            <w:noWrap w:val="0"/>
            <w:vAlign w:val="center"/>
          </w:tcPr>
          <w:p w14:paraId="7F1C96F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项目建设地点</w:t>
            </w:r>
          </w:p>
        </w:tc>
        <w:tc>
          <w:tcPr>
            <w:tcW w:w="7303" w:type="dxa"/>
            <w:gridSpan w:val="9"/>
            <w:noWrap w:val="0"/>
            <w:vAlign w:val="center"/>
          </w:tcPr>
          <w:p w14:paraId="02F6EC8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曲靖市麒麟区麒麟西路287号曲靖市第二人民医院住院楼5楼</w:t>
            </w:r>
          </w:p>
        </w:tc>
      </w:tr>
      <w:tr w14:paraId="7087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7" w:type="dxa"/>
            <w:gridSpan w:val="2"/>
            <w:noWrap w:val="0"/>
            <w:vAlign w:val="center"/>
          </w:tcPr>
          <w:p w14:paraId="4BF14A1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立项审批部门</w:t>
            </w:r>
          </w:p>
        </w:tc>
        <w:tc>
          <w:tcPr>
            <w:tcW w:w="2565" w:type="dxa"/>
            <w:gridSpan w:val="4"/>
            <w:noWrap w:val="0"/>
            <w:vAlign w:val="center"/>
          </w:tcPr>
          <w:p w14:paraId="12E783D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w:t>
            </w:r>
          </w:p>
        </w:tc>
        <w:tc>
          <w:tcPr>
            <w:tcW w:w="1455" w:type="dxa"/>
            <w:gridSpan w:val="2"/>
            <w:noWrap w:val="0"/>
            <w:vAlign w:val="center"/>
          </w:tcPr>
          <w:p w14:paraId="52626E6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批准文号</w:t>
            </w:r>
          </w:p>
        </w:tc>
        <w:tc>
          <w:tcPr>
            <w:tcW w:w="3283" w:type="dxa"/>
            <w:gridSpan w:val="3"/>
            <w:noWrap w:val="0"/>
            <w:vAlign w:val="center"/>
          </w:tcPr>
          <w:p w14:paraId="532C6D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w:t>
            </w:r>
          </w:p>
        </w:tc>
      </w:tr>
      <w:tr w14:paraId="68E0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7" w:type="dxa"/>
            <w:gridSpan w:val="2"/>
            <w:noWrap w:val="0"/>
            <w:vAlign w:val="center"/>
          </w:tcPr>
          <w:p w14:paraId="105A6BC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建设项目总投资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万元</w:t>
            </w:r>
            <w:r>
              <w:rPr>
                <w:rFonts w:hint="default" w:ascii="Times New Roman" w:hAnsi="Times New Roman" w:eastAsia="宋体" w:cs="Times New Roman"/>
                <w:color w:val="auto"/>
                <w:spacing w:val="0"/>
                <w:position w:val="0"/>
                <w:lang w:eastAsia="zh-CN"/>
              </w:rPr>
              <w:t>）</w:t>
            </w:r>
          </w:p>
        </w:tc>
        <w:tc>
          <w:tcPr>
            <w:tcW w:w="1154" w:type="dxa"/>
            <w:noWrap w:val="0"/>
            <w:vAlign w:val="center"/>
          </w:tcPr>
          <w:p w14:paraId="2C7C68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1237.8</w:t>
            </w:r>
          </w:p>
        </w:tc>
        <w:tc>
          <w:tcPr>
            <w:tcW w:w="1411" w:type="dxa"/>
            <w:gridSpan w:val="3"/>
            <w:noWrap w:val="0"/>
            <w:vAlign w:val="center"/>
          </w:tcPr>
          <w:p w14:paraId="22F76D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项目环保投资</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万元</w:t>
            </w:r>
            <w:r>
              <w:rPr>
                <w:rFonts w:hint="default" w:ascii="Times New Roman" w:hAnsi="Times New Roman" w:eastAsia="宋体" w:cs="Times New Roman"/>
                <w:color w:val="auto"/>
                <w:spacing w:val="0"/>
                <w:position w:val="0"/>
                <w:highlight w:val="none"/>
                <w:lang w:eastAsia="zh-CN"/>
              </w:rPr>
              <w:t>）</w:t>
            </w:r>
          </w:p>
        </w:tc>
        <w:tc>
          <w:tcPr>
            <w:tcW w:w="1455" w:type="dxa"/>
            <w:gridSpan w:val="2"/>
            <w:noWrap w:val="0"/>
            <w:vAlign w:val="center"/>
          </w:tcPr>
          <w:p w14:paraId="4189B1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73.2</w:t>
            </w:r>
          </w:p>
        </w:tc>
        <w:tc>
          <w:tcPr>
            <w:tcW w:w="1785" w:type="dxa"/>
            <w:gridSpan w:val="2"/>
            <w:noWrap w:val="0"/>
            <w:vAlign w:val="center"/>
          </w:tcPr>
          <w:p w14:paraId="0C28B1D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投资比例（环保投资/总投资）</w:t>
            </w:r>
          </w:p>
        </w:tc>
        <w:tc>
          <w:tcPr>
            <w:tcW w:w="1498" w:type="dxa"/>
            <w:noWrap w:val="0"/>
            <w:vAlign w:val="center"/>
          </w:tcPr>
          <w:p w14:paraId="74137C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5.91</w:t>
            </w:r>
          </w:p>
        </w:tc>
      </w:tr>
      <w:tr w14:paraId="4142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77" w:type="dxa"/>
            <w:gridSpan w:val="2"/>
            <w:noWrap w:val="0"/>
            <w:vAlign w:val="center"/>
          </w:tcPr>
          <w:p w14:paraId="5861E6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项目性质</w:t>
            </w:r>
          </w:p>
        </w:tc>
        <w:tc>
          <w:tcPr>
            <w:tcW w:w="4020" w:type="dxa"/>
            <w:gridSpan w:val="6"/>
            <w:noWrap w:val="0"/>
            <w:vAlign w:val="center"/>
          </w:tcPr>
          <w:p w14:paraId="6E0D470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sym w:font="Wingdings 2" w:char="0052"/>
            </w:r>
            <w:r>
              <w:rPr>
                <w:rFonts w:hint="default" w:ascii="Times New Roman" w:hAnsi="Times New Roman" w:eastAsia="宋体" w:cs="Times New Roman"/>
                <w:color w:val="auto"/>
                <w:spacing w:val="0"/>
                <w:position w:val="0"/>
              </w:rPr>
              <w:t>新建</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改建</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扩建</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其它</w:t>
            </w:r>
          </w:p>
        </w:tc>
        <w:tc>
          <w:tcPr>
            <w:tcW w:w="1785" w:type="dxa"/>
            <w:gridSpan w:val="2"/>
            <w:noWrap w:val="0"/>
            <w:vAlign w:val="center"/>
          </w:tcPr>
          <w:p w14:paraId="1173DA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占地面积</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m</w:t>
            </w:r>
            <w:r>
              <w:rPr>
                <w:rFonts w:hint="default" w:ascii="Times New Roman" w:hAnsi="Times New Roman" w:eastAsia="宋体" w:cs="Times New Roman"/>
                <w:color w:val="auto"/>
                <w:spacing w:val="0"/>
                <w:position w:val="0"/>
                <w:vertAlign w:val="superscript"/>
              </w:rPr>
              <w:t>2</w:t>
            </w:r>
            <w:r>
              <w:rPr>
                <w:rFonts w:hint="default" w:ascii="Times New Roman" w:hAnsi="Times New Roman" w:eastAsia="宋体" w:cs="Times New Roman"/>
                <w:color w:val="auto"/>
                <w:spacing w:val="0"/>
                <w:position w:val="0"/>
                <w:vertAlign w:val="superscript"/>
                <w:lang w:eastAsia="zh-CN"/>
              </w:rPr>
              <w:t>）</w:t>
            </w:r>
          </w:p>
        </w:tc>
        <w:tc>
          <w:tcPr>
            <w:tcW w:w="1498" w:type="dxa"/>
            <w:noWrap w:val="0"/>
            <w:vAlign w:val="center"/>
          </w:tcPr>
          <w:p w14:paraId="30CC59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104</w:t>
            </w:r>
          </w:p>
        </w:tc>
      </w:tr>
      <w:tr w14:paraId="03C1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5" w:type="dxa"/>
            <w:vMerge w:val="restart"/>
            <w:noWrap w:val="0"/>
            <w:vAlign w:val="center"/>
          </w:tcPr>
          <w:p w14:paraId="04DD3E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应</w:t>
            </w:r>
          </w:p>
          <w:p w14:paraId="5F283A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用</w:t>
            </w:r>
          </w:p>
          <w:p w14:paraId="435DC8B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类</w:t>
            </w:r>
          </w:p>
          <w:p w14:paraId="190C26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型</w:t>
            </w:r>
          </w:p>
        </w:tc>
        <w:tc>
          <w:tcPr>
            <w:tcW w:w="1152" w:type="dxa"/>
            <w:vMerge w:val="restart"/>
            <w:noWrap w:val="0"/>
            <w:vAlign w:val="center"/>
          </w:tcPr>
          <w:p w14:paraId="5BDCA5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放射源</w:t>
            </w:r>
          </w:p>
        </w:tc>
        <w:tc>
          <w:tcPr>
            <w:tcW w:w="1169" w:type="dxa"/>
            <w:gridSpan w:val="2"/>
            <w:noWrap w:val="0"/>
            <w:vAlign w:val="center"/>
          </w:tcPr>
          <w:p w14:paraId="34757F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□销售</w:t>
            </w:r>
          </w:p>
        </w:tc>
        <w:tc>
          <w:tcPr>
            <w:tcW w:w="6134" w:type="dxa"/>
            <w:gridSpan w:val="7"/>
            <w:noWrap w:val="0"/>
            <w:vAlign w:val="center"/>
          </w:tcPr>
          <w:p w14:paraId="570B959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□Ⅰ类□Ⅱ类□Ⅲ类□Ⅳ类□Ⅴ类</w:t>
            </w:r>
          </w:p>
        </w:tc>
      </w:tr>
      <w:tr w14:paraId="0B6D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5" w:type="dxa"/>
            <w:vMerge w:val="continue"/>
            <w:noWrap w:val="0"/>
            <w:vAlign w:val="center"/>
          </w:tcPr>
          <w:p w14:paraId="353A76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vMerge w:val="continue"/>
            <w:noWrap w:val="0"/>
            <w:vAlign w:val="center"/>
          </w:tcPr>
          <w:p w14:paraId="2F3890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69" w:type="dxa"/>
            <w:gridSpan w:val="2"/>
            <w:noWrap w:val="0"/>
            <w:vAlign w:val="center"/>
          </w:tcPr>
          <w:p w14:paraId="1DD9D0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□使用</w:t>
            </w:r>
          </w:p>
        </w:tc>
        <w:tc>
          <w:tcPr>
            <w:tcW w:w="6134" w:type="dxa"/>
            <w:gridSpan w:val="7"/>
            <w:noWrap w:val="0"/>
            <w:vAlign w:val="center"/>
          </w:tcPr>
          <w:p w14:paraId="4A35E3F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□Ⅰ类（医疗使用）□Ⅱ类□Ⅲ类□Ⅳ类□Ⅴ类</w:t>
            </w:r>
          </w:p>
        </w:tc>
      </w:tr>
      <w:tr w14:paraId="3244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5" w:type="dxa"/>
            <w:vMerge w:val="continue"/>
            <w:noWrap w:val="0"/>
            <w:vAlign w:val="center"/>
          </w:tcPr>
          <w:p w14:paraId="598E7B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vMerge w:val="restart"/>
            <w:noWrap w:val="0"/>
            <w:vAlign w:val="center"/>
          </w:tcPr>
          <w:p w14:paraId="3F4188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非密封放射性物质</w:t>
            </w:r>
          </w:p>
        </w:tc>
        <w:tc>
          <w:tcPr>
            <w:tcW w:w="1169" w:type="dxa"/>
            <w:gridSpan w:val="2"/>
            <w:noWrap w:val="0"/>
            <w:vAlign w:val="center"/>
          </w:tcPr>
          <w:p w14:paraId="33A068A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□生产</w:t>
            </w:r>
          </w:p>
        </w:tc>
        <w:tc>
          <w:tcPr>
            <w:tcW w:w="6134" w:type="dxa"/>
            <w:gridSpan w:val="7"/>
            <w:noWrap w:val="0"/>
            <w:vAlign w:val="center"/>
          </w:tcPr>
          <w:p w14:paraId="570F3E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□制备PET用放射性药物</w:t>
            </w:r>
          </w:p>
        </w:tc>
      </w:tr>
      <w:tr w14:paraId="6BF0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5" w:type="dxa"/>
            <w:vMerge w:val="continue"/>
            <w:noWrap w:val="0"/>
            <w:vAlign w:val="center"/>
          </w:tcPr>
          <w:p w14:paraId="07D28B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vMerge w:val="continue"/>
            <w:noWrap w:val="0"/>
            <w:vAlign w:val="center"/>
          </w:tcPr>
          <w:p w14:paraId="278B3D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69" w:type="dxa"/>
            <w:gridSpan w:val="2"/>
            <w:noWrap w:val="0"/>
            <w:vAlign w:val="center"/>
          </w:tcPr>
          <w:p w14:paraId="472953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□销售</w:t>
            </w:r>
          </w:p>
        </w:tc>
        <w:tc>
          <w:tcPr>
            <w:tcW w:w="6134" w:type="dxa"/>
            <w:gridSpan w:val="7"/>
            <w:noWrap w:val="0"/>
            <w:vAlign w:val="center"/>
          </w:tcPr>
          <w:p w14:paraId="651F2AB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r>
      <w:tr w14:paraId="19D2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25" w:type="dxa"/>
            <w:vMerge w:val="continue"/>
            <w:noWrap w:val="0"/>
            <w:vAlign w:val="center"/>
          </w:tcPr>
          <w:p w14:paraId="492E000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vMerge w:val="continue"/>
            <w:noWrap w:val="0"/>
            <w:vAlign w:val="center"/>
          </w:tcPr>
          <w:p w14:paraId="7A8932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69" w:type="dxa"/>
            <w:gridSpan w:val="2"/>
            <w:noWrap w:val="0"/>
            <w:vAlign w:val="center"/>
          </w:tcPr>
          <w:p w14:paraId="6CD52B4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□使用</w:t>
            </w:r>
          </w:p>
        </w:tc>
        <w:tc>
          <w:tcPr>
            <w:tcW w:w="6134" w:type="dxa"/>
            <w:gridSpan w:val="7"/>
            <w:noWrap w:val="0"/>
            <w:vAlign w:val="center"/>
          </w:tcPr>
          <w:p w14:paraId="3168E2F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□乙□丙</w:t>
            </w:r>
          </w:p>
        </w:tc>
      </w:tr>
      <w:tr w14:paraId="383D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525" w:type="dxa"/>
            <w:vMerge w:val="continue"/>
            <w:noWrap w:val="0"/>
            <w:vAlign w:val="center"/>
          </w:tcPr>
          <w:p w14:paraId="3711501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vMerge w:val="restart"/>
            <w:noWrap w:val="0"/>
            <w:vAlign w:val="center"/>
          </w:tcPr>
          <w:p w14:paraId="7B545E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w:t>
            </w:r>
          </w:p>
        </w:tc>
        <w:tc>
          <w:tcPr>
            <w:tcW w:w="1169" w:type="dxa"/>
            <w:gridSpan w:val="2"/>
            <w:noWrap w:val="0"/>
            <w:vAlign w:val="center"/>
          </w:tcPr>
          <w:p w14:paraId="62C0897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□生产</w:t>
            </w:r>
          </w:p>
        </w:tc>
        <w:tc>
          <w:tcPr>
            <w:tcW w:w="6134" w:type="dxa"/>
            <w:gridSpan w:val="7"/>
            <w:noWrap w:val="0"/>
            <w:vAlign w:val="center"/>
          </w:tcPr>
          <w:p w14:paraId="308F20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□Ⅱ类□Ⅲ类</w:t>
            </w:r>
          </w:p>
        </w:tc>
      </w:tr>
      <w:tr w14:paraId="4E8F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25" w:type="dxa"/>
            <w:vMerge w:val="continue"/>
            <w:noWrap w:val="0"/>
            <w:vAlign w:val="center"/>
          </w:tcPr>
          <w:p w14:paraId="1E1ADA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vMerge w:val="continue"/>
            <w:noWrap w:val="0"/>
            <w:vAlign w:val="center"/>
          </w:tcPr>
          <w:p w14:paraId="15BF70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69" w:type="dxa"/>
            <w:gridSpan w:val="2"/>
            <w:noWrap w:val="0"/>
            <w:vAlign w:val="center"/>
          </w:tcPr>
          <w:p w14:paraId="59674DF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□销售</w:t>
            </w:r>
          </w:p>
        </w:tc>
        <w:tc>
          <w:tcPr>
            <w:tcW w:w="6134" w:type="dxa"/>
            <w:gridSpan w:val="7"/>
            <w:noWrap w:val="0"/>
            <w:vAlign w:val="center"/>
          </w:tcPr>
          <w:p w14:paraId="65443B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□Ⅱ类□Ⅲ类</w:t>
            </w:r>
          </w:p>
        </w:tc>
      </w:tr>
      <w:tr w14:paraId="50DE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525" w:type="dxa"/>
            <w:vMerge w:val="continue"/>
            <w:noWrap w:val="0"/>
            <w:vAlign w:val="center"/>
          </w:tcPr>
          <w:p w14:paraId="74B9F5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vMerge w:val="continue"/>
            <w:noWrap w:val="0"/>
            <w:vAlign w:val="center"/>
          </w:tcPr>
          <w:p w14:paraId="1FA198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69" w:type="dxa"/>
            <w:gridSpan w:val="2"/>
            <w:noWrap w:val="0"/>
            <w:vAlign w:val="center"/>
          </w:tcPr>
          <w:p w14:paraId="62A4144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sym w:font="Wingdings 2" w:char="0052"/>
            </w:r>
            <w:r>
              <w:rPr>
                <w:rFonts w:hint="default" w:ascii="Times New Roman" w:hAnsi="Times New Roman" w:eastAsia="宋体" w:cs="Times New Roman"/>
                <w:color w:val="auto"/>
                <w:spacing w:val="0"/>
                <w:position w:val="0"/>
              </w:rPr>
              <w:t>使用</w:t>
            </w:r>
          </w:p>
        </w:tc>
        <w:tc>
          <w:tcPr>
            <w:tcW w:w="6134" w:type="dxa"/>
            <w:gridSpan w:val="7"/>
            <w:noWrap w:val="0"/>
            <w:vAlign w:val="center"/>
          </w:tcPr>
          <w:p w14:paraId="3F0D069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sym w:font="Wingdings 2" w:char="0052"/>
            </w:r>
            <w:r>
              <w:rPr>
                <w:rFonts w:hint="default" w:ascii="Times New Roman" w:hAnsi="Times New Roman" w:eastAsia="宋体" w:cs="Times New Roman"/>
                <w:color w:val="auto"/>
                <w:spacing w:val="0"/>
                <w:position w:val="0"/>
              </w:rPr>
              <w:t>Ⅱ类□Ⅲ类</w:t>
            </w:r>
          </w:p>
        </w:tc>
      </w:tr>
      <w:tr w14:paraId="145C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25" w:type="dxa"/>
            <w:vMerge w:val="continue"/>
            <w:noWrap w:val="0"/>
            <w:vAlign w:val="center"/>
          </w:tcPr>
          <w:p w14:paraId="510F289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p>
        </w:tc>
        <w:tc>
          <w:tcPr>
            <w:tcW w:w="1152" w:type="dxa"/>
            <w:noWrap w:val="0"/>
            <w:vAlign w:val="center"/>
          </w:tcPr>
          <w:p w14:paraId="7361C3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其他</w:t>
            </w:r>
          </w:p>
        </w:tc>
        <w:tc>
          <w:tcPr>
            <w:tcW w:w="7303" w:type="dxa"/>
            <w:gridSpan w:val="9"/>
            <w:noWrap w:val="0"/>
            <w:vAlign w:val="center"/>
          </w:tcPr>
          <w:p w14:paraId="4D1B38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r>
      <w:tr w14:paraId="6D88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6" w:hRule="atLeast"/>
          <w:jc w:val="center"/>
        </w:trPr>
        <w:tc>
          <w:tcPr>
            <w:tcW w:w="8980" w:type="dxa"/>
            <w:gridSpan w:val="11"/>
            <w:noWrap w:val="0"/>
            <w:vAlign w:val="top"/>
          </w:tcPr>
          <w:p w14:paraId="6A0232CE">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项目概述</w:t>
            </w:r>
          </w:p>
          <w:p w14:paraId="0856BB41">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一、建设单位基本情况、项目建设规模及由来</w:t>
            </w:r>
          </w:p>
          <w:p w14:paraId="4FA38AB1">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建设单位基本情况</w:t>
            </w:r>
          </w:p>
          <w:p w14:paraId="20BF5C32">
            <w:pPr>
              <w:keepNext w:val="0"/>
              <w:keepLines w:val="0"/>
              <w:suppressLineNumbers w:val="0"/>
              <w:adjustRightInd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曲靖市第二人民医院（统一社会信用代码：125303004317167992，以下简称“医院”）位于曲靖市麒麟西路287号，始建于1928年，是一所集医疗、教学、科研、预防、保健于一体的三级甲等综合医院，承担着全市650余万人口的医疗救治和突发公共卫生事件救治任务。医院前身为昆明红十字会医院，1963年更名为昆明市第三人民医院，1970年由昆明搬迁至曲靖并更名为云南8511医院，1986年移交曲靖地区并更名为曲靖地区第二人民医院，1997年正式更名为曲靖市第二人民医院。医院占地面积56亩，业务用房面积87902m</w:t>
            </w:r>
            <w:r>
              <w:rPr>
                <w:rFonts w:hint="default" w:ascii="Times New Roman" w:hAnsi="Times New Roman" w:eastAsia="宋体" w:cs="Times New Roman"/>
                <w:color w:val="auto"/>
                <w:spacing w:val="0"/>
                <w:position w:val="0"/>
                <w:highlight w:val="none"/>
                <w:vertAlign w:val="superscript"/>
                <w:lang w:val="en-US" w:eastAsia="zh-CN"/>
              </w:rPr>
              <w:t>2</w:t>
            </w:r>
            <w:r>
              <w:rPr>
                <w:rFonts w:hint="default" w:ascii="Times New Roman" w:hAnsi="Times New Roman" w:eastAsia="宋体" w:cs="Times New Roman"/>
                <w:color w:val="auto"/>
                <w:spacing w:val="0"/>
                <w:position w:val="0"/>
                <w:highlight w:val="none"/>
                <w:lang w:val="en-US" w:eastAsia="zh-CN"/>
              </w:rPr>
              <w:t>，开放床位1200张，在职职工1536人，设有临床医技科室44个，机关职能科室24个。医院配有3.0T超导核磁共振、1.5T超导核磁共振、16排CT、64排128层CT、SPECT、大平板DSA、全自动生化分析仪、蔡司显微镜等大中型医疗设备以及一系列先进的腔内镜专科设备。</w:t>
            </w:r>
          </w:p>
          <w:p w14:paraId="1DDA92C4">
            <w:pPr>
              <w:keepNext w:val="0"/>
              <w:keepLines w:val="0"/>
              <w:numPr>
                <w:ilvl w:val="0"/>
                <w:numId w:val="1"/>
              </w:numPr>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项目由来</w:t>
            </w:r>
          </w:p>
          <w:p w14:paraId="67C9CA1F">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为更好地满足患者多层次、多方位、高质量和文明便利的就诊需求，</w:t>
            </w: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拟</w:t>
            </w:r>
            <w:r>
              <w:rPr>
                <w:rFonts w:hint="default" w:ascii="Times New Roman" w:hAnsi="Times New Roman" w:eastAsia="宋体" w:cs="Times New Roman"/>
                <w:color w:val="auto"/>
                <w:spacing w:val="0"/>
                <w:position w:val="0"/>
                <w:lang w:val="en-US" w:eastAsia="zh-CN"/>
              </w:rPr>
              <w:t>将住院楼5楼原第14号手术室和第15号手术室改造为DSA介入室和DSA辅助用房，DSA介入室</w:t>
            </w:r>
            <w:r>
              <w:rPr>
                <w:rFonts w:hint="default" w:ascii="Times New Roman" w:hAnsi="Times New Roman" w:eastAsia="宋体" w:cs="Times New Roman"/>
                <w:color w:val="auto"/>
                <w:spacing w:val="0"/>
                <w:position w:val="0"/>
              </w:rPr>
              <w:t>配置使用1台</w:t>
            </w:r>
            <w:r>
              <w:rPr>
                <w:rFonts w:hint="default" w:ascii="Times New Roman" w:hAnsi="Times New Roman" w:eastAsia="宋体" w:cs="Times New Roman"/>
                <w:color w:val="auto"/>
                <w:spacing w:val="0"/>
                <w:position w:val="0"/>
                <w:lang w:val="en-US" w:eastAsia="zh-CN"/>
              </w:rPr>
              <w:t>西门子ARTIS pheno Master</w:t>
            </w:r>
            <w:r>
              <w:rPr>
                <w:rFonts w:hint="default" w:ascii="Times New Roman" w:hAnsi="Times New Roman" w:eastAsia="宋体" w:cs="Times New Roman"/>
                <w:color w:val="auto"/>
                <w:spacing w:val="0"/>
                <w:position w:val="0"/>
              </w:rPr>
              <w:t>型数字减影血管造影系统</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设备</w:t>
            </w:r>
            <w:r>
              <w:rPr>
                <w:rFonts w:hint="default" w:ascii="Times New Roman" w:hAnsi="Times New Roman" w:eastAsia="宋体" w:cs="Times New Roman"/>
                <w:color w:val="auto"/>
                <w:spacing w:val="0"/>
                <w:position w:val="0"/>
              </w:rPr>
              <w:t>额定管电压为12</w:t>
            </w:r>
            <w:r>
              <w:rPr>
                <w:rFonts w:hint="default" w:ascii="Times New Roman" w:hAnsi="Times New Roman" w:eastAsia="宋体" w:cs="Times New Roman"/>
                <w:color w:val="auto"/>
                <w:spacing w:val="0"/>
                <w:position w:val="0"/>
                <w:lang w:val="en-US" w:eastAsia="zh-CN"/>
              </w:rPr>
              <w:t>5</w:t>
            </w:r>
            <w:r>
              <w:rPr>
                <w:rFonts w:hint="default" w:ascii="Times New Roman" w:hAnsi="Times New Roman" w:eastAsia="宋体" w:cs="Times New Roman"/>
                <w:color w:val="auto"/>
                <w:spacing w:val="0"/>
                <w:position w:val="0"/>
              </w:rPr>
              <w:t>kV，额定管电流为</w:t>
            </w:r>
            <w:r>
              <w:rPr>
                <w:rFonts w:hint="default" w:ascii="Times New Roman" w:hAnsi="Times New Roman" w:eastAsia="宋体" w:cs="Times New Roman"/>
                <w:color w:val="auto"/>
                <w:spacing w:val="0"/>
                <w:position w:val="0"/>
                <w:lang w:eastAsia="zh-CN"/>
              </w:rPr>
              <w:t>1</w:t>
            </w:r>
            <w:r>
              <w:rPr>
                <w:rFonts w:hint="default" w:ascii="Times New Roman" w:hAnsi="Times New Roman" w:eastAsia="宋体" w:cs="Times New Roman"/>
                <w:color w:val="auto"/>
                <w:spacing w:val="0"/>
                <w:position w:val="0"/>
                <w:lang w:val="en-US" w:eastAsia="zh-CN"/>
              </w:rPr>
              <w:t>00</w:t>
            </w:r>
            <w:r>
              <w:rPr>
                <w:rFonts w:hint="default" w:ascii="Times New Roman" w:hAnsi="Times New Roman" w:eastAsia="宋体" w:cs="Times New Roman"/>
                <w:color w:val="auto"/>
                <w:spacing w:val="0"/>
                <w:position w:val="0"/>
                <w:lang w:eastAsia="zh-CN"/>
              </w:rPr>
              <w:t>0</w:t>
            </w:r>
            <w:r>
              <w:rPr>
                <w:rFonts w:hint="default" w:ascii="Times New Roman" w:hAnsi="Times New Roman" w:eastAsia="宋体" w:cs="Times New Roman"/>
                <w:color w:val="auto"/>
                <w:spacing w:val="0"/>
                <w:position w:val="0"/>
              </w:rPr>
              <w:t>mA，</w:t>
            </w:r>
            <w:r>
              <w:rPr>
                <w:rFonts w:hint="default" w:ascii="Times New Roman" w:hAnsi="Times New Roman" w:eastAsia="宋体" w:cs="Times New Roman"/>
                <w:color w:val="auto"/>
                <w:spacing w:val="0"/>
                <w:position w:val="0"/>
                <w:highlight w:val="none"/>
              </w:rPr>
              <w:t>用于</w:t>
            </w:r>
            <w:r>
              <w:rPr>
                <w:rFonts w:hint="default" w:ascii="Times New Roman" w:hAnsi="Times New Roman" w:eastAsia="宋体" w:cs="Times New Roman"/>
                <w:color w:val="auto"/>
                <w:spacing w:val="0"/>
                <w:position w:val="0"/>
                <w:highlight w:val="none"/>
                <w:lang w:val="en-US" w:eastAsia="zh-CN"/>
              </w:rPr>
              <w:t>肝胆科、介入科、心内科开展</w:t>
            </w:r>
            <w:r>
              <w:rPr>
                <w:rFonts w:hint="default" w:ascii="Times New Roman" w:hAnsi="Times New Roman" w:eastAsia="宋体" w:cs="Times New Roman"/>
                <w:color w:val="auto"/>
                <w:spacing w:val="0"/>
                <w:position w:val="0"/>
                <w:highlight w:val="none"/>
              </w:rPr>
              <w:t>诊疗</w:t>
            </w:r>
            <w:r>
              <w:rPr>
                <w:rFonts w:hint="default" w:ascii="Times New Roman" w:hAnsi="Times New Roman" w:eastAsia="宋体" w:cs="Times New Roman"/>
                <w:color w:val="auto"/>
                <w:spacing w:val="0"/>
                <w:position w:val="0"/>
              </w:rPr>
              <w:t>。因此根据相关要求，DSA介入手术室及</w:t>
            </w:r>
            <w:r>
              <w:rPr>
                <w:rFonts w:hint="default" w:ascii="Times New Roman" w:hAnsi="Times New Roman" w:eastAsia="宋体" w:cs="Times New Roman"/>
                <w:color w:val="auto"/>
                <w:spacing w:val="0"/>
                <w:position w:val="0"/>
                <w:lang w:val="en-US" w:eastAsia="zh-CN"/>
              </w:rPr>
              <w:t>DSA设备需要</w:t>
            </w:r>
            <w:r>
              <w:rPr>
                <w:rFonts w:hint="default" w:ascii="Times New Roman" w:hAnsi="Times New Roman" w:eastAsia="宋体" w:cs="Times New Roman"/>
                <w:color w:val="auto"/>
                <w:spacing w:val="0"/>
                <w:position w:val="0"/>
              </w:rPr>
              <w:t>办理环保手续</w:t>
            </w:r>
            <w:r>
              <w:rPr>
                <w:rFonts w:hint="default" w:ascii="Times New Roman" w:hAnsi="Times New Roman" w:eastAsia="宋体" w:cs="Times New Roman"/>
                <w:color w:val="auto"/>
                <w:spacing w:val="0"/>
                <w:position w:val="0"/>
                <w:lang w:eastAsia="zh-CN"/>
              </w:rPr>
              <w:t>。</w:t>
            </w:r>
          </w:p>
          <w:p w14:paraId="5CEB5979">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aps w:val="0"/>
                <w:color w:val="auto"/>
                <w:spacing w:val="0"/>
                <w:position w:val="0"/>
                <w:sz w:val="24"/>
                <w:szCs w:val="24"/>
                <w:highlight w:val="none"/>
                <w:lang w:val="en-US" w:eastAsia="zh-CN"/>
              </w:rPr>
            </w:pPr>
            <w:r>
              <w:rPr>
                <w:rFonts w:hint="default" w:ascii="Times New Roman" w:hAnsi="Times New Roman" w:eastAsia="宋体" w:cs="Times New Roman"/>
                <w:caps w:val="0"/>
                <w:color w:val="auto"/>
                <w:spacing w:val="0"/>
                <w:position w:val="0"/>
                <w:sz w:val="24"/>
                <w:szCs w:val="24"/>
                <w:highlight w:val="none"/>
                <w:lang w:val="en-US" w:eastAsia="zh-CN"/>
              </w:rPr>
              <w:t>为加强核技术应用医疗设备的辐射管理、防止辐射污染和意外事故的发生，确保新增射线装置在安装后的使用中能有效避免射线装置对周围环境和工作人员及公众产生不良影响，根据《中华人民共和国生态环境法典》《放射性同位素与射线装置安全和防护条例》（国务院令第449号，国务院令第709号修正）等相关法律法规要求，建设单位须对该项目进行环境影响评价，编制环境影响评价文件。依据《射线装置分类》（环境保护部、</w:t>
            </w:r>
            <w:r>
              <w:rPr>
                <w:rFonts w:hint="eastAsia" w:cs="Times New Roman"/>
                <w:caps w:val="0"/>
                <w:color w:val="auto"/>
                <w:spacing w:val="0"/>
                <w:position w:val="0"/>
                <w:sz w:val="24"/>
                <w:szCs w:val="24"/>
                <w:highlight w:val="none"/>
                <w:lang w:val="en-US" w:eastAsia="zh-CN"/>
              </w:rPr>
              <w:t>国家卫生健康委员会</w:t>
            </w:r>
            <w:r>
              <w:rPr>
                <w:rFonts w:hint="default" w:ascii="Times New Roman" w:hAnsi="Times New Roman" w:eastAsia="宋体" w:cs="Times New Roman"/>
                <w:caps w:val="0"/>
                <w:color w:val="auto"/>
                <w:spacing w:val="0"/>
                <w:position w:val="0"/>
                <w:sz w:val="24"/>
                <w:szCs w:val="24"/>
                <w:highlight w:val="none"/>
                <w:lang w:val="en-US" w:eastAsia="zh-CN"/>
              </w:rPr>
              <w:t>公告2017年66号），本项目配置的ARTIS pheno Master型数字减影血管造影系统属于Ⅱ类射线装置，并根据《建设项目环境影响评价分类管理名录（2021年版）》（2020年11月30日生态环境部令第16号公布）（以下简称“分类管理名录”）的相关要求，本项目属于“五十五、核与辐射-172、核技术利用建设项目”，应编制核技术利用建设项目</w:t>
            </w:r>
            <w:r>
              <w:rPr>
                <w:rFonts w:hint="eastAsia" w:cs="Times New Roman"/>
                <w:caps w:val="0"/>
                <w:color w:val="auto"/>
                <w:spacing w:val="0"/>
                <w:position w:val="0"/>
                <w:sz w:val="24"/>
                <w:szCs w:val="24"/>
                <w:highlight w:val="none"/>
                <w:lang w:val="en-US" w:eastAsia="zh-CN"/>
              </w:rPr>
              <w:t>生态环境影响报告表</w:t>
            </w:r>
            <w:r>
              <w:rPr>
                <w:rFonts w:hint="default" w:ascii="Times New Roman" w:hAnsi="Times New Roman" w:eastAsia="宋体" w:cs="Times New Roman"/>
                <w:caps w:val="0"/>
                <w:color w:val="auto"/>
                <w:spacing w:val="0"/>
                <w:position w:val="0"/>
                <w:sz w:val="24"/>
                <w:szCs w:val="24"/>
                <w:highlight w:val="none"/>
                <w:lang w:val="en-US" w:eastAsia="zh-CN"/>
              </w:rPr>
              <w:t>。环评应对医院新增射线装置、辐射环境影响进行客观合理的评价，对医院涉及新增射线装置后从事诊疗活动能否满足辐射环境管理法定要求进行分析，并为医院的环境管理提供科学依据。</w:t>
            </w:r>
          </w:p>
          <w:p w14:paraId="65FD477C">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aps w:val="0"/>
                <w:color w:val="auto"/>
                <w:spacing w:val="0"/>
                <w:position w:val="0"/>
                <w:sz w:val="24"/>
                <w:szCs w:val="24"/>
                <w:highlight w:val="none"/>
                <w:lang w:val="en-US" w:eastAsia="zh-CN"/>
              </w:rPr>
              <w:t>受曲靖市第二人民医院的委托，我公司承担该医院核技术应用项目的环境影响评价工作。我公司通过资料调研、项目工程分析，并结合现场勘查，</w:t>
            </w:r>
            <w:r>
              <w:rPr>
                <w:rFonts w:hint="eastAsia" w:cs="Times New Roman"/>
                <w:caps w:val="0"/>
                <w:color w:val="auto"/>
                <w:spacing w:val="0"/>
                <w:position w:val="0"/>
                <w:sz w:val="24"/>
                <w:szCs w:val="24"/>
                <w:highlight w:val="none"/>
                <w:lang w:val="en-US" w:eastAsia="zh-CN"/>
              </w:rPr>
              <w:t>经过</w:t>
            </w:r>
            <w:r>
              <w:rPr>
                <w:rFonts w:hint="default" w:ascii="Times New Roman" w:hAnsi="Times New Roman" w:eastAsia="宋体" w:cs="Times New Roman"/>
                <w:caps w:val="0"/>
                <w:color w:val="auto"/>
                <w:spacing w:val="0"/>
                <w:position w:val="0"/>
                <w:sz w:val="24"/>
                <w:szCs w:val="24"/>
                <w:highlight w:val="none"/>
                <w:lang w:val="en-US" w:eastAsia="zh-CN"/>
              </w:rPr>
              <w:t>专家评审，编制了曲靖市第二人民医院X射线血管造影系统（DSA）项目</w:t>
            </w:r>
            <w:r>
              <w:rPr>
                <w:rFonts w:hint="eastAsia" w:cs="Times New Roman"/>
                <w:caps w:val="0"/>
                <w:color w:val="auto"/>
                <w:spacing w:val="0"/>
                <w:position w:val="0"/>
                <w:sz w:val="24"/>
                <w:szCs w:val="24"/>
                <w:highlight w:val="none"/>
                <w:lang w:val="en-US" w:eastAsia="zh-CN"/>
              </w:rPr>
              <w:t>生态环境影响报告表</w:t>
            </w:r>
            <w:r>
              <w:rPr>
                <w:rFonts w:hint="default" w:ascii="Times New Roman" w:hAnsi="Times New Roman" w:eastAsia="宋体" w:cs="Times New Roman"/>
                <w:caps w:val="0"/>
                <w:color w:val="auto"/>
                <w:spacing w:val="0"/>
                <w:position w:val="0"/>
                <w:sz w:val="24"/>
                <w:szCs w:val="24"/>
                <w:highlight w:val="none"/>
                <w:lang w:val="en-US" w:eastAsia="zh-CN"/>
              </w:rPr>
              <w:t>（</w:t>
            </w:r>
            <w:r>
              <w:rPr>
                <w:rFonts w:hint="eastAsia" w:cs="Times New Roman"/>
                <w:caps w:val="0"/>
                <w:color w:val="auto"/>
                <w:spacing w:val="0"/>
                <w:position w:val="0"/>
                <w:sz w:val="24"/>
                <w:szCs w:val="24"/>
                <w:highlight w:val="none"/>
                <w:lang w:val="en-US" w:eastAsia="zh-CN"/>
              </w:rPr>
              <w:t>报批稿</w:t>
            </w:r>
            <w:r>
              <w:rPr>
                <w:rFonts w:hint="default" w:ascii="Times New Roman" w:hAnsi="Times New Roman" w:eastAsia="宋体" w:cs="Times New Roman"/>
                <w:caps w:val="0"/>
                <w:color w:val="auto"/>
                <w:spacing w:val="0"/>
                <w:position w:val="0"/>
                <w:sz w:val="24"/>
                <w:szCs w:val="24"/>
                <w:highlight w:val="none"/>
                <w:lang w:val="en-US" w:eastAsia="zh-CN"/>
              </w:rPr>
              <w:t>），供建设单位上报审批</w:t>
            </w:r>
            <w:r>
              <w:rPr>
                <w:rFonts w:hint="default" w:ascii="Times New Roman" w:hAnsi="Times New Roman" w:eastAsia="宋体" w:cs="Times New Roman"/>
                <w:color w:val="auto"/>
                <w:spacing w:val="0"/>
                <w:position w:val="0"/>
              </w:rPr>
              <w:t>。</w:t>
            </w:r>
          </w:p>
          <w:p w14:paraId="3AECD83F">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3.</w:t>
            </w:r>
            <w:r>
              <w:rPr>
                <w:rFonts w:hint="default" w:ascii="Times New Roman" w:hAnsi="Times New Roman" w:eastAsia="宋体" w:cs="Times New Roman"/>
                <w:b/>
                <w:bCs/>
                <w:color w:val="auto"/>
                <w:spacing w:val="0"/>
                <w:position w:val="0"/>
              </w:rPr>
              <w:t>项目建设规模</w:t>
            </w:r>
          </w:p>
          <w:p w14:paraId="674706E9">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（1）工程概况</w:t>
            </w:r>
          </w:p>
          <w:p w14:paraId="34FDF0D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项目名称：曲靖市第二人民医院X射线血管造影系统（DSA）项目</w:t>
            </w:r>
          </w:p>
          <w:p w14:paraId="4479803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建设地点：曲靖市麒麟区麒麟西路287号曲靖市第二人民医院住院楼5楼</w:t>
            </w:r>
          </w:p>
          <w:p w14:paraId="0D1EC70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建设单位：曲靖市第二人民医院</w:t>
            </w:r>
          </w:p>
          <w:p w14:paraId="42D7627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建设性质：新建</w:t>
            </w:r>
          </w:p>
          <w:p w14:paraId="3477A05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建设内容：本项目拟将住院楼5楼的第14号手术室和第15号手术室改造为DSA介入室和DSA辅助用房，DSA介入室配置使用1台西门子ARTIS pheno Master型数字减影血管造影系统，设备额定管电压为125kV，额定管电流为1000mA，用于肝胆科、心内科、介入科开展诊疗，</w:t>
            </w:r>
            <w:r>
              <w:rPr>
                <w:rFonts w:hint="default" w:ascii="Times New Roman" w:hAnsi="Times New Roman" w:eastAsia="宋体" w:cs="Times New Roman"/>
                <w:color w:val="auto"/>
                <w:spacing w:val="0"/>
                <w:position w:val="0"/>
                <w:highlight w:val="none"/>
                <w:lang w:val="en-US" w:eastAsia="zh-CN"/>
              </w:rPr>
              <w:t>射线机主要由X射线管组件、高压发生器、控制台、辅助支持设备等组成，</w:t>
            </w:r>
            <w:r>
              <w:rPr>
                <w:rFonts w:hint="default" w:ascii="Times New Roman" w:hAnsi="Times New Roman" w:eastAsia="宋体" w:cs="Times New Roman"/>
                <w:color w:val="auto"/>
                <w:spacing w:val="0"/>
                <w:position w:val="0"/>
                <w:sz w:val="24"/>
                <w:szCs w:val="24"/>
                <w:highlight w:val="none"/>
                <w:lang w:val="en-US" w:eastAsia="zh-CN"/>
              </w:rPr>
              <w:t>出束方向由下往上，属于Ⅱ类射线装置。</w:t>
            </w:r>
          </w:p>
          <w:p w14:paraId="75BF444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目前项目未开工建设，住院楼5楼的第14号手术室和第15号手术室现为已建手术室，手术设备已搬离，根据设计内容，原手术室东、南、北机房留有部分剪力墙，</w:t>
            </w:r>
            <w:r>
              <w:rPr>
                <w:rFonts w:hint="eastAsia" w:cs="Times New Roman"/>
                <w:color w:val="auto"/>
                <w:spacing w:val="0"/>
                <w:position w:val="0"/>
                <w:sz w:val="24"/>
                <w:szCs w:val="24"/>
                <w:highlight w:val="none"/>
                <w:lang w:val="en-US" w:eastAsia="zh-CN"/>
              </w:rPr>
              <w:t>剪力墙作为结构墙体厚度为30cm，为钢筋混凝土浇筑，混凝土标号C55，</w:t>
            </w:r>
            <w:r>
              <w:rPr>
                <w:rFonts w:hint="default" w:ascii="Times New Roman" w:hAnsi="Times New Roman" w:eastAsia="宋体" w:cs="Times New Roman"/>
                <w:color w:val="auto"/>
                <w:spacing w:val="0"/>
                <w:position w:val="0"/>
                <w:sz w:val="24"/>
                <w:szCs w:val="24"/>
                <w:highlight w:val="none"/>
              </w:rPr>
              <w:t>密度不小于2.35g/cm</w:t>
            </w:r>
            <w:r>
              <w:rPr>
                <w:rFonts w:hint="default" w:ascii="Times New Roman" w:hAnsi="Times New Roman" w:eastAsia="宋体" w:cs="Times New Roman"/>
                <w:color w:val="auto"/>
                <w:spacing w:val="0"/>
                <w:position w:val="0"/>
                <w:sz w:val="24"/>
                <w:szCs w:val="24"/>
                <w:highlight w:val="none"/>
                <w:vertAlign w:val="superscript"/>
              </w:rPr>
              <w:t>3</w:t>
            </w:r>
            <w:r>
              <w:rPr>
                <w:rFonts w:hint="eastAsia" w:cs="Times New Roman"/>
                <w:color w:val="auto"/>
                <w:spacing w:val="0"/>
                <w:position w:val="0"/>
                <w:sz w:val="24"/>
                <w:szCs w:val="24"/>
                <w:highlight w:val="none"/>
                <w:lang w:val="en-US" w:eastAsia="zh-CN"/>
              </w:rPr>
              <w:t>，</w:t>
            </w:r>
            <w:r>
              <w:rPr>
                <w:rFonts w:hint="default" w:ascii="Times New Roman" w:hAnsi="Times New Roman" w:eastAsia="宋体" w:cs="Times New Roman"/>
                <w:color w:val="auto"/>
                <w:spacing w:val="0"/>
                <w:position w:val="0"/>
                <w:sz w:val="24"/>
                <w:szCs w:val="24"/>
                <w:highlight w:val="none"/>
                <w:lang w:val="en-US" w:eastAsia="zh-CN"/>
              </w:rPr>
              <w:t>计划对剪力墙表面涂刷</w:t>
            </w:r>
            <w:r>
              <w:rPr>
                <w:rFonts w:hint="eastAsia" w:cs="Times New Roman"/>
                <w:color w:val="auto"/>
                <w:spacing w:val="0"/>
                <w:position w:val="0"/>
                <w:sz w:val="24"/>
                <w:szCs w:val="24"/>
                <w:highlight w:val="none"/>
                <w:lang w:val="en-US" w:eastAsia="zh-CN"/>
              </w:rPr>
              <w:t>2</w:t>
            </w:r>
            <w:r>
              <w:rPr>
                <w:rFonts w:hint="default" w:ascii="Times New Roman" w:hAnsi="Times New Roman" w:eastAsia="宋体" w:cs="Times New Roman"/>
                <w:color w:val="auto"/>
                <w:spacing w:val="0"/>
                <w:position w:val="0"/>
                <w:sz w:val="24"/>
                <w:szCs w:val="24"/>
                <w:highlight w:val="none"/>
                <w:lang w:val="en-US" w:eastAsia="zh-CN"/>
              </w:rPr>
              <w:t>0mm硫酸钡防护涂料进行屏蔽防护，在南、北墙体无剪力墙空区采用轻钢龙骨骨架，内衬4mmpb防护铅板进行屏蔽防护，在东面剪力墙中间采用轻钢龙骨骨架，内衬4mmpb防护铅板进行屏蔽防护，在机房与控制室之间的西面墙体采用轻钢龙骨骨架，内衬4mmpb防护铅板进行屏蔽防护。剪力墙和铅板，铅板和铅板等所有屏蔽搭接缝隙处，铅板搭接外延100mm，墙面拐角及吊顶衔接处采用圆弧形施工，确保错缝搭接；机房顶面为120mm钢筋混凝土楼板+4mmpb防护铅板；机房地面为120mm钢筋混凝土楼板+40mm硫酸钡涂料+50mm细石混凝土找平层；DSA机房设置2道电动平移铅门和一道单向平开门，门板内衬4mmPb板；机房观察窗内嵌4mmpb铅玻璃，铅玻璃规格1500×900mm。由于南面为曲形屏蔽，建成后的DSA机房的净尺寸为：北面长约8m，南面长约</w:t>
            </w:r>
            <w:r>
              <w:rPr>
                <w:rFonts w:hint="eastAsia" w:cs="Times New Roman"/>
                <w:color w:val="auto"/>
                <w:spacing w:val="0"/>
                <w:position w:val="0"/>
                <w:sz w:val="24"/>
                <w:szCs w:val="24"/>
                <w:highlight w:val="none"/>
                <w:lang w:val="en-US" w:eastAsia="zh-CN"/>
              </w:rPr>
              <w:t>1.5</w:t>
            </w:r>
            <w:r>
              <w:rPr>
                <w:rFonts w:hint="default" w:ascii="Times New Roman" w:hAnsi="Times New Roman" w:eastAsia="宋体" w:cs="Times New Roman"/>
                <w:color w:val="auto"/>
                <w:spacing w:val="0"/>
                <w:position w:val="0"/>
                <w:sz w:val="24"/>
                <w:szCs w:val="24"/>
                <w:highlight w:val="none"/>
                <w:lang w:val="en-US" w:eastAsia="zh-CN"/>
              </w:rPr>
              <w:t>m</w:t>
            </w:r>
            <w:r>
              <w:rPr>
                <w:rFonts w:hint="eastAsia" w:cs="Times New Roman"/>
                <w:color w:val="auto"/>
                <w:spacing w:val="0"/>
                <w:position w:val="0"/>
                <w:sz w:val="24"/>
                <w:szCs w:val="24"/>
                <w:highlight w:val="none"/>
                <w:lang w:val="en-US" w:eastAsia="zh-CN"/>
              </w:rPr>
              <w:t>+0.55m</w:t>
            </w:r>
            <w:r>
              <w:rPr>
                <w:rFonts w:hint="default" w:ascii="Times New Roman" w:hAnsi="Times New Roman" w:eastAsia="宋体" w:cs="Times New Roman"/>
                <w:color w:val="auto"/>
                <w:spacing w:val="0"/>
                <w:position w:val="0"/>
                <w:sz w:val="24"/>
                <w:szCs w:val="24"/>
                <w:highlight w:val="none"/>
                <w:lang w:val="en-US" w:eastAsia="zh-CN"/>
              </w:rPr>
              <w:t>+</w:t>
            </w:r>
            <w:r>
              <w:rPr>
                <w:rFonts w:hint="eastAsia" w:cs="Times New Roman"/>
                <w:color w:val="auto"/>
                <w:spacing w:val="0"/>
                <w:position w:val="0"/>
                <w:sz w:val="24"/>
                <w:szCs w:val="24"/>
                <w:highlight w:val="none"/>
                <w:lang w:val="en-US" w:eastAsia="zh-CN"/>
              </w:rPr>
              <w:t>2.1</w:t>
            </w:r>
            <w:r>
              <w:rPr>
                <w:rFonts w:hint="default" w:ascii="Times New Roman" w:hAnsi="Times New Roman" w:eastAsia="宋体" w:cs="Times New Roman"/>
                <w:color w:val="auto"/>
                <w:spacing w:val="0"/>
                <w:position w:val="0"/>
                <w:sz w:val="24"/>
                <w:szCs w:val="24"/>
                <w:highlight w:val="none"/>
                <w:lang w:val="en-US" w:eastAsia="zh-CN"/>
              </w:rPr>
              <w:t>m+</w:t>
            </w:r>
            <w:r>
              <w:rPr>
                <w:rFonts w:hint="eastAsia" w:cs="Times New Roman"/>
                <w:color w:val="auto"/>
                <w:spacing w:val="0"/>
                <w:position w:val="0"/>
                <w:sz w:val="24"/>
                <w:szCs w:val="24"/>
                <w:highlight w:val="none"/>
                <w:lang w:val="en-US" w:eastAsia="zh-CN"/>
              </w:rPr>
              <w:t>1.15</w:t>
            </w:r>
            <w:r>
              <w:rPr>
                <w:rFonts w:hint="default" w:ascii="Times New Roman" w:hAnsi="Times New Roman" w:eastAsia="宋体" w:cs="Times New Roman"/>
                <w:color w:val="auto"/>
                <w:spacing w:val="0"/>
                <w:position w:val="0"/>
                <w:sz w:val="24"/>
                <w:szCs w:val="24"/>
                <w:highlight w:val="none"/>
                <w:lang w:val="en-US" w:eastAsia="zh-CN"/>
              </w:rPr>
              <w:t>m</w:t>
            </w:r>
            <w:r>
              <w:rPr>
                <w:rFonts w:hint="eastAsia" w:cs="Times New Roman"/>
                <w:color w:val="auto"/>
                <w:spacing w:val="0"/>
                <w:position w:val="0"/>
                <w:sz w:val="24"/>
                <w:szCs w:val="24"/>
                <w:highlight w:val="none"/>
                <w:lang w:val="en-US" w:eastAsia="zh-CN"/>
              </w:rPr>
              <w:t>+4.39m（合计9.69m）</w:t>
            </w:r>
            <w:r>
              <w:rPr>
                <w:rFonts w:hint="default" w:ascii="Times New Roman" w:hAnsi="Times New Roman" w:eastAsia="宋体" w:cs="Times New Roman"/>
                <w:color w:val="auto"/>
                <w:spacing w:val="0"/>
                <w:position w:val="0"/>
                <w:sz w:val="24"/>
                <w:szCs w:val="24"/>
                <w:highlight w:val="none"/>
                <w:lang w:val="en-US" w:eastAsia="zh-CN"/>
              </w:rPr>
              <w:t>，西面长约6m，东面长约7.15m，机房净空高度H高2.8m，有效面积约为48.21m</w:t>
            </w:r>
            <w:r>
              <w:rPr>
                <w:rFonts w:hint="default" w:ascii="Times New Roman" w:hAnsi="Times New Roman" w:eastAsia="宋体" w:cs="Times New Roman"/>
                <w:color w:val="auto"/>
                <w:spacing w:val="0"/>
                <w:position w:val="0"/>
                <w:sz w:val="24"/>
                <w:szCs w:val="24"/>
                <w:highlight w:val="none"/>
                <w:vertAlign w:val="superscript"/>
                <w:lang w:val="en-US" w:eastAsia="zh-CN"/>
              </w:rPr>
              <w:t>2</w:t>
            </w:r>
            <w:r>
              <w:rPr>
                <w:rFonts w:hint="default" w:ascii="Times New Roman" w:hAnsi="Times New Roman" w:eastAsia="宋体" w:cs="Times New Roman"/>
                <w:color w:val="auto"/>
                <w:spacing w:val="0"/>
                <w:position w:val="0"/>
                <w:sz w:val="24"/>
                <w:szCs w:val="24"/>
                <w:highlight w:val="none"/>
                <w:lang w:val="en-US" w:eastAsia="zh-CN"/>
              </w:rPr>
              <w:t>，净空体积为135m</w:t>
            </w:r>
            <w:r>
              <w:rPr>
                <w:rFonts w:hint="default" w:ascii="Times New Roman" w:hAnsi="Times New Roman" w:eastAsia="宋体" w:cs="Times New Roman"/>
                <w:color w:val="auto"/>
                <w:spacing w:val="0"/>
                <w:position w:val="0"/>
                <w:sz w:val="24"/>
                <w:szCs w:val="24"/>
                <w:highlight w:val="none"/>
                <w:vertAlign w:val="superscript"/>
                <w:lang w:val="en-US" w:eastAsia="zh-CN"/>
              </w:rPr>
              <w:t>3</w:t>
            </w:r>
            <w:r>
              <w:rPr>
                <w:rFonts w:hint="default" w:ascii="Times New Roman" w:hAnsi="Times New Roman" w:eastAsia="宋体" w:cs="Times New Roman"/>
                <w:color w:val="auto"/>
                <w:spacing w:val="0"/>
                <w:position w:val="0"/>
                <w:sz w:val="24"/>
                <w:szCs w:val="24"/>
                <w:highlight w:val="none"/>
                <w:lang w:val="en-US" w:eastAsia="zh-CN"/>
              </w:rPr>
              <w:t>。机房尺寸如图1-1所示。</w:t>
            </w:r>
          </w:p>
          <w:p w14:paraId="5FC6C12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drawing>
                <wp:inline distT="0" distB="0" distL="114300" distR="114300">
                  <wp:extent cx="5563870" cy="3172460"/>
                  <wp:effectExtent l="0" t="0" r="17780" b="889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5"/>
                          <a:stretch>
                            <a:fillRect/>
                          </a:stretch>
                        </pic:blipFill>
                        <pic:spPr>
                          <a:xfrm>
                            <a:off x="0" y="0"/>
                            <a:ext cx="5563870" cy="3172460"/>
                          </a:xfrm>
                          <a:prstGeom prst="rect">
                            <a:avLst/>
                          </a:prstGeom>
                          <a:noFill/>
                          <a:ln>
                            <a:noFill/>
                          </a:ln>
                        </pic:spPr>
                      </pic:pic>
                    </a:graphicData>
                  </a:graphic>
                </wp:inline>
              </w:drawing>
            </w:r>
          </w:p>
          <w:p w14:paraId="2D522B4A">
            <w:pPr>
              <w:pStyle w:val="35"/>
              <w:suppressLineNumbers w:val="0"/>
              <w:bidi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图1-1机房平面及屏蔽示意图</w:t>
            </w:r>
          </w:p>
          <w:p w14:paraId="267A2D1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本项目拟建DSA机房北侧为洁净通道，南侧为污物通道，西侧为13号手术室，东侧为16号手术室，机房正对楼下为四楼辅料打包间、库房、器械预清洗室、2号手术室，机房正对楼上为六楼神经外科病房、癫痫病房。</w:t>
            </w:r>
          </w:p>
          <w:p w14:paraId="64B8518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本项目DSA介入室屏蔽措施情况见表 1-1。</w:t>
            </w:r>
          </w:p>
          <w:p w14:paraId="2769C9EF">
            <w:pPr>
              <w:pStyle w:val="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表 1-1本项目 DSA 机房屏蔽设计情况览表</w:t>
            </w:r>
          </w:p>
          <w:tbl>
            <w:tblPr>
              <w:tblStyle w:val="53"/>
              <w:tblW w:w="49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7"/>
              <w:gridCol w:w="3315"/>
              <w:gridCol w:w="943"/>
              <w:gridCol w:w="1018"/>
              <w:gridCol w:w="674"/>
              <w:gridCol w:w="636"/>
              <w:gridCol w:w="1493"/>
            </w:tblGrid>
            <w:tr w14:paraId="5E80B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517" w:type="dxa"/>
                  <w:noWrap w:val="0"/>
                  <w:vAlign w:val="center"/>
                </w:tcPr>
                <w:p w14:paraId="742819F5">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工作场所</w:t>
                  </w:r>
                </w:p>
              </w:tc>
              <w:tc>
                <w:tcPr>
                  <w:tcW w:w="3316" w:type="dxa"/>
                  <w:noWrap w:val="0"/>
                  <w:vAlign w:val="center"/>
                </w:tcPr>
                <w:p w14:paraId="6EEC13FB">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四周墙体</w:t>
                  </w:r>
                </w:p>
              </w:tc>
              <w:tc>
                <w:tcPr>
                  <w:tcW w:w="943" w:type="dxa"/>
                  <w:noWrap w:val="0"/>
                  <w:vAlign w:val="center"/>
                </w:tcPr>
                <w:p w14:paraId="58ADF5C1">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楼顶</w:t>
                  </w:r>
                </w:p>
              </w:tc>
              <w:tc>
                <w:tcPr>
                  <w:tcW w:w="1018" w:type="dxa"/>
                  <w:noWrap w:val="0"/>
                  <w:vAlign w:val="center"/>
                </w:tcPr>
                <w:p w14:paraId="7ED3501D">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地面</w:t>
                  </w:r>
                </w:p>
              </w:tc>
              <w:tc>
                <w:tcPr>
                  <w:tcW w:w="674" w:type="dxa"/>
                  <w:noWrap w:val="0"/>
                  <w:vAlign w:val="center"/>
                </w:tcPr>
                <w:p w14:paraId="60EDEF9D">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防护门</w:t>
                  </w:r>
                </w:p>
              </w:tc>
              <w:tc>
                <w:tcPr>
                  <w:tcW w:w="636" w:type="dxa"/>
                  <w:noWrap w:val="0"/>
                  <w:vAlign w:val="center"/>
                </w:tcPr>
                <w:p w14:paraId="14F73210">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观察窗</w:t>
                  </w:r>
                </w:p>
              </w:tc>
              <w:tc>
                <w:tcPr>
                  <w:tcW w:w="1494" w:type="dxa"/>
                  <w:noWrap w:val="0"/>
                  <w:vAlign w:val="center"/>
                </w:tcPr>
                <w:p w14:paraId="22A7426C">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机房面积</w:t>
                  </w:r>
                </w:p>
              </w:tc>
            </w:tr>
            <w:tr w14:paraId="3C43F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6" w:hRule="atLeast"/>
                <w:jc w:val="center"/>
              </w:trPr>
              <w:tc>
                <w:tcPr>
                  <w:tcW w:w="517" w:type="dxa"/>
                  <w:vMerge w:val="restart"/>
                  <w:noWrap w:val="0"/>
                  <w:vAlign w:val="center"/>
                </w:tcPr>
                <w:p w14:paraId="753ECD0C">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highlight w:val="none"/>
                      <w:lang w:val="en-US" w:eastAsia="zh-CN"/>
                    </w:rPr>
                    <w:t>住院楼5楼DSA介入室</w:t>
                  </w:r>
                </w:p>
              </w:tc>
              <w:tc>
                <w:tcPr>
                  <w:tcW w:w="3316" w:type="dxa"/>
                  <w:tcBorders>
                    <w:bottom w:val="single" w:color="auto" w:sz="4" w:space="0"/>
                  </w:tcBorders>
                  <w:noWrap w:val="0"/>
                  <w:vAlign w:val="center"/>
                </w:tcPr>
                <w:p w14:paraId="587DF20A">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东墙</w:t>
                  </w:r>
                  <w:r>
                    <w:rPr>
                      <w:rFonts w:hint="eastAsia" w:cs="Times New Roman"/>
                      <w:color w:val="auto"/>
                      <w:spacing w:val="0"/>
                      <w:position w:val="0"/>
                      <w:sz w:val="21"/>
                      <w:szCs w:val="21"/>
                      <w:lang w:val="en-US" w:eastAsia="zh-CN"/>
                    </w:rPr>
                    <w:t>、</w:t>
                  </w:r>
                  <w:r>
                    <w:rPr>
                      <w:rFonts w:hint="default" w:ascii="Times New Roman" w:hAnsi="Times New Roman" w:eastAsia="宋体" w:cs="Times New Roman"/>
                      <w:color w:val="auto"/>
                      <w:spacing w:val="0"/>
                      <w:position w:val="0"/>
                      <w:sz w:val="21"/>
                      <w:szCs w:val="21"/>
                      <w:lang w:val="en-US" w:eastAsia="zh-CN"/>
                    </w:rPr>
                    <w:t>南墙</w:t>
                  </w:r>
                  <w:r>
                    <w:rPr>
                      <w:rFonts w:hint="eastAsia" w:cs="Times New Roman"/>
                      <w:color w:val="auto"/>
                      <w:spacing w:val="0"/>
                      <w:position w:val="0"/>
                      <w:sz w:val="21"/>
                      <w:szCs w:val="21"/>
                      <w:lang w:val="en-US" w:eastAsia="zh-CN"/>
                    </w:rPr>
                    <w:t>、</w:t>
                  </w:r>
                  <w:r>
                    <w:rPr>
                      <w:rFonts w:hint="default" w:ascii="Times New Roman" w:hAnsi="Times New Roman" w:eastAsia="宋体" w:cs="Times New Roman"/>
                      <w:color w:val="auto"/>
                      <w:spacing w:val="0"/>
                      <w:position w:val="0"/>
                      <w:sz w:val="21"/>
                      <w:szCs w:val="21"/>
                      <w:lang w:val="en-US" w:eastAsia="zh-CN"/>
                    </w:rPr>
                    <w:t>北墙：</w:t>
                  </w:r>
                  <w:r>
                    <w:rPr>
                      <w:rFonts w:hint="default" w:ascii="Times New Roman" w:hAnsi="Times New Roman" w:eastAsia="宋体" w:cs="Times New Roman"/>
                      <w:color w:val="auto"/>
                      <w:spacing w:val="0"/>
                      <w:position w:val="0"/>
                      <w:highlight w:val="none"/>
                      <w:lang w:val="en-US" w:eastAsia="zh-CN"/>
                    </w:rPr>
                    <w:t>留有剪力墙部分：</w:t>
                  </w:r>
                  <w:r>
                    <w:rPr>
                      <w:rFonts w:hint="eastAsia" w:cs="Times New Roman"/>
                      <w:color w:val="auto"/>
                      <w:spacing w:val="0"/>
                      <w:position w:val="0"/>
                      <w:highlight w:val="none"/>
                      <w:lang w:val="en-US" w:eastAsia="zh-CN"/>
                    </w:rPr>
                    <w:t>300mm钢筋混凝土剪力墙</w:t>
                  </w:r>
                  <w:r>
                    <w:rPr>
                      <w:rFonts w:hint="default" w:ascii="Times New Roman" w:hAnsi="Times New Roman" w:eastAsia="宋体" w:cs="Times New Roman"/>
                      <w:color w:val="auto"/>
                      <w:spacing w:val="0"/>
                      <w:position w:val="0"/>
                      <w:highlight w:val="none"/>
                      <w:lang w:val="en-US" w:eastAsia="zh-CN"/>
                    </w:rPr>
                    <w:t>+涂刷20mm硫酸钡防护涂料进行屏蔽防护，折合铅当量：6.18mm</w:t>
                  </w:r>
                  <w:r>
                    <w:rPr>
                      <w:rFonts w:hint="default" w:ascii="Times New Roman" w:hAnsi="Times New Roman" w:eastAsia="宋体" w:cs="Times New Roman"/>
                      <w:color w:val="auto"/>
                      <w:spacing w:val="0"/>
                      <w:position w:val="0"/>
                      <w:sz w:val="21"/>
                      <w:szCs w:val="21"/>
                      <w:lang w:val="en-US" w:eastAsia="zh-CN"/>
                    </w:rPr>
                    <w:t>，在无剪力墙空区采用轻钢龙骨骨架，内衬4mmpb防护铅板进行屏蔽防护，折合铅当量4mm</w:t>
                  </w:r>
                </w:p>
              </w:tc>
              <w:tc>
                <w:tcPr>
                  <w:tcW w:w="943" w:type="dxa"/>
                  <w:vMerge w:val="restart"/>
                  <w:noWrap w:val="0"/>
                  <w:vAlign w:val="center"/>
                </w:tcPr>
                <w:p w14:paraId="3CEA12CB">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120mm钢筋混凝土楼板+4mmpb防护铅板，铅当量约5.44mmPb</w:t>
                  </w:r>
                </w:p>
              </w:tc>
              <w:tc>
                <w:tcPr>
                  <w:tcW w:w="1018" w:type="dxa"/>
                  <w:vMerge w:val="restart"/>
                  <w:noWrap w:val="0"/>
                  <w:vAlign w:val="center"/>
                </w:tcPr>
                <w:p w14:paraId="2FA4025C">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120mm钢筋混凝土楼板+40mm硫酸钡涂料+50mm细石混凝土找平层，铅当量约5.16mmPb</w:t>
                  </w:r>
                </w:p>
              </w:tc>
              <w:tc>
                <w:tcPr>
                  <w:tcW w:w="674" w:type="dxa"/>
                  <w:vMerge w:val="restart"/>
                  <w:noWrap w:val="0"/>
                  <w:vAlign w:val="center"/>
                </w:tcPr>
                <w:p w14:paraId="5751832A">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3道防护门均为内衬4mm铅板的防护门，铅当量约4mmPb</w:t>
                  </w:r>
                </w:p>
              </w:tc>
              <w:tc>
                <w:tcPr>
                  <w:tcW w:w="636" w:type="dxa"/>
                  <w:vMerge w:val="restart"/>
                  <w:noWrap w:val="0"/>
                  <w:vAlign w:val="center"/>
                </w:tcPr>
                <w:p w14:paraId="7E1FE418">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机房观察窗为铅玻璃，铅玻璃规格1500×900mm，铅当量约4mmPb</w:t>
                  </w:r>
                </w:p>
              </w:tc>
              <w:tc>
                <w:tcPr>
                  <w:tcW w:w="1494" w:type="dxa"/>
                  <w:vMerge w:val="restart"/>
                  <w:noWrap w:val="0"/>
                  <w:vAlign w:val="center"/>
                </w:tcPr>
                <w:p w14:paraId="57C3157B">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highlight w:val="none"/>
                      <w:lang w:val="en-US" w:eastAsia="zh-CN"/>
                    </w:rPr>
                    <w:t>北面长约8m，南面长约1.5m+0.55m+2.1m+1.15m+</w:t>
                  </w:r>
                  <w:r>
                    <w:rPr>
                      <w:rFonts w:hint="eastAsia" w:cs="Times New Roman"/>
                      <w:color w:val="auto"/>
                      <w:spacing w:val="0"/>
                      <w:position w:val="0"/>
                      <w:sz w:val="21"/>
                      <w:szCs w:val="21"/>
                      <w:highlight w:val="none"/>
                      <w:lang w:val="en-US" w:eastAsia="zh-CN"/>
                    </w:rPr>
                    <w:t>4.39m（合计9.69m）</w:t>
                  </w:r>
                  <w:r>
                    <w:rPr>
                      <w:rFonts w:hint="default" w:ascii="Times New Roman" w:hAnsi="Times New Roman" w:eastAsia="宋体" w:cs="Times New Roman"/>
                      <w:color w:val="auto"/>
                      <w:spacing w:val="0"/>
                      <w:position w:val="0"/>
                      <w:sz w:val="21"/>
                      <w:szCs w:val="21"/>
                      <w:highlight w:val="none"/>
                      <w:lang w:val="en-US" w:eastAsia="zh-CN"/>
                    </w:rPr>
                    <w:t>，西面长约6m，东面长约7.15m，机房净空高度H高2.8m，有效面积约为48.21m</w:t>
                  </w:r>
                  <w:r>
                    <w:rPr>
                      <w:rFonts w:hint="default" w:ascii="Times New Roman" w:hAnsi="Times New Roman" w:eastAsia="宋体" w:cs="Times New Roman"/>
                      <w:color w:val="auto"/>
                      <w:spacing w:val="0"/>
                      <w:position w:val="0"/>
                      <w:sz w:val="21"/>
                      <w:szCs w:val="21"/>
                      <w:highlight w:val="none"/>
                      <w:vertAlign w:val="superscript"/>
                      <w:lang w:val="en-US" w:eastAsia="zh-CN"/>
                    </w:rPr>
                    <w:t>2</w:t>
                  </w:r>
                  <w:r>
                    <w:rPr>
                      <w:rFonts w:hint="default" w:ascii="Times New Roman" w:hAnsi="Times New Roman" w:eastAsia="宋体" w:cs="Times New Roman"/>
                      <w:color w:val="auto"/>
                      <w:spacing w:val="0"/>
                      <w:position w:val="0"/>
                      <w:sz w:val="21"/>
                      <w:szCs w:val="21"/>
                      <w:highlight w:val="none"/>
                      <w:lang w:val="en-US" w:eastAsia="zh-CN"/>
                    </w:rPr>
                    <w:t>，净空体积为135m</w:t>
                  </w:r>
                  <w:r>
                    <w:rPr>
                      <w:rFonts w:hint="default" w:ascii="Times New Roman" w:hAnsi="Times New Roman" w:eastAsia="宋体" w:cs="Times New Roman"/>
                      <w:color w:val="auto"/>
                      <w:spacing w:val="0"/>
                      <w:position w:val="0"/>
                      <w:sz w:val="21"/>
                      <w:szCs w:val="21"/>
                      <w:highlight w:val="none"/>
                      <w:vertAlign w:val="superscript"/>
                      <w:lang w:val="en-US" w:eastAsia="zh-CN"/>
                    </w:rPr>
                    <w:t>3</w:t>
                  </w:r>
                </w:p>
              </w:tc>
            </w:tr>
            <w:tr w14:paraId="70F5B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517" w:type="dxa"/>
                  <w:vMerge w:val="continue"/>
                  <w:noWrap w:val="0"/>
                  <w:vAlign w:val="center"/>
                </w:tcPr>
                <w:p w14:paraId="6EEA9408">
                  <w:pPr>
                    <w:pStyle w:val="8"/>
                    <w:bidi w:val="0"/>
                    <w:jc w:val="center"/>
                    <w:rPr>
                      <w:rFonts w:hint="default" w:ascii="Times New Roman" w:hAnsi="Times New Roman" w:eastAsia="宋体" w:cs="Times New Roman"/>
                      <w:color w:val="auto"/>
                      <w:spacing w:val="0"/>
                      <w:position w:val="0"/>
                      <w:sz w:val="21"/>
                      <w:szCs w:val="21"/>
                      <w:highlight w:val="none"/>
                      <w:lang w:val="en-US" w:eastAsia="zh-CN"/>
                    </w:rPr>
                  </w:pPr>
                </w:p>
              </w:tc>
              <w:tc>
                <w:tcPr>
                  <w:tcW w:w="3316" w:type="dxa"/>
                  <w:tcBorders>
                    <w:top w:val="single" w:color="auto" w:sz="4" w:space="0"/>
                    <w:bottom w:val="single" w:color="auto" w:sz="4" w:space="0"/>
                  </w:tcBorders>
                  <w:noWrap w:val="0"/>
                  <w:vAlign w:val="center"/>
                </w:tcPr>
                <w:p w14:paraId="00B9592D">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西墙：采用轻钢龙骨骨架，内衬4mmpb防护铅板进行屏蔽防护，铅当量约4mmPb</w:t>
                  </w:r>
                </w:p>
              </w:tc>
              <w:tc>
                <w:tcPr>
                  <w:tcW w:w="943" w:type="dxa"/>
                  <w:vMerge w:val="continue"/>
                  <w:noWrap w:val="0"/>
                  <w:vAlign w:val="center"/>
                </w:tcPr>
                <w:p w14:paraId="2FFD0A31">
                  <w:pPr>
                    <w:pStyle w:val="8"/>
                    <w:bidi w:val="0"/>
                    <w:jc w:val="center"/>
                    <w:rPr>
                      <w:rFonts w:hint="default" w:ascii="Times New Roman" w:hAnsi="Times New Roman" w:eastAsia="宋体" w:cs="Times New Roman"/>
                      <w:color w:val="auto"/>
                      <w:spacing w:val="0"/>
                      <w:position w:val="0"/>
                      <w:sz w:val="21"/>
                      <w:szCs w:val="21"/>
                      <w:lang w:val="en-US" w:eastAsia="zh-CN"/>
                    </w:rPr>
                  </w:pPr>
                </w:p>
              </w:tc>
              <w:tc>
                <w:tcPr>
                  <w:tcW w:w="1018" w:type="dxa"/>
                  <w:vMerge w:val="continue"/>
                  <w:noWrap w:val="0"/>
                  <w:vAlign w:val="center"/>
                </w:tcPr>
                <w:p w14:paraId="1DA96CCE">
                  <w:pPr>
                    <w:pStyle w:val="8"/>
                    <w:bidi w:val="0"/>
                    <w:jc w:val="center"/>
                    <w:rPr>
                      <w:rFonts w:hint="default" w:ascii="Times New Roman" w:hAnsi="Times New Roman" w:eastAsia="宋体" w:cs="Times New Roman"/>
                      <w:color w:val="auto"/>
                      <w:spacing w:val="0"/>
                      <w:position w:val="0"/>
                      <w:sz w:val="21"/>
                      <w:szCs w:val="21"/>
                      <w:lang w:val="en-US" w:eastAsia="zh-CN"/>
                    </w:rPr>
                  </w:pPr>
                </w:p>
              </w:tc>
              <w:tc>
                <w:tcPr>
                  <w:tcW w:w="674" w:type="dxa"/>
                  <w:vMerge w:val="continue"/>
                  <w:noWrap w:val="0"/>
                  <w:vAlign w:val="center"/>
                </w:tcPr>
                <w:p w14:paraId="077FCF95">
                  <w:pPr>
                    <w:pStyle w:val="8"/>
                    <w:bidi w:val="0"/>
                    <w:jc w:val="center"/>
                    <w:rPr>
                      <w:rFonts w:hint="default" w:ascii="Times New Roman" w:hAnsi="Times New Roman" w:eastAsia="宋体" w:cs="Times New Roman"/>
                      <w:color w:val="auto"/>
                      <w:spacing w:val="0"/>
                      <w:position w:val="0"/>
                      <w:sz w:val="21"/>
                      <w:szCs w:val="21"/>
                      <w:lang w:val="en-US" w:eastAsia="zh-CN"/>
                    </w:rPr>
                  </w:pPr>
                </w:p>
              </w:tc>
              <w:tc>
                <w:tcPr>
                  <w:tcW w:w="636" w:type="dxa"/>
                  <w:vMerge w:val="continue"/>
                  <w:noWrap w:val="0"/>
                  <w:vAlign w:val="center"/>
                </w:tcPr>
                <w:p w14:paraId="1166DDD0">
                  <w:pPr>
                    <w:pStyle w:val="8"/>
                    <w:bidi w:val="0"/>
                    <w:jc w:val="center"/>
                    <w:rPr>
                      <w:rFonts w:hint="default" w:ascii="Times New Roman" w:hAnsi="Times New Roman" w:eastAsia="宋体" w:cs="Times New Roman"/>
                      <w:color w:val="auto"/>
                      <w:spacing w:val="0"/>
                      <w:position w:val="0"/>
                      <w:sz w:val="21"/>
                      <w:szCs w:val="21"/>
                      <w:lang w:val="en-US" w:eastAsia="zh-CN"/>
                    </w:rPr>
                  </w:pPr>
                </w:p>
              </w:tc>
              <w:tc>
                <w:tcPr>
                  <w:tcW w:w="1494" w:type="dxa"/>
                  <w:vMerge w:val="continue"/>
                  <w:noWrap w:val="0"/>
                  <w:vAlign w:val="center"/>
                </w:tcPr>
                <w:p w14:paraId="422BC2EA">
                  <w:pPr>
                    <w:pStyle w:val="8"/>
                    <w:bidi w:val="0"/>
                    <w:jc w:val="center"/>
                    <w:rPr>
                      <w:rFonts w:hint="default" w:ascii="Times New Roman" w:hAnsi="Times New Roman" w:eastAsia="宋体" w:cs="Times New Roman"/>
                      <w:color w:val="auto"/>
                      <w:spacing w:val="0"/>
                      <w:position w:val="0"/>
                      <w:sz w:val="21"/>
                      <w:szCs w:val="21"/>
                      <w:highlight w:val="none"/>
                      <w:lang w:val="en-US" w:eastAsia="zh-CN"/>
                    </w:rPr>
                  </w:pPr>
                </w:p>
              </w:tc>
            </w:tr>
          </w:tbl>
          <w:p w14:paraId="560AD103">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本项目的主体工程主要为DSA</w:t>
            </w:r>
            <w:r>
              <w:rPr>
                <w:rFonts w:hint="default" w:ascii="Times New Roman" w:hAnsi="Times New Roman" w:eastAsia="宋体" w:cs="Times New Roman"/>
                <w:color w:val="auto"/>
                <w:spacing w:val="0"/>
                <w:position w:val="0"/>
                <w:lang w:val="en-US" w:eastAsia="zh-CN"/>
              </w:rPr>
              <w:t>介入室、控制室、</w:t>
            </w:r>
            <w:r>
              <w:rPr>
                <w:rFonts w:hint="default" w:ascii="Times New Roman" w:hAnsi="Times New Roman" w:eastAsia="宋体" w:cs="Times New Roman"/>
                <w:color w:val="auto"/>
                <w:spacing w:val="0"/>
                <w:position w:val="0"/>
              </w:rPr>
              <w:t>设备间，其余配套工程主要有</w:t>
            </w:r>
            <w:r>
              <w:rPr>
                <w:rFonts w:hint="default" w:ascii="Times New Roman" w:hAnsi="Times New Roman" w:eastAsia="宋体" w:cs="Times New Roman"/>
                <w:color w:val="auto"/>
                <w:spacing w:val="0"/>
                <w:position w:val="0"/>
                <w:lang w:val="en-US" w:eastAsia="zh-CN"/>
              </w:rPr>
              <w:t>污物通道</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清洁通道、麻醉恢复区</w:t>
            </w:r>
            <w:r>
              <w:rPr>
                <w:rFonts w:hint="default" w:ascii="Times New Roman" w:hAnsi="Times New Roman" w:eastAsia="宋体" w:cs="Times New Roman"/>
                <w:color w:val="auto"/>
                <w:spacing w:val="0"/>
                <w:position w:val="0"/>
              </w:rPr>
              <w:t>等。本项目建设内容及规模见表1-</w:t>
            </w:r>
            <w:r>
              <w:rPr>
                <w:rFonts w:hint="default" w:ascii="Times New Roman" w:hAnsi="Times New Roman" w:eastAsia="宋体" w:cs="Times New Roman"/>
                <w:color w:val="auto"/>
                <w:spacing w:val="0"/>
                <w:position w:val="0"/>
                <w:lang w:val="en-US" w:eastAsia="zh-CN"/>
              </w:rPr>
              <w:t>2</w:t>
            </w:r>
            <w:r>
              <w:rPr>
                <w:rFonts w:hint="default" w:ascii="Times New Roman" w:hAnsi="Times New Roman" w:eastAsia="宋体" w:cs="Times New Roman"/>
                <w:color w:val="auto"/>
                <w:spacing w:val="0"/>
                <w:position w:val="0"/>
              </w:rPr>
              <w:t>。</w:t>
            </w:r>
            <w:bookmarkStart w:id="2" w:name="_Toc7350"/>
          </w:p>
          <w:p w14:paraId="299C06A6">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表1</w:t>
            </w:r>
            <w:r>
              <w:rPr>
                <w:rFonts w:hint="default" w:ascii="Times New Roman" w:hAnsi="Times New Roman" w:eastAsia="宋体" w:cs="Times New Roman"/>
                <w:color w:val="auto"/>
                <w:spacing w:val="0"/>
                <w:position w:val="0"/>
                <w:sz w:val="21"/>
                <w:szCs w:val="21"/>
                <w:lang w:val="en-US" w:eastAsia="zh-CN"/>
              </w:rPr>
              <w:t xml:space="preserve">-2 </w:t>
            </w:r>
            <w:r>
              <w:rPr>
                <w:rFonts w:hint="default" w:ascii="Times New Roman" w:hAnsi="Times New Roman" w:eastAsia="宋体" w:cs="Times New Roman"/>
                <w:color w:val="auto"/>
                <w:spacing w:val="0"/>
                <w:position w:val="0"/>
                <w:sz w:val="21"/>
                <w:szCs w:val="21"/>
              </w:rPr>
              <w:t>本项目组成及主要环境问题一览表</w:t>
            </w:r>
            <w:bookmarkEnd w:id="2"/>
          </w:p>
          <w:tbl>
            <w:tblPr>
              <w:tblStyle w:val="20"/>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6682"/>
              <w:gridCol w:w="651"/>
              <w:gridCol w:w="689"/>
            </w:tblGrid>
            <w:tr w14:paraId="0952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9" w:type="dxa"/>
                  <w:vMerge w:val="restart"/>
                  <w:noWrap w:val="0"/>
                  <w:vAlign w:val="center"/>
                </w:tcPr>
                <w:p w14:paraId="2F17C2B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名称</w:t>
                  </w:r>
                </w:p>
              </w:tc>
              <w:tc>
                <w:tcPr>
                  <w:tcW w:w="6777" w:type="dxa"/>
                  <w:vMerge w:val="restart"/>
                  <w:noWrap w:val="0"/>
                  <w:vAlign w:val="center"/>
                </w:tcPr>
                <w:p w14:paraId="63034B08">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建设内容及规模</w:t>
                  </w:r>
                </w:p>
              </w:tc>
              <w:tc>
                <w:tcPr>
                  <w:tcW w:w="1353" w:type="dxa"/>
                  <w:gridSpan w:val="2"/>
                  <w:noWrap w:val="0"/>
                  <w:vAlign w:val="center"/>
                </w:tcPr>
                <w:p w14:paraId="67E66E9E">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可能产生的环境问题</w:t>
                  </w:r>
                </w:p>
              </w:tc>
            </w:tr>
            <w:tr w14:paraId="60D3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9" w:type="dxa"/>
                  <w:vMerge w:val="continue"/>
                  <w:noWrap w:val="0"/>
                  <w:vAlign w:val="center"/>
                </w:tcPr>
                <w:p w14:paraId="1CD7E78D">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p>
              </w:tc>
              <w:tc>
                <w:tcPr>
                  <w:tcW w:w="6777" w:type="dxa"/>
                  <w:vMerge w:val="continue"/>
                  <w:noWrap w:val="0"/>
                  <w:vAlign w:val="center"/>
                </w:tcPr>
                <w:p w14:paraId="2CA99BF9">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p>
              </w:tc>
              <w:tc>
                <w:tcPr>
                  <w:tcW w:w="657" w:type="dxa"/>
                  <w:noWrap w:val="0"/>
                  <w:vAlign w:val="center"/>
                </w:tcPr>
                <w:p w14:paraId="2EBD4798">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施工期</w:t>
                  </w:r>
                </w:p>
              </w:tc>
              <w:tc>
                <w:tcPr>
                  <w:tcW w:w="696" w:type="dxa"/>
                  <w:noWrap w:val="0"/>
                  <w:vAlign w:val="center"/>
                </w:tcPr>
                <w:p w14:paraId="02BF6E10">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营运期</w:t>
                  </w:r>
                </w:p>
              </w:tc>
            </w:tr>
            <w:tr w14:paraId="1EA2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9" w:type="dxa"/>
                  <w:noWrap w:val="0"/>
                  <w:vAlign w:val="center"/>
                </w:tcPr>
                <w:p w14:paraId="7350B4A1">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主体工程</w:t>
                  </w:r>
                </w:p>
              </w:tc>
              <w:tc>
                <w:tcPr>
                  <w:tcW w:w="6777" w:type="dxa"/>
                  <w:noWrap w:val="0"/>
                  <w:vAlign w:val="center"/>
                </w:tcPr>
                <w:p w14:paraId="74727C95">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highlight w:val="none"/>
                    </w:rPr>
                    <w:t>DSA介入室</w:t>
                  </w:r>
                  <w:r>
                    <w:rPr>
                      <w:rFonts w:hint="default" w:ascii="Times New Roman" w:hAnsi="Times New Roman" w:eastAsia="宋体" w:cs="Times New Roman"/>
                      <w:color w:val="auto"/>
                      <w:spacing w:val="0"/>
                      <w:position w:val="0"/>
                      <w:sz w:val="21"/>
                      <w:szCs w:val="21"/>
                      <w:highlight w:val="none"/>
                      <w:lang w:val="en-US" w:eastAsia="zh-CN"/>
                    </w:rPr>
                    <w:t>内</w:t>
                  </w:r>
                  <w:r>
                    <w:rPr>
                      <w:rFonts w:hint="default" w:ascii="Times New Roman" w:hAnsi="Times New Roman" w:eastAsia="宋体" w:cs="Times New Roman"/>
                      <w:color w:val="auto"/>
                      <w:spacing w:val="0"/>
                      <w:position w:val="0"/>
                      <w:sz w:val="21"/>
                      <w:szCs w:val="21"/>
                      <w:lang w:val="en-US" w:eastAsia="zh-CN"/>
                    </w:rPr>
                    <w:t>配置一台数字减影血管造影系统</w:t>
                  </w:r>
                  <w:r>
                    <w:rPr>
                      <w:rFonts w:hint="default" w:ascii="Times New Roman" w:hAnsi="Times New Roman" w:eastAsia="宋体" w:cs="Times New Roman"/>
                      <w:color w:val="auto"/>
                      <w:spacing w:val="0"/>
                      <w:position w:val="0"/>
                      <w:sz w:val="21"/>
                      <w:szCs w:val="21"/>
                    </w:rPr>
                    <w:t>（DSA）（</w:t>
                  </w:r>
                  <w:r>
                    <w:rPr>
                      <w:rFonts w:hint="default" w:ascii="Times New Roman" w:hAnsi="Times New Roman" w:eastAsia="宋体" w:cs="Times New Roman"/>
                      <w:color w:val="auto"/>
                      <w:spacing w:val="0"/>
                      <w:position w:val="0"/>
                      <w:sz w:val="21"/>
                      <w:szCs w:val="21"/>
                      <w:lang w:val="en-US" w:eastAsia="zh-CN"/>
                    </w:rPr>
                    <w:t>品牌为西门子，具体型号为ARTIS pheno Master</w:t>
                  </w:r>
                  <w:r>
                    <w:rPr>
                      <w:rFonts w:hint="default" w:ascii="Times New Roman" w:hAnsi="Times New Roman" w:eastAsia="宋体" w:cs="Times New Roman"/>
                      <w:color w:val="auto"/>
                      <w:spacing w:val="0"/>
                      <w:position w:val="0"/>
                      <w:sz w:val="21"/>
                      <w:szCs w:val="21"/>
                    </w:rPr>
                    <w:t>），最大管电压125kV，最大管电流为</w:t>
                  </w:r>
                  <w:r>
                    <w:rPr>
                      <w:rFonts w:hint="default" w:ascii="Times New Roman" w:hAnsi="Times New Roman" w:eastAsia="宋体" w:cs="Times New Roman"/>
                      <w:color w:val="auto"/>
                      <w:spacing w:val="0"/>
                      <w:position w:val="0"/>
                      <w:sz w:val="21"/>
                      <w:szCs w:val="21"/>
                      <w:lang w:eastAsia="zh-CN"/>
                    </w:rPr>
                    <w:t>1000</w:t>
                  </w:r>
                  <w:r>
                    <w:rPr>
                      <w:rFonts w:hint="default" w:ascii="Times New Roman" w:hAnsi="Times New Roman" w:eastAsia="宋体" w:cs="Times New Roman"/>
                      <w:color w:val="auto"/>
                      <w:spacing w:val="0"/>
                      <w:position w:val="0"/>
                      <w:sz w:val="21"/>
                      <w:szCs w:val="21"/>
                    </w:rPr>
                    <w:t>mA。DSA主要组成包括以下设备：</w:t>
                  </w:r>
                </w:p>
                <w:p w14:paraId="4AD93B60">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①X射线管组件：旋转阳极X射线管、X射线管套、X射线束准直器。</w:t>
                  </w:r>
                </w:p>
                <w:p w14:paraId="62DD8CFC">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②高压发生器：高压变压器、X射线管灯丝变压器、高压整流器、高压变换闸、高压插座</w:t>
                  </w:r>
                </w:p>
                <w:p w14:paraId="3AF955D3">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③控制台：电源开关、电源电压调节器及电压表、管电压调节器及管电压表、管电流调节器及管电流表、曝光控制及指示器、容量保护装置及指示器、透视量限制器</w:t>
                  </w:r>
                </w:p>
                <w:p w14:paraId="33917EB0">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④辅助支持设备：C型臂式机械装置；荧光屏、电视设备、成像板、电影机、平板探测器FPD等影像装置；固定器、压迫器、专用滤线栅、铅橡胶防护帘等配套装置。</w:t>
                  </w:r>
                </w:p>
                <w:p w14:paraId="68FAD47C">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⑤DSA介入室：</w:t>
                  </w:r>
                  <w:r>
                    <w:rPr>
                      <w:rFonts w:hint="default" w:ascii="Times New Roman" w:hAnsi="Times New Roman" w:eastAsia="宋体" w:cs="Times New Roman"/>
                      <w:color w:val="auto"/>
                      <w:spacing w:val="0"/>
                      <w:position w:val="0"/>
                      <w:sz w:val="21"/>
                      <w:szCs w:val="21"/>
                    </w:rPr>
                    <w:t>净尺寸</w:t>
                  </w:r>
                  <w:r>
                    <w:rPr>
                      <w:rFonts w:hint="default" w:ascii="Times New Roman" w:hAnsi="Times New Roman" w:eastAsia="宋体" w:cs="Times New Roman"/>
                      <w:color w:val="auto"/>
                      <w:spacing w:val="0"/>
                      <w:position w:val="0"/>
                      <w:sz w:val="21"/>
                      <w:szCs w:val="21"/>
                      <w:lang w:val="en-US" w:eastAsia="zh-CN"/>
                    </w:rPr>
                    <w:t>约</w:t>
                  </w:r>
                  <w:r>
                    <w:rPr>
                      <w:rFonts w:hint="default" w:ascii="Times New Roman" w:hAnsi="Times New Roman" w:eastAsia="宋体" w:cs="Times New Roman"/>
                      <w:color w:val="auto"/>
                      <w:spacing w:val="0"/>
                      <w:position w:val="0"/>
                      <w:sz w:val="21"/>
                      <w:szCs w:val="21"/>
                    </w:rPr>
                    <w:t>为</w:t>
                  </w:r>
                  <w:r>
                    <w:rPr>
                      <w:rFonts w:hint="default" w:ascii="Times New Roman" w:hAnsi="Times New Roman" w:eastAsia="宋体" w:cs="Times New Roman"/>
                      <w:color w:val="auto"/>
                      <w:spacing w:val="0"/>
                      <w:position w:val="0"/>
                      <w:sz w:val="21"/>
                      <w:szCs w:val="21"/>
                      <w:highlight w:val="none"/>
                      <w:lang w:val="en-US" w:eastAsia="zh-CN"/>
                    </w:rPr>
                    <w:t>北面长约8m，北面长约8m，南面长约1.5m+0.55m+2.1m+1.15m+</w:t>
                  </w:r>
                  <w:r>
                    <w:rPr>
                      <w:rFonts w:hint="eastAsia" w:cs="Times New Roman"/>
                      <w:color w:val="auto"/>
                      <w:spacing w:val="0"/>
                      <w:position w:val="0"/>
                      <w:sz w:val="21"/>
                      <w:szCs w:val="21"/>
                      <w:highlight w:val="none"/>
                      <w:lang w:val="en-US" w:eastAsia="zh-CN"/>
                    </w:rPr>
                    <w:t>4.39m（合计9.69m）</w:t>
                  </w:r>
                  <w:r>
                    <w:rPr>
                      <w:rFonts w:hint="default" w:ascii="Times New Roman" w:hAnsi="Times New Roman" w:eastAsia="宋体" w:cs="Times New Roman"/>
                      <w:color w:val="auto"/>
                      <w:spacing w:val="0"/>
                      <w:position w:val="0"/>
                      <w:sz w:val="21"/>
                      <w:szCs w:val="21"/>
                      <w:highlight w:val="none"/>
                      <w:lang w:val="en-US" w:eastAsia="zh-CN"/>
                    </w:rPr>
                    <w:t>，西面长约6m，东面长约7.15m，机房净空高度H高2.8m，有效面积约为48.21m</w:t>
                  </w:r>
                  <w:r>
                    <w:rPr>
                      <w:rFonts w:hint="default" w:ascii="Times New Roman" w:hAnsi="Times New Roman" w:eastAsia="宋体" w:cs="Times New Roman"/>
                      <w:color w:val="auto"/>
                      <w:spacing w:val="0"/>
                      <w:position w:val="0"/>
                      <w:sz w:val="21"/>
                      <w:szCs w:val="21"/>
                      <w:highlight w:val="none"/>
                      <w:vertAlign w:val="superscript"/>
                      <w:lang w:val="en-US" w:eastAsia="zh-CN"/>
                    </w:rPr>
                    <w:t>2</w:t>
                  </w:r>
                  <w:r>
                    <w:rPr>
                      <w:rFonts w:hint="default" w:ascii="Times New Roman" w:hAnsi="Times New Roman" w:eastAsia="宋体" w:cs="Times New Roman"/>
                      <w:color w:val="auto"/>
                      <w:spacing w:val="0"/>
                      <w:position w:val="0"/>
                      <w:sz w:val="21"/>
                      <w:szCs w:val="21"/>
                      <w:highlight w:val="none"/>
                      <w:lang w:val="en-US" w:eastAsia="zh-CN"/>
                    </w:rPr>
                    <w:t>，净空体积为135m</w:t>
                  </w:r>
                  <w:r>
                    <w:rPr>
                      <w:rFonts w:hint="default" w:ascii="Times New Roman" w:hAnsi="Times New Roman" w:eastAsia="宋体" w:cs="Times New Roman"/>
                      <w:color w:val="auto"/>
                      <w:spacing w:val="0"/>
                      <w:position w:val="0"/>
                      <w:sz w:val="21"/>
                      <w:szCs w:val="21"/>
                      <w:highlight w:val="none"/>
                      <w:vertAlign w:val="superscript"/>
                      <w:lang w:val="en-US" w:eastAsia="zh-CN"/>
                    </w:rPr>
                    <w:t>3</w:t>
                  </w:r>
                  <w:r>
                    <w:rPr>
                      <w:rFonts w:hint="default" w:ascii="Times New Roman" w:hAnsi="Times New Roman" w:eastAsia="宋体" w:cs="Times New Roman"/>
                      <w:color w:val="auto"/>
                      <w:spacing w:val="0"/>
                      <w:position w:val="0"/>
                      <w:sz w:val="21"/>
                      <w:szCs w:val="21"/>
                    </w:rPr>
                    <w:t>。</w:t>
                  </w:r>
                </w:p>
              </w:tc>
              <w:tc>
                <w:tcPr>
                  <w:tcW w:w="657" w:type="dxa"/>
                  <w:vMerge w:val="restart"/>
                  <w:noWrap w:val="0"/>
                  <w:vAlign w:val="center"/>
                </w:tcPr>
                <w:p w14:paraId="44819EFB">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扬尘、施工废水、噪声及施工废渣以及设备安装调试时产生的X射线、臭氧和氮氧化物。</w:t>
                  </w:r>
                </w:p>
              </w:tc>
              <w:tc>
                <w:tcPr>
                  <w:tcW w:w="696" w:type="dxa"/>
                  <w:vMerge w:val="restart"/>
                  <w:noWrap w:val="0"/>
                  <w:vAlign w:val="center"/>
                </w:tcPr>
                <w:p w14:paraId="553FCB88">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X射线、臭氧、氮氧化物以及医疗固废、生活废水、办公垃圾。</w:t>
                  </w:r>
                </w:p>
              </w:tc>
            </w:tr>
            <w:tr w14:paraId="6519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9" w:type="dxa"/>
                  <w:noWrap w:val="0"/>
                  <w:vAlign w:val="center"/>
                </w:tcPr>
                <w:p w14:paraId="3269A8FD">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辅助工程</w:t>
                  </w:r>
                </w:p>
              </w:tc>
              <w:tc>
                <w:tcPr>
                  <w:tcW w:w="6777" w:type="dxa"/>
                  <w:noWrap w:val="0"/>
                  <w:vAlign w:val="center"/>
                </w:tcPr>
                <w:p w14:paraId="46B80CF7">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控制室：面积为14.28m</w:t>
                  </w:r>
                  <w:r>
                    <w:rPr>
                      <w:rFonts w:hint="default" w:ascii="Times New Roman" w:hAnsi="Times New Roman" w:eastAsia="宋体" w:cs="Times New Roman"/>
                      <w:color w:val="auto"/>
                      <w:spacing w:val="0"/>
                      <w:position w:val="0"/>
                      <w:sz w:val="21"/>
                      <w:szCs w:val="21"/>
                      <w:vertAlign w:val="superscript"/>
                      <w:lang w:val="en-US" w:eastAsia="zh-CN"/>
                    </w:rPr>
                    <w:t>2</w:t>
                  </w:r>
                  <w:r>
                    <w:rPr>
                      <w:rFonts w:hint="default" w:ascii="Times New Roman" w:hAnsi="Times New Roman" w:eastAsia="宋体" w:cs="Times New Roman"/>
                      <w:color w:val="auto"/>
                      <w:spacing w:val="0"/>
                      <w:position w:val="0"/>
                      <w:sz w:val="21"/>
                      <w:szCs w:val="21"/>
                      <w:lang w:val="en-US" w:eastAsia="zh-CN"/>
                    </w:rPr>
                    <w:t>。</w:t>
                  </w:r>
                </w:p>
                <w:p w14:paraId="6465B9BC">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kern w:val="0"/>
                      <w:position w:val="0"/>
                      <w:sz w:val="21"/>
                      <w:szCs w:val="21"/>
                      <w:highlight w:val="none"/>
                    </w:rPr>
                  </w:pPr>
                  <w:r>
                    <w:rPr>
                      <w:rFonts w:hint="default" w:ascii="Times New Roman" w:hAnsi="Times New Roman" w:eastAsia="宋体" w:cs="Times New Roman"/>
                      <w:color w:val="auto"/>
                      <w:spacing w:val="0"/>
                      <w:kern w:val="0"/>
                      <w:position w:val="0"/>
                      <w:sz w:val="21"/>
                      <w:szCs w:val="21"/>
                      <w:highlight w:val="none"/>
                    </w:rPr>
                    <w:t>设备间</w:t>
                  </w:r>
                  <w:r>
                    <w:rPr>
                      <w:rFonts w:hint="default" w:ascii="Times New Roman" w:hAnsi="Times New Roman" w:eastAsia="宋体" w:cs="Times New Roman"/>
                      <w:color w:val="auto"/>
                      <w:spacing w:val="0"/>
                      <w:kern w:val="0"/>
                      <w:position w:val="0"/>
                      <w:sz w:val="21"/>
                      <w:szCs w:val="21"/>
                      <w:highlight w:val="none"/>
                      <w:lang w:eastAsia="zh-CN"/>
                    </w:rPr>
                    <w:t>：</w:t>
                  </w:r>
                  <w:r>
                    <w:rPr>
                      <w:rFonts w:hint="default" w:ascii="Times New Roman" w:hAnsi="Times New Roman" w:eastAsia="宋体" w:cs="Times New Roman"/>
                      <w:color w:val="auto"/>
                      <w:spacing w:val="0"/>
                      <w:kern w:val="0"/>
                      <w:position w:val="0"/>
                      <w:sz w:val="21"/>
                      <w:szCs w:val="21"/>
                      <w:highlight w:val="none"/>
                      <w:lang w:val="en-US" w:eastAsia="zh-CN"/>
                    </w:rPr>
                    <w:t>面积为9.06</w:t>
                  </w:r>
                  <w:r>
                    <w:rPr>
                      <w:rFonts w:hint="default" w:ascii="Times New Roman" w:hAnsi="Times New Roman" w:eastAsia="宋体" w:cs="Times New Roman"/>
                      <w:color w:val="auto"/>
                      <w:spacing w:val="0"/>
                      <w:kern w:val="0"/>
                      <w:position w:val="0"/>
                      <w:sz w:val="21"/>
                      <w:szCs w:val="21"/>
                      <w:highlight w:val="none"/>
                    </w:rPr>
                    <w:t>m</w:t>
                  </w:r>
                  <w:r>
                    <w:rPr>
                      <w:rFonts w:hint="default" w:ascii="Times New Roman" w:hAnsi="Times New Roman" w:eastAsia="宋体" w:cs="Times New Roman"/>
                      <w:color w:val="auto"/>
                      <w:spacing w:val="0"/>
                      <w:kern w:val="0"/>
                      <w:position w:val="0"/>
                      <w:sz w:val="21"/>
                      <w:szCs w:val="21"/>
                      <w:highlight w:val="none"/>
                      <w:vertAlign w:val="superscript"/>
                    </w:rPr>
                    <w:t>2</w:t>
                  </w:r>
                  <w:r>
                    <w:rPr>
                      <w:rFonts w:hint="default" w:ascii="Times New Roman" w:hAnsi="Times New Roman" w:eastAsia="宋体" w:cs="Times New Roman"/>
                      <w:color w:val="auto"/>
                      <w:spacing w:val="0"/>
                      <w:kern w:val="0"/>
                      <w:position w:val="0"/>
                      <w:sz w:val="21"/>
                      <w:szCs w:val="21"/>
                      <w:highlight w:val="none"/>
                      <w:lang w:eastAsia="zh-CN"/>
                    </w:rPr>
                    <w:t>。</w:t>
                  </w:r>
                </w:p>
              </w:tc>
              <w:tc>
                <w:tcPr>
                  <w:tcW w:w="657" w:type="dxa"/>
                  <w:vMerge w:val="continue"/>
                  <w:noWrap w:val="0"/>
                  <w:vAlign w:val="center"/>
                </w:tcPr>
                <w:p w14:paraId="41B8C3C0">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p>
              </w:tc>
              <w:tc>
                <w:tcPr>
                  <w:tcW w:w="696" w:type="dxa"/>
                  <w:vMerge w:val="continue"/>
                  <w:noWrap w:val="0"/>
                  <w:vAlign w:val="center"/>
                </w:tcPr>
                <w:p w14:paraId="592F7B53">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p>
              </w:tc>
            </w:tr>
            <w:tr w14:paraId="07D2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9" w:type="dxa"/>
                  <w:noWrap w:val="0"/>
                  <w:vAlign w:val="center"/>
                </w:tcPr>
                <w:p w14:paraId="0F58930D">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依托工程</w:t>
                  </w:r>
                </w:p>
              </w:tc>
              <w:tc>
                <w:tcPr>
                  <w:tcW w:w="6777" w:type="dxa"/>
                  <w:noWrap w:val="0"/>
                  <w:vAlign w:val="center"/>
                </w:tcPr>
                <w:p w14:paraId="32BC5DBB">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kern w:val="0"/>
                      <w:position w:val="0"/>
                      <w:sz w:val="21"/>
                      <w:szCs w:val="21"/>
                      <w:highlight w:val="none"/>
                    </w:rPr>
                  </w:pPr>
                  <w:r>
                    <w:rPr>
                      <w:rFonts w:hint="default" w:ascii="Times New Roman" w:hAnsi="Times New Roman" w:eastAsia="宋体" w:cs="Times New Roman"/>
                      <w:color w:val="auto"/>
                      <w:spacing w:val="0"/>
                      <w:kern w:val="0"/>
                      <w:position w:val="0"/>
                      <w:sz w:val="21"/>
                      <w:szCs w:val="21"/>
                      <w:highlight w:val="none"/>
                      <w:lang w:val="en-US" w:eastAsia="zh-CN"/>
                    </w:rPr>
                    <w:t>污物通道、清洁通道、麻醉恢复区等依托住院楼五楼已建设施。换鞋间、更衣室、缓冲间等依托住院楼三楼已建设施</w:t>
                  </w:r>
                  <w:r>
                    <w:rPr>
                      <w:rFonts w:hint="default" w:ascii="Times New Roman" w:hAnsi="Times New Roman" w:eastAsia="宋体" w:cs="Times New Roman"/>
                      <w:color w:val="auto"/>
                      <w:spacing w:val="0"/>
                      <w:kern w:val="0"/>
                      <w:position w:val="0"/>
                      <w:sz w:val="21"/>
                      <w:szCs w:val="21"/>
                      <w:highlight w:val="none"/>
                    </w:rPr>
                    <w:t>。</w:t>
                  </w:r>
                </w:p>
                <w:p w14:paraId="02E78E2E">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kern w:val="0"/>
                      <w:position w:val="0"/>
                      <w:sz w:val="21"/>
                      <w:szCs w:val="21"/>
                      <w:highlight w:val="none"/>
                    </w:rPr>
                  </w:pPr>
                  <w:r>
                    <w:rPr>
                      <w:rFonts w:hint="default" w:ascii="Times New Roman" w:hAnsi="Times New Roman" w:eastAsia="宋体" w:cs="Times New Roman"/>
                      <w:color w:val="auto"/>
                      <w:spacing w:val="0"/>
                      <w:kern w:val="0"/>
                      <w:position w:val="0"/>
                      <w:sz w:val="21"/>
                      <w:szCs w:val="21"/>
                      <w:highlight w:val="none"/>
                    </w:rPr>
                    <w:t>本项目办公生活依托医院主体工程建设的办公生活区</w:t>
                  </w:r>
                  <w:r>
                    <w:rPr>
                      <w:rFonts w:hint="default" w:ascii="Times New Roman" w:hAnsi="Times New Roman" w:eastAsia="宋体" w:cs="Times New Roman"/>
                      <w:color w:val="auto"/>
                      <w:spacing w:val="0"/>
                      <w:kern w:val="0"/>
                      <w:position w:val="0"/>
                      <w:sz w:val="21"/>
                      <w:szCs w:val="21"/>
                      <w:highlight w:val="none"/>
                      <w:lang w:eastAsia="zh-CN"/>
                    </w:rPr>
                    <w:t>，</w:t>
                  </w:r>
                  <w:r>
                    <w:rPr>
                      <w:rFonts w:hint="default" w:ascii="Times New Roman" w:hAnsi="Times New Roman" w:eastAsia="宋体" w:cs="Times New Roman"/>
                      <w:color w:val="auto"/>
                      <w:spacing w:val="0"/>
                      <w:kern w:val="0"/>
                      <w:position w:val="0"/>
                      <w:sz w:val="21"/>
                      <w:szCs w:val="21"/>
                      <w:highlight w:val="none"/>
                    </w:rPr>
                    <w:t>利用</w:t>
                  </w:r>
                  <w:r>
                    <w:rPr>
                      <w:rFonts w:hint="default" w:ascii="Times New Roman" w:hAnsi="Times New Roman" w:eastAsia="宋体" w:cs="Times New Roman"/>
                      <w:color w:val="auto"/>
                      <w:spacing w:val="0"/>
                      <w:kern w:val="0"/>
                      <w:position w:val="0"/>
                      <w:sz w:val="21"/>
                      <w:szCs w:val="21"/>
                      <w:highlight w:val="none"/>
                      <w:lang w:val="en-US" w:eastAsia="zh-CN"/>
                    </w:rPr>
                    <w:t>曲靖市第二人民医院</w:t>
                  </w:r>
                  <w:r>
                    <w:rPr>
                      <w:rFonts w:hint="default" w:ascii="Times New Roman" w:hAnsi="Times New Roman" w:eastAsia="宋体" w:cs="Times New Roman"/>
                      <w:color w:val="auto"/>
                      <w:spacing w:val="0"/>
                      <w:kern w:val="0"/>
                      <w:position w:val="0"/>
                      <w:sz w:val="21"/>
                      <w:szCs w:val="21"/>
                      <w:highlight w:val="none"/>
                    </w:rPr>
                    <w:t>已建的供水、排水、配电、供电和通讯系统等</w:t>
                  </w:r>
                  <w:r>
                    <w:rPr>
                      <w:rFonts w:hint="default" w:ascii="Times New Roman" w:hAnsi="Times New Roman" w:eastAsia="宋体" w:cs="Times New Roman"/>
                      <w:color w:val="auto"/>
                      <w:spacing w:val="0"/>
                      <w:kern w:val="0"/>
                      <w:position w:val="0"/>
                      <w:sz w:val="21"/>
                      <w:szCs w:val="21"/>
                      <w:highlight w:val="none"/>
                      <w:lang w:val="en-US" w:eastAsia="zh-CN"/>
                    </w:rPr>
                    <w:t>已有设施</w:t>
                  </w:r>
                  <w:r>
                    <w:rPr>
                      <w:rFonts w:hint="default" w:ascii="Times New Roman" w:hAnsi="Times New Roman" w:eastAsia="宋体" w:cs="Times New Roman"/>
                      <w:color w:val="auto"/>
                      <w:spacing w:val="0"/>
                      <w:kern w:val="0"/>
                      <w:position w:val="0"/>
                      <w:sz w:val="21"/>
                      <w:szCs w:val="21"/>
                      <w:highlight w:val="none"/>
                    </w:rPr>
                    <w:t>。</w:t>
                  </w:r>
                </w:p>
                <w:p w14:paraId="2FD27946">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工作人员生活污水及手术过程中产生的医疗废水将依托</w:t>
                  </w:r>
                  <w:r>
                    <w:rPr>
                      <w:rFonts w:hint="default" w:ascii="Times New Roman" w:hAnsi="Times New Roman" w:eastAsia="宋体" w:cs="Times New Roman"/>
                      <w:color w:val="auto"/>
                      <w:spacing w:val="0"/>
                      <w:kern w:val="0"/>
                      <w:position w:val="0"/>
                      <w:sz w:val="21"/>
                      <w:szCs w:val="21"/>
                      <w:highlight w:val="none"/>
                      <w:lang w:val="en-US" w:eastAsia="zh-CN"/>
                    </w:rPr>
                    <w:t>曲靖市第二人民医院主</w:t>
                  </w:r>
                  <w:r>
                    <w:rPr>
                      <w:rFonts w:hint="default" w:ascii="Times New Roman" w:hAnsi="Times New Roman" w:eastAsia="宋体" w:cs="Times New Roman"/>
                      <w:color w:val="auto"/>
                      <w:spacing w:val="0"/>
                      <w:position w:val="0"/>
                      <w:sz w:val="21"/>
                      <w:szCs w:val="21"/>
                      <w:highlight w:val="none"/>
                    </w:rPr>
                    <w:t>体</w:t>
                  </w:r>
                  <w:r>
                    <w:rPr>
                      <w:rFonts w:hint="default" w:ascii="Times New Roman" w:hAnsi="Times New Roman" w:eastAsia="宋体" w:cs="Times New Roman"/>
                      <w:color w:val="auto"/>
                      <w:spacing w:val="0"/>
                      <w:position w:val="0"/>
                      <w:sz w:val="21"/>
                      <w:szCs w:val="21"/>
                      <w:highlight w:val="none"/>
                      <w:lang w:val="en-US" w:eastAsia="zh-CN"/>
                    </w:rPr>
                    <w:t>已建</w:t>
                  </w:r>
                  <w:r>
                    <w:rPr>
                      <w:rFonts w:hint="default" w:ascii="Times New Roman" w:hAnsi="Times New Roman" w:eastAsia="宋体" w:cs="Times New Roman"/>
                      <w:color w:val="auto"/>
                      <w:spacing w:val="0"/>
                      <w:position w:val="0"/>
                      <w:sz w:val="21"/>
                      <w:szCs w:val="21"/>
                      <w:highlight w:val="none"/>
                    </w:rPr>
                    <w:t>的污水处理站进行处置</w:t>
                  </w:r>
                  <w:r>
                    <w:rPr>
                      <w:rFonts w:hint="default" w:ascii="Times New Roman" w:hAnsi="Times New Roman" w:eastAsia="宋体" w:cs="Times New Roman"/>
                      <w:color w:val="auto"/>
                      <w:spacing w:val="0"/>
                      <w:position w:val="0"/>
                      <w:sz w:val="21"/>
                      <w:szCs w:val="21"/>
                      <w:highlight w:val="none"/>
                      <w:lang w:eastAsia="zh-CN"/>
                    </w:rPr>
                    <w:t>，</w:t>
                  </w:r>
                  <w:r>
                    <w:rPr>
                      <w:rFonts w:hint="eastAsia" w:cs="Times New Roman"/>
                      <w:color w:val="auto"/>
                      <w:spacing w:val="0"/>
                      <w:position w:val="0"/>
                      <w:sz w:val="21"/>
                      <w:szCs w:val="21"/>
                      <w:highlight w:val="none"/>
                      <w:lang w:val="en-US" w:eastAsia="zh-CN"/>
                    </w:rPr>
                    <w:t>院区整体</w:t>
                  </w:r>
                  <w:r>
                    <w:rPr>
                      <w:rFonts w:hint="default" w:ascii="Times New Roman" w:hAnsi="Times New Roman" w:eastAsia="宋体" w:cs="Times New Roman"/>
                      <w:color w:val="auto"/>
                      <w:spacing w:val="0"/>
                      <w:position w:val="0"/>
                      <w:sz w:val="21"/>
                      <w:szCs w:val="21"/>
                      <w:highlight w:val="none"/>
                      <w:lang w:val="en-US" w:eastAsia="zh-CN"/>
                    </w:rPr>
                    <w:t>废水经处理达标后排至市政污水管网最终进入曲靖市污水处理厂</w:t>
                  </w:r>
                  <w:r>
                    <w:rPr>
                      <w:rFonts w:hint="default" w:ascii="Times New Roman" w:hAnsi="Times New Roman" w:eastAsia="宋体" w:cs="Times New Roman"/>
                      <w:color w:val="auto"/>
                      <w:spacing w:val="0"/>
                      <w:position w:val="0"/>
                      <w:sz w:val="21"/>
                      <w:szCs w:val="21"/>
                      <w:highlight w:val="none"/>
                    </w:rPr>
                    <w:t>。</w:t>
                  </w:r>
                </w:p>
                <w:p w14:paraId="42161945">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造影剂使用完后，造影剂瓶同</w:t>
                  </w:r>
                  <w:r>
                    <w:rPr>
                      <w:rFonts w:hint="default" w:ascii="Times New Roman" w:hAnsi="Times New Roman" w:eastAsia="宋体" w:cs="Times New Roman"/>
                      <w:color w:val="auto"/>
                      <w:spacing w:val="0"/>
                      <w:position w:val="0"/>
                      <w:sz w:val="21"/>
                      <w:szCs w:val="21"/>
                      <w:highlight w:val="none"/>
                    </w:rPr>
                    <w:t>手术过程中产生的棉签、纱布、手套、器具等医疗废物暂存在DSA介入室中的医疗废物垃圾桶，手术结束集中收集后作为医疗废物收集至</w:t>
                  </w:r>
                  <w:r>
                    <w:rPr>
                      <w:rFonts w:hint="default" w:ascii="Times New Roman" w:hAnsi="Times New Roman" w:eastAsia="宋体" w:cs="Times New Roman"/>
                      <w:color w:val="auto"/>
                      <w:spacing w:val="0"/>
                      <w:position w:val="0"/>
                      <w:sz w:val="21"/>
                      <w:szCs w:val="21"/>
                      <w:highlight w:val="none"/>
                      <w:lang w:val="en-US" w:eastAsia="zh-CN"/>
                    </w:rPr>
                    <w:t>污物通道中进行打包处理，每日手术结束后转移至</w:t>
                  </w:r>
                  <w:r>
                    <w:rPr>
                      <w:rFonts w:hint="default" w:ascii="Times New Roman" w:hAnsi="Times New Roman" w:eastAsia="宋体" w:cs="Times New Roman"/>
                      <w:color w:val="auto"/>
                      <w:spacing w:val="0"/>
                      <w:position w:val="0"/>
                      <w:sz w:val="21"/>
                      <w:szCs w:val="21"/>
                      <w:highlight w:val="none"/>
                    </w:rPr>
                    <w:t>医院</w:t>
                  </w:r>
                  <w:r>
                    <w:rPr>
                      <w:rFonts w:hint="default" w:ascii="Times New Roman" w:hAnsi="Times New Roman" w:eastAsia="宋体" w:cs="Times New Roman"/>
                      <w:color w:val="auto"/>
                      <w:spacing w:val="0"/>
                      <w:position w:val="0"/>
                      <w:sz w:val="21"/>
                      <w:szCs w:val="21"/>
                      <w:highlight w:val="none"/>
                      <w:lang w:val="en-US" w:eastAsia="zh-CN"/>
                    </w:rPr>
                    <w:t>已建</w:t>
                  </w:r>
                  <w:r>
                    <w:rPr>
                      <w:rFonts w:hint="default" w:ascii="Times New Roman" w:hAnsi="Times New Roman" w:eastAsia="宋体" w:cs="Times New Roman"/>
                      <w:color w:val="auto"/>
                      <w:spacing w:val="0"/>
                      <w:position w:val="0"/>
                      <w:sz w:val="21"/>
                      <w:szCs w:val="21"/>
                      <w:highlight w:val="none"/>
                    </w:rPr>
                    <w:t>的</w:t>
                  </w:r>
                  <w:r>
                    <w:rPr>
                      <w:rFonts w:hint="default" w:ascii="Times New Roman" w:hAnsi="Times New Roman" w:eastAsia="宋体" w:cs="Times New Roman"/>
                      <w:color w:val="auto"/>
                      <w:spacing w:val="0"/>
                      <w:position w:val="0"/>
                      <w:sz w:val="21"/>
                      <w:szCs w:val="21"/>
                      <w:highlight w:val="none"/>
                      <w:lang w:val="en-US" w:eastAsia="zh-CN"/>
                    </w:rPr>
                    <w:t>医疗废物暂存间内</w:t>
                  </w:r>
                  <w:r>
                    <w:rPr>
                      <w:rFonts w:hint="default" w:ascii="Times New Roman" w:hAnsi="Times New Roman" w:eastAsia="宋体" w:cs="Times New Roman"/>
                      <w:color w:val="auto"/>
                      <w:spacing w:val="0"/>
                      <w:position w:val="0"/>
                      <w:sz w:val="21"/>
                      <w:szCs w:val="21"/>
                      <w:highlight w:val="none"/>
                    </w:rPr>
                    <w:t>，</w:t>
                  </w:r>
                  <w:r>
                    <w:rPr>
                      <w:rFonts w:hint="default" w:ascii="Times New Roman" w:hAnsi="Times New Roman" w:eastAsia="宋体" w:cs="Times New Roman"/>
                      <w:color w:val="auto"/>
                      <w:spacing w:val="0"/>
                      <w:position w:val="0"/>
                      <w:sz w:val="21"/>
                      <w:szCs w:val="21"/>
                      <w:highlight w:val="none"/>
                      <w:lang w:val="en-US" w:eastAsia="zh-CN"/>
                    </w:rPr>
                    <w:t>曲靖市第二人民医院已与曲靖银发危险废物集中处置中心有限公司签订了医疗废物处置协议，院区产生的医疗废物已</w:t>
                  </w:r>
                  <w:r>
                    <w:rPr>
                      <w:rFonts w:hint="default" w:ascii="Times New Roman" w:hAnsi="Times New Roman" w:eastAsia="宋体" w:cs="Times New Roman"/>
                      <w:color w:val="auto"/>
                      <w:spacing w:val="0"/>
                      <w:position w:val="0"/>
                      <w:sz w:val="21"/>
                      <w:szCs w:val="21"/>
                      <w:highlight w:val="none"/>
                    </w:rPr>
                    <w:t>委托有资质单位清运</w:t>
                  </w:r>
                  <w:r>
                    <w:rPr>
                      <w:rFonts w:hint="default" w:ascii="Times New Roman" w:hAnsi="Times New Roman" w:eastAsia="宋体" w:cs="Times New Roman"/>
                      <w:color w:val="auto"/>
                      <w:spacing w:val="0"/>
                      <w:position w:val="0"/>
                      <w:sz w:val="21"/>
                      <w:szCs w:val="21"/>
                      <w:highlight w:val="none"/>
                      <w:lang w:val="en-US" w:eastAsia="zh-CN"/>
                    </w:rPr>
                    <w:t>处置</w:t>
                  </w:r>
                  <w:r>
                    <w:rPr>
                      <w:rFonts w:hint="default" w:ascii="Times New Roman" w:hAnsi="Times New Roman" w:eastAsia="宋体" w:cs="Times New Roman"/>
                      <w:color w:val="auto"/>
                      <w:spacing w:val="0"/>
                      <w:position w:val="0"/>
                      <w:sz w:val="21"/>
                      <w:szCs w:val="21"/>
                      <w:highlight w:val="none"/>
                    </w:rPr>
                    <w:t>；工作人员产生的少量办公垃圾，通过垃圾桶收集后运送至</w:t>
                  </w:r>
                  <w:r>
                    <w:rPr>
                      <w:rFonts w:hint="default" w:ascii="Times New Roman" w:hAnsi="Times New Roman" w:eastAsia="宋体" w:cs="Times New Roman"/>
                      <w:color w:val="auto"/>
                      <w:spacing w:val="0"/>
                      <w:kern w:val="0"/>
                      <w:position w:val="0"/>
                      <w:sz w:val="21"/>
                      <w:szCs w:val="21"/>
                      <w:highlight w:val="none"/>
                      <w:lang w:val="en-US" w:eastAsia="zh-CN"/>
                    </w:rPr>
                    <w:t>医院已建设</w:t>
                  </w:r>
                  <w:r>
                    <w:rPr>
                      <w:rFonts w:hint="default" w:ascii="Times New Roman" w:hAnsi="Times New Roman" w:eastAsia="宋体" w:cs="Times New Roman"/>
                      <w:color w:val="auto"/>
                      <w:spacing w:val="0"/>
                      <w:position w:val="0"/>
                      <w:sz w:val="21"/>
                      <w:szCs w:val="21"/>
                      <w:highlight w:val="none"/>
                    </w:rPr>
                    <w:t>的垃圾</w:t>
                  </w:r>
                  <w:r>
                    <w:rPr>
                      <w:rFonts w:hint="default" w:ascii="Times New Roman" w:hAnsi="Times New Roman" w:eastAsia="宋体" w:cs="Times New Roman"/>
                      <w:color w:val="auto"/>
                      <w:spacing w:val="0"/>
                      <w:position w:val="0"/>
                      <w:sz w:val="21"/>
                      <w:szCs w:val="21"/>
                      <w:highlight w:val="none"/>
                      <w:lang w:val="en-US" w:eastAsia="zh-CN"/>
                    </w:rPr>
                    <w:t>收集房内</w:t>
                  </w:r>
                  <w:r>
                    <w:rPr>
                      <w:rFonts w:hint="default" w:ascii="Times New Roman" w:hAnsi="Times New Roman" w:eastAsia="宋体" w:cs="Times New Roman"/>
                      <w:color w:val="auto"/>
                      <w:spacing w:val="0"/>
                      <w:position w:val="0"/>
                      <w:sz w:val="21"/>
                      <w:szCs w:val="21"/>
                      <w:highlight w:val="none"/>
                    </w:rPr>
                    <w:t>暂存，后由</w:t>
                  </w:r>
                  <w:r>
                    <w:rPr>
                      <w:rFonts w:hint="default" w:ascii="Times New Roman" w:hAnsi="Times New Roman" w:eastAsia="宋体" w:cs="Times New Roman"/>
                      <w:color w:val="auto"/>
                      <w:spacing w:val="0"/>
                      <w:position w:val="0"/>
                      <w:sz w:val="21"/>
                      <w:szCs w:val="21"/>
                      <w:highlight w:val="none"/>
                      <w:lang w:val="en-US" w:eastAsia="zh-CN"/>
                    </w:rPr>
                    <w:t>市政</w:t>
                  </w:r>
                  <w:r>
                    <w:rPr>
                      <w:rFonts w:hint="default" w:ascii="Times New Roman" w:hAnsi="Times New Roman" w:eastAsia="宋体" w:cs="Times New Roman"/>
                      <w:color w:val="auto"/>
                      <w:spacing w:val="0"/>
                      <w:position w:val="0"/>
                      <w:sz w:val="21"/>
                      <w:szCs w:val="21"/>
                      <w:highlight w:val="none"/>
                    </w:rPr>
                    <w:t>环卫部门统一处理。</w:t>
                  </w:r>
                </w:p>
              </w:tc>
              <w:tc>
                <w:tcPr>
                  <w:tcW w:w="657" w:type="dxa"/>
                  <w:vMerge w:val="continue"/>
                  <w:noWrap w:val="0"/>
                  <w:vAlign w:val="center"/>
                </w:tcPr>
                <w:p w14:paraId="43371C0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p>
              </w:tc>
              <w:tc>
                <w:tcPr>
                  <w:tcW w:w="696" w:type="dxa"/>
                  <w:vMerge w:val="continue"/>
                  <w:noWrap w:val="0"/>
                  <w:vAlign w:val="center"/>
                </w:tcPr>
                <w:p w14:paraId="5BC6C0E9">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p>
              </w:tc>
            </w:tr>
            <w:tr w14:paraId="3893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9" w:type="dxa"/>
                  <w:noWrap w:val="0"/>
                  <w:vAlign w:val="center"/>
                </w:tcPr>
                <w:p w14:paraId="5EA1CEF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环保工程</w:t>
                  </w:r>
                </w:p>
              </w:tc>
              <w:tc>
                <w:tcPr>
                  <w:tcW w:w="6777" w:type="dxa"/>
                  <w:noWrap w:val="0"/>
                  <w:vAlign w:val="center"/>
                </w:tcPr>
                <w:p w14:paraId="3FBD7C2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firstLine="420" w:firstLineChars="200"/>
                    <w:jc w:val="left"/>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DSA介入室的屏蔽防护设计如下：</w:t>
                  </w:r>
                </w:p>
                <w:p w14:paraId="74DC3DAD">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rPr>
                    <w:t>介入室东墙：留有剪力墙部分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w:t>
                  </w:r>
                  <w:r>
                    <w:rPr>
                      <w:rFonts w:hint="default" w:ascii="Times New Roman" w:hAnsi="Times New Roman" w:eastAsia="宋体" w:cs="Times New Roman"/>
                      <w:color w:val="auto"/>
                      <w:spacing w:val="0"/>
                      <w:position w:val="0"/>
                      <w:sz w:val="21"/>
                      <w:szCs w:val="21"/>
                      <w:highlight w:val="none"/>
                      <w:lang w:val="en-US" w:eastAsia="zh-CN"/>
                    </w:rPr>
                    <w:t>无剪力墙空区</w:t>
                  </w:r>
                  <w:r>
                    <w:rPr>
                      <w:rFonts w:hint="default" w:ascii="Times New Roman" w:hAnsi="Times New Roman" w:eastAsia="宋体" w:cs="Times New Roman"/>
                      <w:color w:val="auto"/>
                      <w:spacing w:val="0"/>
                      <w:position w:val="0"/>
                      <w:sz w:val="21"/>
                      <w:szCs w:val="21"/>
                      <w:highlight w:val="none"/>
                    </w:rPr>
                    <w:t>采用轻钢龙骨骨架，内衬4mmpb防护铅板进行屏蔽防护，折合铅当量4mm</w:t>
                  </w:r>
                  <w:r>
                    <w:rPr>
                      <w:rFonts w:hint="eastAsia" w:cs="Times New Roman"/>
                      <w:color w:val="auto"/>
                      <w:spacing w:val="0"/>
                      <w:position w:val="0"/>
                      <w:sz w:val="21"/>
                      <w:szCs w:val="21"/>
                      <w:highlight w:val="none"/>
                      <w:lang w:eastAsia="zh-CN"/>
                    </w:rPr>
                    <w:t>，</w:t>
                  </w:r>
                  <w:r>
                    <w:rPr>
                      <w:rFonts w:hint="eastAsia" w:cs="Times New Roman"/>
                      <w:color w:val="auto"/>
                      <w:spacing w:val="0"/>
                      <w:position w:val="0"/>
                      <w:sz w:val="21"/>
                      <w:szCs w:val="21"/>
                      <w:highlight w:val="none"/>
                      <w:lang w:val="en-US" w:eastAsia="zh-CN"/>
                    </w:rPr>
                    <w:t>拟建</w:t>
                  </w:r>
                  <w:r>
                    <w:rPr>
                      <w:rFonts w:hint="eastAsia" w:cs="Times New Roman"/>
                      <w:color w:val="auto"/>
                      <w:spacing w:val="0"/>
                      <w:position w:val="0"/>
                      <w:sz w:val="21"/>
                      <w:szCs w:val="21"/>
                      <w:highlight w:val="none"/>
                      <w:lang w:eastAsia="zh-CN"/>
                    </w:rPr>
                    <w:t>；</w:t>
                  </w:r>
                </w:p>
                <w:p w14:paraId="619DC924">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介入室南墙：留有剪力墙部分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0mm硫酸钡防护涂料进行屏蔽防护，折合铅当量：6.18mm，无剪力墙空区采用轻钢龙骨骨架，内衬4mmpb防护铅板进行屏蔽防护，折合铅当量4mmpb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lang w:eastAsia="zh-CN"/>
                    </w:rPr>
                    <w:t>；</w:t>
                  </w:r>
                </w:p>
                <w:p w14:paraId="3C9311E1">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介入室西墙：采用轻钢龙骨骨架，内衬4mmpb防护铅板进行屏蔽防护，铅当量约</w:t>
                  </w:r>
                  <w:r>
                    <w:rPr>
                      <w:rFonts w:hint="default" w:ascii="Times New Roman" w:hAnsi="Times New Roman" w:eastAsia="宋体" w:cs="Times New Roman"/>
                      <w:color w:val="auto"/>
                      <w:spacing w:val="0"/>
                      <w:position w:val="0"/>
                      <w:sz w:val="21"/>
                      <w:szCs w:val="21"/>
                      <w:highlight w:val="none"/>
                      <w:lang w:val="en-US" w:eastAsia="zh-CN"/>
                    </w:rPr>
                    <w:t>4</w:t>
                  </w:r>
                  <w:r>
                    <w:rPr>
                      <w:rFonts w:hint="default" w:ascii="Times New Roman" w:hAnsi="Times New Roman" w:eastAsia="宋体" w:cs="Times New Roman"/>
                      <w:color w:val="auto"/>
                      <w:spacing w:val="0"/>
                      <w:position w:val="0"/>
                      <w:sz w:val="21"/>
                      <w:szCs w:val="21"/>
                      <w:highlight w:val="none"/>
                    </w:rPr>
                    <w:t>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lang w:eastAsia="zh-CN"/>
                    </w:rPr>
                    <w:t>；</w:t>
                  </w:r>
                </w:p>
                <w:p w14:paraId="550D6DE1">
                  <w:pPr>
                    <w:pStyle w:val="36"/>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firstLine="420" w:firstLineChars="200"/>
                    <w:rPr>
                      <w:rFonts w:hint="default" w:ascii="Times New Roman" w:hAnsi="Times New Roman" w:eastAsia="宋体" w:cs="Times New Roman"/>
                      <w:color w:val="auto"/>
                      <w:spacing w:val="0"/>
                      <w:position w:val="0"/>
                      <w:sz w:val="21"/>
                      <w:szCs w:val="21"/>
                      <w:highlight w:val="yellow"/>
                      <w:lang w:eastAsia="zh-CN"/>
                    </w:rPr>
                  </w:pPr>
                  <w:r>
                    <w:rPr>
                      <w:rFonts w:hint="default" w:ascii="Times New Roman" w:hAnsi="Times New Roman" w:eastAsia="宋体" w:cs="Times New Roman"/>
                      <w:color w:val="auto"/>
                      <w:spacing w:val="0"/>
                      <w:position w:val="0"/>
                      <w:sz w:val="21"/>
                      <w:szCs w:val="21"/>
                      <w:highlight w:val="none"/>
                    </w:rPr>
                    <w:t>介入室北墙：留有剪力墙部分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0mm硫酸钡防护涂料进行屏蔽防护，折合铅当量：6.18mm，无剪力墙空区采用轻钢龙骨骨架，内衬4mmpb防护铅板进行屏蔽防护，折合铅当量4mmpb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lang w:eastAsia="zh-CN"/>
                    </w:rPr>
                    <w:t>；</w:t>
                  </w:r>
                </w:p>
                <w:p w14:paraId="5611F895">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lang w:val="en-US" w:eastAsia="zh-CN"/>
                    </w:rPr>
                    <w:t>剪力墙和铅板，铅板和铅板等所有屏蔽搭接缝隙处，铅板搭接外延100mm，墙面拐角及吊顶衔接处采用圆弧形施工，确保错缝搭接。</w:t>
                  </w:r>
                </w:p>
                <w:p w14:paraId="211C6C50">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介入室顶面：顶面采用</w:t>
                  </w:r>
                  <w:r>
                    <w:rPr>
                      <w:rFonts w:hint="default" w:ascii="Times New Roman" w:hAnsi="Times New Roman" w:eastAsia="宋体" w:cs="Times New Roman"/>
                      <w:color w:val="auto"/>
                      <w:spacing w:val="0"/>
                      <w:position w:val="0"/>
                      <w:sz w:val="21"/>
                      <w:szCs w:val="21"/>
                      <w:highlight w:val="none"/>
                      <w:lang w:val="en-US" w:eastAsia="zh-CN"/>
                    </w:rPr>
                    <w:t>120mm钢筋混凝土楼板+4mmpb防护铅板，铅当量约5.44mmPb，拟建</w:t>
                  </w:r>
                  <w:r>
                    <w:rPr>
                      <w:rFonts w:hint="default" w:ascii="Times New Roman" w:hAnsi="Times New Roman" w:eastAsia="宋体" w:cs="Times New Roman"/>
                      <w:color w:val="auto"/>
                      <w:spacing w:val="0"/>
                      <w:position w:val="0"/>
                      <w:sz w:val="21"/>
                      <w:szCs w:val="21"/>
                      <w:highlight w:val="none"/>
                    </w:rPr>
                    <w:t>；</w:t>
                  </w:r>
                </w:p>
                <w:p w14:paraId="450302F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介入室地面：</w:t>
                  </w:r>
                  <w:r>
                    <w:rPr>
                      <w:rFonts w:hint="default" w:ascii="Times New Roman" w:hAnsi="Times New Roman" w:eastAsia="宋体" w:cs="Times New Roman"/>
                      <w:color w:val="auto"/>
                      <w:spacing w:val="0"/>
                      <w:position w:val="0"/>
                      <w:sz w:val="21"/>
                      <w:szCs w:val="21"/>
                      <w:highlight w:val="none"/>
                      <w:lang w:val="en-US" w:eastAsia="zh-CN"/>
                    </w:rPr>
                    <w:t>地面采用120mm钢筋混凝土楼板+40mm硫酸钡涂料+50mm细石混凝土找平层，铅当量约5.16mmPb，拟建</w:t>
                  </w:r>
                  <w:r>
                    <w:rPr>
                      <w:rFonts w:hint="default" w:ascii="Times New Roman" w:hAnsi="Times New Roman" w:eastAsia="宋体" w:cs="Times New Roman"/>
                      <w:color w:val="auto"/>
                      <w:spacing w:val="0"/>
                      <w:position w:val="0"/>
                      <w:sz w:val="21"/>
                      <w:szCs w:val="21"/>
                      <w:highlight w:val="none"/>
                    </w:rPr>
                    <w:t>；</w:t>
                  </w:r>
                </w:p>
                <w:p w14:paraId="60A980D6">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介入室防护门：</w:t>
                  </w:r>
                  <w:r>
                    <w:rPr>
                      <w:rFonts w:hint="default" w:ascii="Times New Roman" w:hAnsi="Times New Roman" w:eastAsia="宋体" w:cs="Times New Roman"/>
                      <w:color w:val="auto"/>
                      <w:spacing w:val="0"/>
                      <w:position w:val="0"/>
                      <w:sz w:val="21"/>
                      <w:szCs w:val="21"/>
                      <w:highlight w:val="none"/>
                      <w:lang w:val="en-US" w:eastAsia="zh-CN"/>
                    </w:rPr>
                    <w:t>3道防护门均为内衬4mm铅板的防护门，铅当量约4mmPb，门扇底部采用防护铅胶条处理，密封地面缝隙，机房移动铅门与墙之间重叠30cm（两侧各15cm），高度高于门洞10cm，拟建</w:t>
                  </w:r>
                  <w:r>
                    <w:rPr>
                      <w:rFonts w:hint="default" w:ascii="Times New Roman" w:hAnsi="Times New Roman" w:eastAsia="宋体" w:cs="Times New Roman"/>
                      <w:color w:val="auto"/>
                      <w:spacing w:val="0"/>
                      <w:position w:val="0"/>
                      <w:sz w:val="21"/>
                      <w:szCs w:val="21"/>
                      <w:highlight w:val="none"/>
                    </w:rPr>
                    <w:t>；</w:t>
                  </w:r>
                </w:p>
                <w:p w14:paraId="664682EB">
                  <w:pPr>
                    <w:pStyle w:val="36"/>
                    <w:keepNext w:val="0"/>
                    <w:keepLines w:val="0"/>
                    <w:pageBreakBefore w:val="0"/>
                    <w:widowControl w:val="0"/>
                    <w:suppressLineNumbers w:val="0"/>
                    <w:kinsoku/>
                    <w:wordWrap/>
                    <w:topLinePunct w:val="0"/>
                    <w:autoSpaceDE/>
                    <w:autoSpaceDN/>
                    <w:bidi w:val="0"/>
                    <w:spacing w:before="0" w:beforeAutospacing="0" w:after="0" w:afterAutospacing="0"/>
                    <w:ind w:left="0" w:right="0" w:firstLine="420" w:firstLineChars="200"/>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介入室观察窗：</w:t>
                  </w:r>
                  <w:r>
                    <w:rPr>
                      <w:rFonts w:hint="default" w:ascii="Times New Roman" w:hAnsi="Times New Roman" w:eastAsia="宋体" w:cs="Times New Roman"/>
                      <w:color w:val="auto"/>
                      <w:spacing w:val="0"/>
                      <w:position w:val="0"/>
                      <w:sz w:val="21"/>
                      <w:szCs w:val="21"/>
                      <w:lang w:val="en-US" w:eastAsia="zh-CN"/>
                    </w:rPr>
                    <w:t>机房观察窗为铅玻璃，铅玻璃规格1500×900mm，铅当量约4.0mmPb，</w:t>
                  </w:r>
                  <w:r>
                    <w:rPr>
                      <w:rFonts w:hint="default" w:ascii="Times New Roman" w:hAnsi="Times New Roman" w:eastAsia="宋体" w:cs="Times New Roman"/>
                      <w:color w:val="auto"/>
                      <w:spacing w:val="0"/>
                      <w:position w:val="0"/>
                      <w:sz w:val="21"/>
                      <w:szCs w:val="21"/>
                      <w:highlight w:val="none"/>
                    </w:rPr>
                    <w:t>观察窗铅玻璃内嵌到防护墙内并在四周用铅皮进行包裹</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lang w:val="en-US" w:eastAsia="zh-CN"/>
                    </w:rPr>
                    <w:t>拟建</w:t>
                  </w:r>
                  <w:r>
                    <w:rPr>
                      <w:rFonts w:hint="default" w:ascii="Times New Roman" w:hAnsi="Times New Roman" w:eastAsia="宋体" w:cs="Times New Roman"/>
                      <w:color w:val="auto"/>
                      <w:spacing w:val="0"/>
                      <w:position w:val="0"/>
                      <w:sz w:val="21"/>
                      <w:szCs w:val="21"/>
                    </w:rPr>
                    <w:t>；</w:t>
                  </w:r>
                </w:p>
                <w:p w14:paraId="6A7EFD67">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rPr>
                    <w:t>控制室</w:t>
                  </w:r>
                  <w:r>
                    <w:rPr>
                      <w:rFonts w:hint="default" w:ascii="Times New Roman" w:hAnsi="Times New Roman" w:eastAsia="宋体" w:cs="Times New Roman"/>
                      <w:color w:val="auto"/>
                      <w:spacing w:val="0"/>
                      <w:position w:val="0"/>
                      <w:sz w:val="21"/>
                      <w:szCs w:val="21"/>
                      <w:highlight w:val="none"/>
                      <w:lang w:val="en-US" w:eastAsia="zh-CN"/>
                    </w:rPr>
                    <w:t>铅门、患者通道铅门</w:t>
                  </w:r>
                  <w:r>
                    <w:rPr>
                      <w:rFonts w:hint="default" w:ascii="Times New Roman" w:hAnsi="Times New Roman" w:eastAsia="宋体" w:cs="Times New Roman"/>
                      <w:color w:val="auto"/>
                      <w:spacing w:val="0"/>
                      <w:position w:val="0"/>
                      <w:sz w:val="21"/>
                      <w:szCs w:val="21"/>
                      <w:highlight w:val="none"/>
                    </w:rPr>
                    <w:t>为</w:t>
                  </w:r>
                  <w:r>
                    <w:rPr>
                      <w:rFonts w:hint="default" w:ascii="Times New Roman" w:hAnsi="Times New Roman" w:eastAsia="宋体" w:cs="Times New Roman"/>
                      <w:color w:val="auto"/>
                      <w:spacing w:val="0"/>
                      <w:position w:val="0"/>
                      <w:sz w:val="21"/>
                      <w:szCs w:val="21"/>
                      <w:highlight w:val="none"/>
                      <w:lang w:val="en-US" w:eastAsia="zh-CN"/>
                    </w:rPr>
                    <w:t>平移电动</w:t>
                  </w:r>
                  <w:r>
                    <w:rPr>
                      <w:rFonts w:hint="default" w:ascii="Times New Roman" w:hAnsi="Times New Roman" w:eastAsia="宋体" w:cs="Times New Roman"/>
                      <w:color w:val="auto"/>
                      <w:spacing w:val="0"/>
                      <w:position w:val="0"/>
                      <w:sz w:val="21"/>
                      <w:szCs w:val="21"/>
                      <w:highlight w:val="none"/>
                    </w:rPr>
                    <w:t>铅防护门</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共2套，污物通道铅门为单向平开门，共1套</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各防护门设置闭门装置</w:t>
                  </w:r>
                  <w:r>
                    <w:rPr>
                      <w:rFonts w:hint="default" w:ascii="Times New Roman" w:hAnsi="Times New Roman" w:eastAsia="宋体" w:cs="Times New Roman"/>
                      <w:color w:val="auto"/>
                      <w:spacing w:val="0"/>
                      <w:position w:val="0"/>
                      <w:sz w:val="21"/>
                      <w:szCs w:val="21"/>
                      <w:highlight w:val="none"/>
                      <w:lang w:val="en-US" w:eastAsia="zh-CN"/>
                    </w:rPr>
                    <w:t>及</w:t>
                  </w:r>
                  <w:r>
                    <w:rPr>
                      <w:rFonts w:hint="default" w:ascii="Times New Roman" w:hAnsi="Times New Roman" w:eastAsia="宋体" w:cs="Times New Roman"/>
                      <w:color w:val="auto"/>
                      <w:spacing w:val="0"/>
                      <w:position w:val="0"/>
                      <w:sz w:val="21"/>
                      <w:szCs w:val="21"/>
                      <w:highlight w:val="none"/>
                    </w:rPr>
                    <w:t>防夹装置。</w:t>
                  </w:r>
                  <w:r>
                    <w:rPr>
                      <w:rFonts w:hint="default" w:ascii="Times New Roman" w:hAnsi="Times New Roman" w:eastAsia="宋体" w:cs="Times New Roman"/>
                      <w:color w:val="auto"/>
                      <w:spacing w:val="0"/>
                      <w:position w:val="0"/>
                      <w:sz w:val="21"/>
                      <w:szCs w:val="21"/>
                      <w:highlight w:val="none"/>
                      <w:lang w:val="en-US" w:eastAsia="zh-CN"/>
                    </w:rPr>
                    <w:t>门扇底部采用防护铅胶条处理，密封地面缝隙，机房移动铅门与墙之间重叠30cm（两侧各15cm），高度高于门洞10cm，拟建。</w:t>
                  </w:r>
                </w:p>
                <w:p w14:paraId="53536E49">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通排风：机房采用</w:t>
                  </w:r>
                  <w:r>
                    <w:rPr>
                      <w:rFonts w:hint="default" w:ascii="Times New Roman" w:hAnsi="Times New Roman" w:eastAsia="宋体" w:cs="Times New Roman"/>
                      <w:color w:val="auto"/>
                      <w:spacing w:val="0"/>
                      <w:position w:val="0"/>
                      <w:sz w:val="21"/>
                      <w:szCs w:val="21"/>
                      <w:highlight w:val="none"/>
                      <w:lang w:val="en-US" w:eastAsia="zh-CN"/>
                    </w:rPr>
                    <w:t>净化空调</w:t>
                  </w:r>
                  <w:r>
                    <w:rPr>
                      <w:rFonts w:hint="default" w:ascii="Times New Roman" w:hAnsi="Times New Roman" w:eastAsia="宋体" w:cs="Times New Roman"/>
                      <w:color w:val="auto"/>
                      <w:spacing w:val="0"/>
                      <w:position w:val="0"/>
                      <w:sz w:val="21"/>
                      <w:szCs w:val="21"/>
                      <w:highlight w:val="none"/>
                    </w:rPr>
                    <w:t>换气，机组风量12</w:t>
                  </w:r>
                  <w:r>
                    <w:rPr>
                      <w:rFonts w:hint="default" w:ascii="Times New Roman" w:hAnsi="Times New Roman" w:eastAsia="宋体" w:cs="Times New Roman"/>
                      <w:color w:val="auto"/>
                      <w:spacing w:val="0"/>
                      <w:position w:val="0"/>
                      <w:sz w:val="21"/>
                      <w:szCs w:val="21"/>
                      <w:highlight w:val="none"/>
                      <w:lang w:val="en-US" w:eastAsia="zh-CN"/>
                    </w:rPr>
                    <w:t>0</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新风量1400m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回风</w:t>
                  </w:r>
                  <w:r>
                    <w:rPr>
                      <w:rFonts w:hint="default" w:ascii="Times New Roman" w:hAnsi="Times New Roman" w:eastAsia="宋体" w:cs="Times New Roman"/>
                      <w:color w:val="auto"/>
                      <w:spacing w:val="0"/>
                      <w:position w:val="0"/>
                      <w:sz w:val="21"/>
                      <w:szCs w:val="21"/>
                      <w:highlight w:val="none"/>
                      <w:lang w:val="en-US" w:eastAsia="zh-CN"/>
                    </w:rPr>
                    <w:t>风量</w:t>
                  </w:r>
                  <w:r>
                    <w:rPr>
                      <w:rFonts w:hint="default" w:ascii="Times New Roman" w:hAnsi="Times New Roman" w:eastAsia="宋体" w:cs="Times New Roman"/>
                      <w:color w:val="auto"/>
                      <w:spacing w:val="0"/>
                      <w:position w:val="0"/>
                      <w:sz w:val="21"/>
                      <w:szCs w:val="21"/>
                      <w:highlight w:val="none"/>
                    </w:rPr>
                    <w:t>10600m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排</w:t>
                  </w:r>
                  <w:r>
                    <w:rPr>
                      <w:rFonts w:hint="default" w:ascii="Times New Roman" w:hAnsi="Times New Roman" w:eastAsia="宋体" w:cs="Times New Roman"/>
                      <w:color w:val="auto"/>
                      <w:spacing w:val="0"/>
                      <w:position w:val="0"/>
                      <w:sz w:val="21"/>
                      <w:szCs w:val="21"/>
                      <w:highlight w:val="none"/>
                    </w:rPr>
                    <w:t>风量</w:t>
                  </w:r>
                  <w:r>
                    <w:rPr>
                      <w:rFonts w:hint="default" w:ascii="Times New Roman" w:hAnsi="Times New Roman" w:eastAsia="宋体" w:cs="Times New Roman"/>
                      <w:color w:val="auto"/>
                      <w:spacing w:val="0"/>
                      <w:position w:val="0"/>
                      <w:sz w:val="21"/>
                      <w:szCs w:val="21"/>
                      <w:highlight w:val="none"/>
                      <w:lang w:eastAsia="zh-CN"/>
                    </w:rPr>
                    <w:t>为</w:t>
                  </w:r>
                  <w:r>
                    <w:rPr>
                      <w:rFonts w:hint="default" w:ascii="Times New Roman" w:hAnsi="Times New Roman" w:eastAsia="宋体" w:cs="Times New Roman"/>
                      <w:color w:val="auto"/>
                      <w:spacing w:val="0"/>
                      <w:position w:val="0"/>
                      <w:sz w:val="21"/>
                      <w:szCs w:val="21"/>
                      <w:highlight w:val="none"/>
                      <w:lang w:val="en-US" w:eastAsia="zh-CN"/>
                    </w:rPr>
                    <w:t>5</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val="en-US" w:eastAsia="zh-CN"/>
                    </w:rPr>
                    <w:t>设备间</w:t>
                  </w:r>
                  <w:r>
                    <w:rPr>
                      <w:rFonts w:hint="default" w:ascii="Times New Roman" w:hAnsi="Times New Roman" w:eastAsia="宋体" w:cs="Times New Roman"/>
                      <w:color w:val="auto"/>
                      <w:spacing w:val="0"/>
                      <w:position w:val="0"/>
                      <w:sz w:val="21"/>
                      <w:szCs w:val="21"/>
                      <w:highlight w:val="none"/>
                    </w:rPr>
                    <w:t>安装1台</w:t>
                  </w:r>
                  <w:r>
                    <w:rPr>
                      <w:rFonts w:hint="default" w:ascii="Times New Roman" w:hAnsi="Times New Roman" w:eastAsia="宋体" w:cs="Times New Roman"/>
                      <w:color w:val="auto"/>
                      <w:spacing w:val="0"/>
                      <w:position w:val="0"/>
                      <w:sz w:val="21"/>
                      <w:szCs w:val="21"/>
                      <w:highlight w:val="none"/>
                      <w:lang w:val="en-US" w:eastAsia="zh-CN"/>
                    </w:rPr>
                    <w:t>精密空调</w:t>
                  </w:r>
                  <w:r>
                    <w:rPr>
                      <w:rFonts w:hint="default" w:ascii="Times New Roman" w:hAnsi="Times New Roman" w:eastAsia="宋体" w:cs="Times New Roman"/>
                      <w:color w:val="auto"/>
                      <w:spacing w:val="0"/>
                      <w:position w:val="0"/>
                      <w:sz w:val="21"/>
                      <w:szCs w:val="21"/>
                      <w:highlight w:val="none"/>
                    </w:rPr>
                    <w:t>，项目DSA手术室内采用</w:t>
                  </w:r>
                  <w:r>
                    <w:rPr>
                      <w:rFonts w:hint="default" w:ascii="Times New Roman" w:hAnsi="Times New Roman" w:eastAsia="宋体" w:cs="Times New Roman"/>
                      <w:color w:val="auto"/>
                      <w:spacing w:val="0"/>
                      <w:position w:val="0"/>
                      <w:sz w:val="21"/>
                      <w:szCs w:val="21"/>
                      <w:highlight w:val="none"/>
                      <w:lang w:val="en-US" w:eastAsia="zh-CN"/>
                    </w:rPr>
                    <w:t>顶部送风，侧吸</w:t>
                  </w:r>
                  <w:r>
                    <w:rPr>
                      <w:rFonts w:hint="default" w:ascii="Times New Roman" w:hAnsi="Times New Roman" w:eastAsia="宋体" w:cs="Times New Roman"/>
                      <w:color w:val="auto"/>
                      <w:spacing w:val="0"/>
                      <w:position w:val="0"/>
                      <w:sz w:val="21"/>
                      <w:szCs w:val="21"/>
                      <w:highlight w:val="none"/>
                    </w:rPr>
                    <w:t>的</w:t>
                  </w:r>
                  <w:r>
                    <w:rPr>
                      <w:rFonts w:hint="default" w:ascii="Times New Roman" w:hAnsi="Times New Roman" w:eastAsia="宋体" w:cs="Times New Roman"/>
                      <w:color w:val="auto"/>
                      <w:spacing w:val="0"/>
                      <w:position w:val="0"/>
                      <w:sz w:val="21"/>
                      <w:szCs w:val="21"/>
                      <w:highlight w:val="none"/>
                      <w:lang w:val="en-US" w:eastAsia="zh-CN"/>
                    </w:rPr>
                    <w:t>排风</w:t>
                  </w:r>
                  <w:r>
                    <w:rPr>
                      <w:rFonts w:hint="default" w:ascii="Times New Roman" w:hAnsi="Times New Roman" w:eastAsia="宋体" w:cs="Times New Roman"/>
                      <w:color w:val="auto"/>
                      <w:spacing w:val="0"/>
                      <w:position w:val="0"/>
                      <w:sz w:val="21"/>
                      <w:szCs w:val="21"/>
                      <w:highlight w:val="none"/>
                    </w:rPr>
                    <w:t>系统，</w:t>
                  </w:r>
                  <w:r>
                    <w:rPr>
                      <w:rFonts w:hint="default" w:ascii="Times New Roman" w:hAnsi="Times New Roman" w:eastAsia="宋体" w:cs="Times New Roman"/>
                      <w:color w:val="auto"/>
                      <w:spacing w:val="0"/>
                      <w:position w:val="0"/>
                      <w:sz w:val="21"/>
                      <w:szCs w:val="21"/>
                      <w:highlight w:val="none"/>
                      <w:lang w:val="en-US" w:eastAsia="zh-CN"/>
                    </w:rPr>
                    <w:t>排风口离地约30cm，风管从机房北侧屏蔽墙穿出机房，经</w:t>
                  </w:r>
                  <w:r>
                    <w:rPr>
                      <w:rFonts w:hint="eastAsia" w:cs="Times New Roman"/>
                      <w:color w:val="auto"/>
                      <w:spacing w:val="0"/>
                      <w:position w:val="0"/>
                      <w:sz w:val="21"/>
                      <w:szCs w:val="21"/>
                      <w:highlight w:val="none"/>
                      <w:lang w:val="en-US" w:eastAsia="zh-CN"/>
                    </w:rPr>
                    <w:t>机房装饰面板吊顶</w:t>
                  </w:r>
                  <w:r>
                    <w:rPr>
                      <w:rFonts w:hint="default" w:ascii="Times New Roman" w:hAnsi="Times New Roman" w:eastAsia="宋体" w:cs="Times New Roman"/>
                      <w:color w:val="auto"/>
                      <w:spacing w:val="0"/>
                      <w:position w:val="0"/>
                      <w:sz w:val="21"/>
                      <w:szCs w:val="21"/>
                      <w:highlight w:val="none"/>
                      <w:lang w:val="en-US" w:eastAsia="zh-CN"/>
                    </w:rPr>
                    <w:t>区域引至住院楼5楼中央空调机房，经5楼中央空调统一通过住院楼排风竖井排放。室吊顶和墙体均预留风孔，穿防护墙处采用垂直斜向45°穿墙，穿墙部位距地面均为3m，风管用3mm厚铅皮包裹，包裹长度为穿墙前后各30cm，穿墙部分间隙用硫酸钡水泥砂浆封堵填实，风管法兰接口、弯管用3mm厚铅皮搭接，经过铅皮等防护措施处理后，能够有效防止射线直接从风管照射出机房，拟建</w:t>
                  </w:r>
                  <w:r>
                    <w:rPr>
                      <w:rFonts w:hint="default" w:ascii="Times New Roman" w:hAnsi="Times New Roman" w:eastAsia="宋体" w:cs="Times New Roman"/>
                      <w:color w:val="auto"/>
                      <w:spacing w:val="0"/>
                      <w:position w:val="0"/>
                      <w:sz w:val="21"/>
                      <w:szCs w:val="21"/>
                      <w:highlight w:val="none"/>
                    </w:rPr>
                    <w:t>。</w:t>
                  </w:r>
                </w:p>
                <w:p w14:paraId="7FDCD08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电缆沟：</w:t>
                  </w:r>
                  <w:r>
                    <w:rPr>
                      <w:rFonts w:hint="default" w:ascii="Times New Roman" w:hAnsi="Times New Roman" w:eastAsia="宋体" w:cs="Times New Roman"/>
                      <w:color w:val="auto"/>
                      <w:spacing w:val="0"/>
                      <w:position w:val="0"/>
                      <w:sz w:val="21"/>
                      <w:szCs w:val="21"/>
                      <w:highlight w:val="none"/>
                      <w:lang w:val="en-US" w:eastAsia="zh-CN"/>
                    </w:rPr>
                    <w:t>本项目电缆共有2条路线，一个是空中桥架（上方悬挂的DSA显示系统的电缆），一个地面的设备基座和检查床电缆。（1）本项目DSA上方悬挂的C型臂的电缆在</w:t>
                  </w:r>
                  <w:r>
                    <w:rPr>
                      <w:rFonts w:hint="eastAsia" w:cs="Times New Roman"/>
                      <w:color w:val="auto"/>
                      <w:spacing w:val="0"/>
                      <w:position w:val="0"/>
                      <w:sz w:val="21"/>
                      <w:szCs w:val="21"/>
                      <w:highlight w:val="none"/>
                      <w:lang w:val="en-US" w:eastAsia="zh-CN"/>
                    </w:rPr>
                    <w:t>机房装饰面板吊顶</w:t>
                  </w:r>
                  <w:r>
                    <w:rPr>
                      <w:rFonts w:hint="default" w:ascii="Times New Roman" w:hAnsi="Times New Roman" w:eastAsia="宋体" w:cs="Times New Roman"/>
                      <w:color w:val="auto"/>
                      <w:spacing w:val="0"/>
                      <w:position w:val="0"/>
                      <w:sz w:val="21"/>
                      <w:szCs w:val="21"/>
                      <w:highlight w:val="none"/>
                      <w:lang w:val="en-US" w:eastAsia="zh-CN"/>
                    </w:rPr>
                    <w:t>内设置电缆桥架，电缆桥架穿墙后进入控制室，穿防护墙处采用斜穿的方式，电缆桥架穿墙处设置4mm防护铅板，长度完全覆盖电缆穿墙部位，穿墙孔洞两端外延部分再用4mm厚铅皮包裹，长度为穿墙前后各30cm，穿墙部分间隙用硫酸钡水泥砂浆封堵填实。能够有效防止射线泄漏，穿墙部分不会影响墙体整体的防护性能，拟建。（2）本项目DSA设备主体电缆从设备基座和检查床下方分别设置电缆桥架，设备基座下方楼板开洞（直径150mm×2个），检查床下方楼板开洞（直径120mm×1个），后在四楼天花板吊顶内设置电缆桥架（固着于楼板下方300mm处），设备基座和检查床电缆从楼下吊顶内电缆桥架进入设备间（直径300mm×1个），不从控制室和设备间穿墙。采取了以下专项屏蔽防护措施：①在设备基座和检查床下方的两个楼板开洞处，采用厚度不小于4mm的铅板进行覆盖防护。铅板覆盖范围超过孔洞边缘不小于100mm，并与楼板紧密贴合，确保无缝防护。②电缆桥架穿墙防护：对于在楼下吊顶内敷设的电缆桥架，在穿墙处采用直穿方式。在电缆桥架穿墙部位设置厚度不小于4mm的防护铅板，同时对穿墙段电缆桥架弯管处用厚度不小于4mm的铅皮进行包裹，包裹长度为穿墙前后各30cm，实现双重屏蔽，并与楼板开洞处防护铅板紧密贴合，穿墙部分间隙用硫酸钡水泥砂浆封堵填实。能够有效防止射线泄漏，穿墙部分不会影响墙体整体的防护性能，拟建。</w:t>
                  </w:r>
                </w:p>
                <w:p w14:paraId="6A62BA0D">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操作位：</w:t>
                  </w:r>
                  <w:r>
                    <w:rPr>
                      <w:rFonts w:hint="default" w:ascii="Times New Roman" w:hAnsi="Times New Roman" w:eastAsia="宋体" w:cs="Times New Roman"/>
                      <w:color w:val="auto"/>
                      <w:spacing w:val="0"/>
                      <w:position w:val="0"/>
                      <w:sz w:val="21"/>
                      <w:szCs w:val="21"/>
                      <w:highlight w:val="none"/>
                      <w:lang w:val="en-US" w:eastAsia="zh-CN"/>
                    </w:rPr>
                    <w:t>设置铅悬挂防护屏和床侧铅防护帘各一套，具有0.5mm铅当量，新采购</w:t>
                  </w:r>
                  <w:r>
                    <w:rPr>
                      <w:rFonts w:hint="default" w:ascii="Times New Roman" w:hAnsi="Times New Roman" w:eastAsia="宋体" w:cs="Times New Roman"/>
                      <w:color w:val="auto"/>
                      <w:spacing w:val="0"/>
                      <w:position w:val="0"/>
                      <w:sz w:val="21"/>
                      <w:szCs w:val="21"/>
                      <w:highlight w:val="none"/>
                    </w:rPr>
                    <w:t>。</w:t>
                  </w:r>
                </w:p>
                <w:p w14:paraId="13688262">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机房屏蔽施工时</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机房门与墙、窗与墙之间的重叠处搭接应大于相关缝隙的10倍。</w:t>
                  </w:r>
                </w:p>
                <w:p w14:paraId="1AB654F8">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highlight w:val="none"/>
                    </w:rPr>
                    <w:t>项目所用混凝土密度不小于2.35g/cm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，硫酸钡砂浆密度不小于</w:t>
                  </w:r>
                  <w:r>
                    <w:rPr>
                      <w:rFonts w:hint="default" w:ascii="Times New Roman" w:hAnsi="Times New Roman" w:eastAsia="宋体" w:cs="Times New Roman"/>
                      <w:color w:val="auto"/>
                      <w:spacing w:val="0"/>
                      <w:position w:val="0"/>
                      <w:sz w:val="21"/>
                      <w:szCs w:val="21"/>
                      <w:highlight w:val="none"/>
                      <w:lang w:val="en-US" w:eastAsia="zh-CN"/>
                    </w:rPr>
                    <w:t>3.2</w:t>
                  </w:r>
                  <w:r>
                    <w:rPr>
                      <w:rFonts w:hint="default" w:ascii="Times New Roman" w:hAnsi="Times New Roman" w:eastAsia="宋体" w:cs="Times New Roman"/>
                      <w:color w:val="auto"/>
                      <w:spacing w:val="0"/>
                      <w:position w:val="0"/>
                      <w:sz w:val="21"/>
                      <w:szCs w:val="21"/>
                      <w:highlight w:val="none"/>
                    </w:rPr>
                    <w:t>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vertAlign w:val="baseline"/>
                      <w:lang w:eastAsia="zh-CN"/>
                    </w:rPr>
                    <w:t>，</w:t>
                  </w:r>
                  <w:r>
                    <w:rPr>
                      <w:rFonts w:hint="default" w:ascii="Times New Roman" w:hAnsi="Times New Roman" w:eastAsia="宋体" w:cs="Times New Roman"/>
                      <w:color w:val="auto"/>
                      <w:spacing w:val="0"/>
                      <w:position w:val="0"/>
                      <w:sz w:val="21"/>
                      <w:szCs w:val="21"/>
                      <w:highlight w:val="none"/>
                      <w:vertAlign w:val="baseline"/>
                      <w:lang w:val="en-US" w:eastAsia="zh-CN"/>
                    </w:rPr>
                    <w:t>水泥与硫酸钡的配比比例为 1:4</w:t>
                  </w:r>
                  <w:r>
                    <w:rPr>
                      <w:rFonts w:hint="default" w:ascii="Times New Roman" w:hAnsi="Times New Roman" w:eastAsia="宋体" w:cs="Times New Roman"/>
                      <w:color w:val="auto"/>
                      <w:spacing w:val="0"/>
                      <w:position w:val="0"/>
                      <w:sz w:val="21"/>
                      <w:szCs w:val="21"/>
                      <w:highlight w:val="none"/>
                    </w:rPr>
                    <w:t>。</w:t>
                  </w:r>
                </w:p>
              </w:tc>
              <w:tc>
                <w:tcPr>
                  <w:tcW w:w="657" w:type="dxa"/>
                  <w:noWrap w:val="0"/>
                  <w:vAlign w:val="center"/>
                </w:tcPr>
                <w:p w14:paraId="458DBB2C">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p>
              </w:tc>
              <w:tc>
                <w:tcPr>
                  <w:tcW w:w="696" w:type="dxa"/>
                  <w:noWrap w:val="0"/>
                  <w:vAlign w:val="center"/>
                </w:tcPr>
                <w:p w14:paraId="1F7C00A7">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p>
              </w:tc>
            </w:tr>
            <w:tr w14:paraId="6A0D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49" w:type="dxa"/>
                  <w:noWrap w:val="0"/>
                  <w:vAlign w:val="center"/>
                </w:tcPr>
                <w:p w14:paraId="4B7BC60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辐射安全防护措施</w:t>
                  </w:r>
                </w:p>
              </w:tc>
              <w:tc>
                <w:tcPr>
                  <w:tcW w:w="6777" w:type="dxa"/>
                  <w:noWrap w:val="0"/>
                  <w:vAlign w:val="center"/>
                </w:tcPr>
                <w:p w14:paraId="251AD6B8">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紧急停止按钮：本项目控制室操作台、DSA</w:t>
                  </w:r>
                  <w:r>
                    <w:rPr>
                      <w:rFonts w:hint="default" w:ascii="Times New Roman" w:hAnsi="Times New Roman" w:eastAsia="宋体" w:cs="Times New Roman"/>
                      <w:color w:val="auto"/>
                      <w:spacing w:val="0"/>
                      <w:position w:val="0"/>
                      <w:sz w:val="21"/>
                      <w:szCs w:val="21"/>
                      <w:highlight w:val="none"/>
                      <w:lang w:val="en-US" w:eastAsia="zh-CN"/>
                    </w:rPr>
                    <w:t>设备</w:t>
                  </w:r>
                  <w:r>
                    <w:rPr>
                      <w:rFonts w:hint="default" w:ascii="Times New Roman" w:hAnsi="Times New Roman" w:eastAsia="宋体" w:cs="Times New Roman"/>
                      <w:color w:val="auto"/>
                      <w:spacing w:val="0"/>
                      <w:position w:val="0"/>
                      <w:sz w:val="21"/>
                      <w:szCs w:val="21"/>
                      <w:highlight w:val="none"/>
                    </w:rPr>
                    <w:t>侧</w:t>
                  </w:r>
                  <w:r>
                    <w:rPr>
                      <w:rFonts w:hint="default" w:ascii="Times New Roman" w:hAnsi="Times New Roman" w:eastAsia="宋体" w:cs="Times New Roman"/>
                      <w:color w:val="auto"/>
                      <w:spacing w:val="0"/>
                      <w:position w:val="0"/>
                      <w:sz w:val="21"/>
                      <w:szCs w:val="21"/>
                      <w:highlight w:val="none"/>
                      <w:lang w:val="en-US" w:eastAsia="zh-CN"/>
                    </w:rPr>
                    <w:t>拟</w:t>
                  </w:r>
                  <w:r>
                    <w:rPr>
                      <w:rFonts w:hint="default" w:ascii="Times New Roman" w:hAnsi="Times New Roman" w:eastAsia="宋体" w:cs="Times New Roman"/>
                      <w:color w:val="auto"/>
                      <w:spacing w:val="0"/>
                      <w:position w:val="0"/>
                      <w:sz w:val="21"/>
                      <w:szCs w:val="21"/>
                      <w:highlight w:val="none"/>
                    </w:rPr>
                    <w:t>设置紧急停止按钮</w:t>
                  </w:r>
                  <w:r>
                    <w:rPr>
                      <w:rFonts w:hint="default" w:ascii="Times New Roman" w:hAnsi="Times New Roman" w:eastAsia="宋体" w:cs="Times New Roman"/>
                      <w:color w:val="auto"/>
                      <w:spacing w:val="0"/>
                      <w:position w:val="0"/>
                      <w:sz w:val="21"/>
                      <w:szCs w:val="21"/>
                      <w:highlight w:val="none"/>
                      <w:lang w:val="en-US" w:eastAsia="zh-CN"/>
                    </w:rPr>
                    <w:t>，新建</w:t>
                  </w:r>
                  <w:r>
                    <w:rPr>
                      <w:rFonts w:hint="default" w:ascii="Times New Roman" w:hAnsi="Times New Roman" w:eastAsia="宋体" w:cs="Times New Roman"/>
                      <w:color w:val="auto"/>
                      <w:spacing w:val="0"/>
                      <w:position w:val="0"/>
                      <w:sz w:val="21"/>
                      <w:szCs w:val="21"/>
                      <w:highlight w:val="none"/>
                    </w:rPr>
                    <w:t>：</w:t>
                  </w:r>
                </w:p>
                <w:p w14:paraId="229DE84B">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警示标志：DSA机房患者通道防护门、控制室防护门和</w:t>
                  </w:r>
                  <w:r>
                    <w:rPr>
                      <w:rFonts w:hint="default" w:ascii="Times New Roman" w:hAnsi="Times New Roman" w:eastAsia="宋体" w:cs="Times New Roman"/>
                      <w:color w:val="auto"/>
                      <w:spacing w:val="0"/>
                      <w:position w:val="0"/>
                      <w:sz w:val="21"/>
                      <w:szCs w:val="21"/>
                      <w:highlight w:val="none"/>
                      <w:lang w:eastAsia="zh-CN"/>
                    </w:rPr>
                    <w:t>污物通道</w:t>
                  </w:r>
                  <w:r>
                    <w:rPr>
                      <w:rFonts w:hint="default" w:ascii="Times New Roman" w:hAnsi="Times New Roman" w:eastAsia="宋体" w:cs="Times New Roman"/>
                      <w:color w:val="auto"/>
                      <w:spacing w:val="0"/>
                      <w:position w:val="0"/>
                      <w:sz w:val="21"/>
                      <w:szCs w:val="21"/>
                      <w:highlight w:val="none"/>
                      <w:lang w:val="en-US" w:eastAsia="zh-CN"/>
                    </w:rPr>
                    <w:t>防护门</w:t>
                  </w:r>
                  <w:r>
                    <w:rPr>
                      <w:rFonts w:hint="default" w:ascii="Times New Roman" w:hAnsi="Times New Roman" w:eastAsia="宋体" w:cs="Times New Roman"/>
                      <w:color w:val="auto"/>
                      <w:spacing w:val="0"/>
                      <w:position w:val="0"/>
                      <w:sz w:val="21"/>
                      <w:szCs w:val="21"/>
                      <w:highlight w:val="none"/>
                    </w:rPr>
                    <w:t>外醒目位置拟设置电离辐射警示标志、中文警示说明，并安装工作状态指示灯、门灯联锁装置</w:t>
                  </w:r>
                  <w:r>
                    <w:rPr>
                      <w:rFonts w:hint="default" w:ascii="Times New Roman" w:hAnsi="Times New Roman" w:eastAsia="宋体" w:cs="Times New Roman"/>
                      <w:color w:val="auto"/>
                      <w:spacing w:val="0"/>
                      <w:position w:val="0"/>
                      <w:sz w:val="21"/>
                      <w:szCs w:val="21"/>
                      <w:highlight w:val="none"/>
                      <w:lang w:val="en-US" w:eastAsia="zh-CN"/>
                    </w:rPr>
                    <w:t>，新建</w:t>
                  </w:r>
                  <w:r>
                    <w:rPr>
                      <w:rFonts w:hint="default" w:ascii="Times New Roman" w:hAnsi="Times New Roman" w:eastAsia="宋体" w:cs="Times New Roman"/>
                      <w:color w:val="auto"/>
                      <w:spacing w:val="0"/>
                      <w:position w:val="0"/>
                      <w:sz w:val="21"/>
                      <w:szCs w:val="21"/>
                      <w:highlight w:val="none"/>
                    </w:rPr>
                    <w:t>；</w:t>
                  </w:r>
                </w:p>
                <w:p w14:paraId="6ACD8F7E">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监控系统：DSA机房内设置监控系统一套</w:t>
                  </w:r>
                  <w:r>
                    <w:rPr>
                      <w:rFonts w:hint="default" w:ascii="Times New Roman" w:hAnsi="Times New Roman" w:eastAsia="宋体" w:cs="Times New Roman"/>
                      <w:color w:val="auto"/>
                      <w:spacing w:val="0"/>
                      <w:position w:val="0"/>
                      <w:sz w:val="21"/>
                      <w:szCs w:val="21"/>
                      <w:highlight w:val="none"/>
                      <w:lang w:val="en-US" w:eastAsia="zh-CN"/>
                    </w:rPr>
                    <w:t>，新建</w:t>
                  </w:r>
                  <w:r>
                    <w:rPr>
                      <w:rFonts w:hint="default" w:ascii="Times New Roman" w:hAnsi="Times New Roman" w:eastAsia="宋体" w:cs="Times New Roman"/>
                      <w:color w:val="auto"/>
                      <w:spacing w:val="0"/>
                      <w:position w:val="0"/>
                      <w:sz w:val="21"/>
                      <w:szCs w:val="21"/>
                      <w:highlight w:val="none"/>
                    </w:rPr>
                    <w:t>；</w:t>
                  </w:r>
                </w:p>
                <w:p w14:paraId="79934C65">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对讲系统：DSA机房安装对讲系统一套</w:t>
                  </w:r>
                  <w:r>
                    <w:rPr>
                      <w:rFonts w:hint="default" w:ascii="Times New Roman" w:hAnsi="Times New Roman" w:eastAsia="宋体" w:cs="Times New Roman"/>
                      <w:color w:val="auto"/>
                      <w:spacing w:val="0"/>
                      <w:position w:val="0"/>
                      <w:sz w:val="21"/>
                      <w:szCs w:val="21"/>
                      <w:highlight w:val="none"/>
                      <w:lang w:val="en-US" w:eastAsia="zh-CN"/>
                    </w:rPr>
                    <w:t>，新建</w:t>
                  </w:r>
                  <w:r>
                    <w:rPr>
                      <w:rFonts w:hint="default" w:ascii="Times New Roman" w:hAnsi="Times New Roman" w:eastAsia="宋体" w:cs="Times New Roman"/>
                      <w:color w:val="auto"/>
                      <w:spacing w:val="0"/>
                      <w:position w:val="0"/>
                      <w:sz w:val="21"/>
                      <w:szCs w:val="21"/>
                      <w:highlight w:val="none"/>
                    </w:rPr>
                    <w:t>：</w:t>
                  </w:r>
                </w:p>
                <w:p w14:paraId="24E1AC0D">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个人防护：拟</w:t>
                  </w:r>
                  <w:r>
                    <w:rPr>
                      <w:rFonts w:hint="eastAsia" w:cs="Times New Roman"/>
                      <w:color w:val="auto"/>
                      <w:spacing w:val="0"/>
                      <w:position w:val="0"/>
                      <w:sz w:val="21"/>
                      <w:szCs w:val="21"/>
                      <w:highlight w:val="none"/>
                      <w:lang w:val="en-US" w:eastAsia="zh-CN"/>
                    </w:rPr>
                    <w:t>配置DSA</w:t>
                  </w:r>
                  <w:r>
                    <w:rPr>
                      <w:rFonts w:hint="default" w:ascii="Times New Roman" w:hAnsi="Times New Roman" w:eastAsia="宋体" w:cs="Times New Roman"/>
                      <w:color w:val="auto"/>
                      <w:spacing w:val="0"/>
                      <w:position w:val="0"/>
                      <w:sz w:val="21"/>
                      <w:szCs w:val="21"/>
                      <w:highlight w:val="none"/>
                      <w:lang w:eastAsia="zh-CN"/>
                    </w:rPr>
                    <w:t>工作人员铅橡胶颈套</w:t>
                  </w:r>
                  <w:r>
                    <w:rPr>
                      <w:rFonts w:hint="default" w:ascii="Times New Roman" w:hAnsi="Times New Roman" w:eastAsia="宋体" w:cs="Times New Roman"/>
                      <w:color w:val="auto"/>
                      <w:spacing w:val="0"/>
                      <w:position w:val="0"/>
                      <w:sz w:val="21"/>
                      <w:szCs w:val="21"/>
                      <w:highlight w:val="none"/>
                    </w:rPr>
                    <w:t>、</w:t>
                  </w:r>
                  <w:r>
                    <w:rPr>
                      <w:rFonts w:hint="default" w:ascii="Times New Roman" w:hAnsi="Times New Roman" w:eastAsia="宋体" w:cs="Times New Roman"/>
                      <w:color w:val="auto"/>
                      <w:spacing w:val="0"/>
                      <w:position w:val="0"/>
                      <w:sz w:val="21"/>
                      <w:szCs w:val="21"/>
                      <w:highlight w:val="none"/>
                      <w:lang w:eastAsia="zh-CN"/>
                    </w:rPr>
                    <w:t>铅橡胶帽子</w:t>
                  </w:r>
                  <w:r>
                    <w:rPr>
                      <w:rFonts w:hint="default" w:ascii="Times New Roman" w:hAnsi="Times New Roman" w:eastAsia="宋体" w:cs="Times New Roman"/>
                      <w:color w:val="auto"/>
                      <w:spacing w:val="0"/>
                      <w:position w:val="0"/>
                      <w:sz w:val="21"/>
                      <w:szCs w:val="21"/>
                      <w:highlight w:val="none"/>
                    </w:rPr>
                    <w:t>、</w:t>
                  </w:r>
                  <w:r>
                    <w:rPr>
                      <w:rFonts w:hint="default" w:ascii="Times New Roman" w:hAnsi="Times New Roman" w:eastAsia="宋体" w:cs="Times New Roman"/>
                      <w:color w:val="auto"/>
                      <w:spacing w:val="0"/>
                      <w:position w:val="0"/>
                      <w:sz w:val="21"/>
                      <w:szCs w:val="21"/>
                      <w:highlight w:val="none"/>
                      <w:lang w:eastAsia="zh-CN"/>
                    </w:rPr>
                    <w:t>铅防护眼镜</w:t>
                  </w:r>
                  <w:r>
                    <w:rPr>
                      <w:rFonts w:hint="default" w:ascii="Times New Roman" w:hAnsi="Times New Roman" w:eastAsia="宋体" w:cs="Times New Roman"/>
                      <w:color w:val="auto"/>
                      <w:spacing w:val="0"/>
                      <w:position w:val="0"/>
                      <w:sz w:val="21"/>
                      <w:szCs w:val="21"/>
                      <w:highlight w:val="none"/>
                    </w:rPr>
                    <w:t>、</w:t>
                  </w:r>
                  <w:r>
                    <w:rPr>
                      <w:rFonts w:hint="default" w:ascii="Times New Roman" w:hAnsi="Times New Roman" w:eastAsia="宋体" w:cs="Times New Roman"/>
                      <w:color w:val="auto"/>
                      <w:spacing w:val="0"/>
                      <w:position w:val="0"/>
                      <w:sz w:val="21"/>
                      <w:szCs w:val="21"/>
                      <w:highlight w:val="none"/>
                      <w:lang w:eastAsia="zh-CN"/>
                    </w:rPr>
                    <w:t>铅橡胶围裙、</w:t>
                  </w:r>
                  <w:r>
                    <w:rPr>
                      <w:rFonts w:hint="default" w:ascii="Times New Roman" w:hAnsi="Times New Roman" w:eastAsia="宋体" w:cs="Times New Roman"/>
                      <w:color w:val="auto"/>
                      <w:spacing w:val="0"/>
                      <w:position w:val="0"/>
                      <w:sz w:val="21"/>
                      <w:szCs w:val="21"/>
                      <w:highlight w:val="none"/>
                      <w:lang w:val="en-US" w:eastAsia="zh-CN"/>
                    </w:rPr>
                    <w:t>介入防护手套等10</w:t>
                  </w:r>
                  <w:r>
                    <w:rPr>
                      <w:rFonts w:hint="default" w:ascii="Times New Roman" w:hAnsi="Times New Roman" w:eastAsia="宋体" w:cs="Times New Roman"/>
                      <w:color w:val="auto"/>
                      <w:spacing w:val="0"/>
                      <w:position w:val="0"/>
                      <w:sz w:val="21"/>
                      <w:szCs w:val="21"/>
                      <w:highlight w:val="none"/>
                    </w:rPr>
                    <w:t>套</w:t>
                  </w:r>
                  <w:r>
                    <w:rPr>
                      <w:rFonts w:hint="default" w:ascii="Times New Roman" w:hAnsi="Times New Roman" w:eastAsia="宋体" w:cs="Times New Roman"/>
                      <w:color w:val="auto"/>
                      <w:spacing w:val="0"/>
                      <w:position w:val="0"/>
                      <w:sz w:val="21"/>
                      <w:szCs w:val="21"/>
                      <w:highlight w:val="none"/>
                      <w:lang w:eastAsia="zh-CN"/>
                    </w:rPr>
                    <w:t>，受检者围裙或方巾2套、颈套2套，铅橡胶帽子2个</w:t>
                  </w:r>
                  <w:r>
                    <w:rPr>
                      <w:rFonts w:hint="default" w:ascii="Times New Roman" w:hAnsi="Times New Roman" w:eastAsia="宋体" w:cs="Times New Roman"/>
                      <w:color w:val="auto"/>
                      <w:spacing w:val="0"/>
                      <w:position w:val="0"/>
                      <w:sz w:val="21"/>
                      <w:szCs w:val="21"/>
                      <w:highlight w:val="none"/>
                      <w:lang w:val="en-US" w:eastAsia="zh-CN"/>
                    </w:rPr>
                    <w:t>，0.5mmPb铅悬挂防护屏和床侧铅防护帘1套，新采购</w:t>
                  </w:r>
                  <w:r>
                    <w:rPr>
                      <w:rFonts w:hint="default" w:ascii="Times New Roman" w:hAnsi="Times New Roman" w:eastAsia="宋体" w:cs="Times New Roman"/>
                      <w:color w:val="auto"/>
                      <w:spacing w:val="0"/>
                      <w:position w:val="0"/>
                      <w:sz w:val="21"/>
                      <w:szCs w:val="21"/>
                      <w:highlight w:val="none"/>
                    </w:rPr>
                    <w:t>，每个辐射工作人员</w:t>
                  </w:r>
                  <w:r>
                    <w:rPr>
                      <w:rFonts w:hint="default" w:ascii="Times New Roman" w:hAnsi="Times New Roman" w:eastAsia="宋体" w:cs="Times New Roman"/>
                      <w:color w:val="auto"/>
                      <w:spacing w:val="0"/>
                      <w:position w:val="0"/>
                      <w:sz w:val="21"/>
                      <w:szCs w:val="21"/>
                      <w:highlight w:val="none"/>
                      <w:lang w:val="en-US" w:eastAsia="zh-CN"/>
                    </w:rPr>
                    <w:t>确保</w:t>
                  </w:r>
                  <w:r>
                    <w:rPr>
                      <w:rFonts w:hint="default" w:ascii="Times New Roman" w:hAnsi="Times New Roman" w:eastAsia="宋体" w:cs="Times New Roman"/>
                      <w:color w:val="auto"/>
                      <w:spacing w:val="0"/>
                      <w:position w:val="0"/>
                      <w:sz w:val="21"/>
                      <w:szCs w:val="21"/>
                      <w:highlight w:val="none"/>
                    </w:rPr>
                    <w:t>佩戴</w:t>
                  </w:r>
                  <w:r>
                    <w:rPr>
                      <w:rFonts w:hint="default" w:ascii="Times New Roman" w:hAnsi="Times New Roman" w:eastAsia="宋体" w:cs="Times New Roman"/>
                      <w:color w:val="auto"/>
                      <w:spacing w:val="0"/>
                      <w:position w:val="0"/>
                      <w:sz w:val="21"/>
                      <w:szCs w:val="21"/>
                      <w:highlight w:val="none"/>
                      <w:lang w:val="en-US" w:eastAsia="zh-CN"/>
                    </w:rPr>
                    <w:t>2台</w:t>
                  </w:r>
                  <w:r>
                    <w:rPr>
                      <w:rFonts w:hint="default" w:ascii="Times New Roman" w:hAnsi="Times New Roman" w:eastAsia="宋体" w:cs="Times New Roman"/>
                      <w:color w:val="auto"/>
                      <w:spacing w:val="0"/>
                      <w:position w:val="0"/>
                      <w:sz w:val="21"/>
                      <w:szCs w:val="21"/>
                      <w:highlight w:val="none"/>
                    </w:rPr>
                    <w:t>个人剂量计；</w:t>
                  </w:r>
                </w:p>
                <w:p w14:paraId="642A4FDD">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lang w:val="en-US" w:eastAsia="zh-CN"/>
                    </w:rPr>
                    <w:t>拟</w:t>
                  </w:r>
                  <w:r>
                    <w:rPr>
                      <w:rFonts w:hint="default" w:ascii="Times New Roman" w:hAnsi="Times New Roman" w:eastAsia="宋体" w:cs="Times New Roman"/>
                      <w:color w:val="auto"/>
                      <w:spacing w:val="0"/>
                      <w:position w:val="0"/>
                      <w:sz w:val="21"/>
                      <w:szCs w:val="21"/>
                      <w:highlight w:val="none"/>
                    </w:rPr>
                    <w:t>配置</w:t>
                  </w:r>
                  <w:r>
                    <w:rPr>
                      <w:rFonts w:hint="default" w:ascii="Times New Roman" w:hAnsi="Times New Roman" w:eastAsia="宋体" w:cs="Times New Roman"/>
                      <w:color w:val="auto"/>
                      <w:spacing w:val="0"/>
                      <w:position w:val="0"/>
                      <w:sz w:val="21"/>
                      <w:szCs w:val="21"/>
                      <w:highlight w:val="none"/>
                      <w:lang w:val="en-US" w:eastAsia="zh-CN"/>
                    </w:rPr>
                    <w:t>2台</w:t>
                  </w:r>
                  <w:r>
                    <w:rPr>
                      <w:rFonts w:hint="default" w:ascii="Times New Roman" w:hAnsi="Times New Roman" w:eastAsia="宋体" w:cs="Times New Roman"/>
                      <w:color w:val="auto"/>
                      <w:spacing w:val="0"/>
                      <w:position w:val="0"/>
                      <w:sz w:val="21"/>
                      <w:szCs w:val="21"/>
                      <w:highlight w:val="none"/>
                    </w:rPr>
                    <w:t>个人剂量报警仪和</w:t>
                  </w:r>
                  <w:r>
                    <w:rPr>
                      <w:rFonts w:hint="default" w:ascii="Times New Roman" w:hAnsi="Times New Roman" w:eastAsia="宋体" w:cs="Times New Roman"/>
                      <w:color w:val="auto"/>
                      <w:spacing w:val="0"/>
                      <w:position w:val="0"/>
                      <w:sz w:val="21"/>
                      <w:szCs w:val="21"/>
                      <w:highlight w:val="none"/>
                      <w:lang w:val="en-US" w:eastAsia="zh-CN"/>
                    </w:rPr>
                    <w:t>1台</w:t>
                  </w:r>
                  <w:r>
                    <w:rPr>
                      <w:rFonts w:hint="default" w:ascii="Times New Roman" w:hAnsi="Times New Roman" w:eastAsia="宋体" w:cs="Times New Roman"/>
                      <w:color w:val="auto"/>
                      <w:spacing w:val="0"/>
                      <w:position w:val="0"/>
                      <w:sz w:val="21"/>
                      <w:szCs w:val="21"/>
                      <w:highlight w:val="none"/>
                    </w:rPr>
                    <w:t>便携式X-γ辐射监测仪器</w:t>
                  </w:r>
                  <w:r>
                    <w:rPr>
                      <w:rFonts w:hint="default" w:ascii="Times New Roman" w:hAnsi="Times New Roman" w:eastAsia="宋体" w:cs="Times New Roman"/>
                      <w:color w:val="auto"/>
                      <w:spacing w:val="0"/>
                      <w:position w:val="0"/>
                      <w:sz w:val="21"/>
                      <w:szCs w:val="21"/>
                      <w:highlight w:val="none"/>
                      <w:lang w:val="en-US" w:eastAsia="zh-CN"/>
                    </w:rPr>
                    <w:t>，新采购</w:t>
                  </w:r>
                  <w:r>
                    <w:rPr>
                      <w:rFonts w:hint="default" w:ascii="Times New Roman" w:hAnsi="Times New Roman" w:eastAsia="宋体" w:cs="Times New Roman"/>
                      <w:color w:val="auto"/>
                      <w:spacing w:val="0"/>
                      <w:position w:val="0"/>
                      <w:sz w:val="21"/>
                      <w:szCs w:val="21"/>
                      <w:highlight w:val="none"/>
                    </w:rPr>
                    <w:t>；</w:t>
                  </w:r>
                </w:p>
                <w:p w14:paraId="746B2E91">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rPr>
                    <w:t>制定辐射安全管理制度，并将相关辐射安全管理制度</w:t>
                  </w:r>
                  <w:r>
                    <w:rPr>
                      <w:rFonts w:hint="default" w:ascii="Times New Roman" w:hAnsi="Times New Roman" w:eastAsia="宋体" w:cs="Times New Roman"/>
                      <w:color w:val="auto"/>
                      <w:spacing w:val="0"/>
                      <w:position w:val="0"/>
                      <w:sz w:val="21"/>
                      <w:szCs w:val="21"/>
                      <w:highlight w:val="none"/>
                      <w:lang w:val="en-US" w:eastAsia="zh-CN"/>
                    </w:rPr>
                    <w:t>上墙，新建</w:t>
                  </w:r>
                </w:p>
              </w:tc>
              <w:tc>
                <w:tcPr>
                  <w:tcW w:w="657" w:type="dxa"/>
                  <w:noWrap w:val="0"/>
                  <w:vAlign w:val="center"/>
                </w:tcPr>
                <w:p w14:paraId="40A5DCC7">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w:t>
                  </w:r>
                </w:p>
              </w:tc>
              <w:tc>
                <w:tcPr>
                  <w:tcW w:w="696" w:type="dxa"/>
                  <w:noWrap w:val="0"/>
                  <w:vAlign w:val="center"/>
                </w:tcPr>
                <w:p w14:paraId="434BA6AE">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w:t>
                  </w:r>
                </w:p>
              </w:tc>
            </w:tr>
          </w:tbl>
          <w:p w14:paraId="4388E4DA">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（2）设备配置</w:t>
            </w:r>
          </w:p>
          <w:p w14:paraId="196149F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本项目配备的DSA技术参数见表1-</w:t>
            </w:r>
            <w:r>
              <w:rPr>
                <w:rFonts w:hint="default" w:ascii="Times New Roman" w:hAnsi="Times New Roman" w:eastAsia="宋体" w:cs="Times New Roman"/>
                <w:color w:val="auto"/>
                <w:spacing w:val="0"/>
                <w:position w:val="0"/>
                <w:lang w:val="en-US" w:eastAsia="zh-CN"/>
              </w:rPr>
              <w:t>3</w:t>
            </w:r>
            <w:r>
              <w:rPr>
                <w:rFonts w:hint="default" w:ascii="Times New Roman" w:hAnsi="Times New Roman" w:eastAsia="宋体" w:cs="Times New Roman"/>
                <w:color w:val="auto"/>
                <w:spacing w:val="0"/>
                <w:position w:val="0"/>
              </w:rPr>
              <w:t>。</w:t>
            </w:r>
          </w:p>
          <w:p w14:paraId="1F08B8C9">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bookmarkStart w:id="3" w:name="_Toc24265"/>
            <w:bookmarkStart w:id="4" w:name="_Toc9305"/>
            <w:r>
              <w:rPr>
                <w:rFonts w:hint="default" w:ascii="Times New Roman" w:hAnsi="Times New Roman" w:eastAsia="宋体" w:cs="Times New Roman"/>
                <w:color w:val="auto"/>
                <w:spacing w:val="0"/>
                <w:position w:val="0"/>
                <w:sz w:val="21"/>
                <w:szCs w:val="21"/>
              </w:rPr>
              <w:t>表1-</w:t>
            </w:r>
            <w:r>
              <w:rPr>
                <w:rFonts w:hint="default" w:ascii="Times New Roman" w:hAnsi="Times New Roman" w:eastAsia="宋体" w:cs="Times New Roman"/>
                <w:color w:val="auto"/>
                <w:spacing w:val="0"/>
                <w:position w:val="0"/>
                <w:sz w:val="21"/>
                <w:szCs w:val="21"/>
                <w:lang w:val="en-US" w:eastAsia="zh-CN"/>
              </w:rPr>
              <w:t xml:space="preserve">3 </w:t>
            </w:r>
            <w:r>
              <w:rPr>
                <w:rFonts w:hint="default" w:ascii="Times New Roman" w:hAnsi="Times New Roman" w:eastAsia="宋体" w:cs="Times New Roman"/>
                <w:color w:val="auto"/>
                <w:spacing w:val="0"/>
                <w:position w:val="0"/>
                <w:sz w:val="21"/>
                <w:szCs w:val="21"/>
              </w:rPr>
              <w:t>本项目DSA技术参数一览表</w:t>
            </w:r>
            <w:bookmarkEnd w:id="3"/>
            <w:bookmarkEnd w:id="4"/>
          </w:p>
          <w:tbl>
            <w:tblPr>
              <w:tblStyle w:val="20"/>
              <w:tblW w:w="49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1268"/>
              <w:gridCol w:w="504"/>
              <w:gridCol w:w="815"/>
              <w:gridCol w:w="897"/>
              <w:gridCol w:w="1305"/>
              <w:gridCol w:w="744"/>
              <w:gridCol w:w="1063"/>
              <w:gridCol w:w="899"/>
              <w:gridCol w:w="702"/>
            </w:tblGrid>
            <w:tr w14:paraId="755C6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86" w:type="dxa"/>
                  <w:noWrap w:val="0"/>
                  <w:vAlign w:val="center"/>
                </w:tcPr>
                <w:p w14:paraId="670FD0C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序号</w:t>
                  </w:r>
                </w:p>
              </w:tc>
              <w:tc>
                <w:tcPr>
                  <w:tcW w:w="1318" w:type="dxa"/>
                  <w:noWrap w:val="0"/>
                  <w:vAlign w:val="center"/>
                </w:tcPr>
                <w:p w14:paraId="7033271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射线装置型号</w:t>
                  </w:r>
                </w:p>
              </w:tc>
              <w:tc>
                <w:tcPr>
                  <w:tcW w:w="524" w:type="dxa"/>
                  <w:noWrap w:val="0"/>
                  <w:vAlign w:val="center"/>
                </w:tcPr>
                <w:p w14:paraId="220E1C1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数量</w:t>
                  </w:r>
                </w:p>
              </w:tc>
              <w:tc>
                <w:tcPr>
                  <w:tcW w:w="847" w:type="dxa"/>
                  <w:noWrap w:val="0"/>
                  <w:vAlign w:val="center"/>
                </w:tcPr>
                <w:p w14:paraId="690D657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管电压</w:t>
                  </w:r>
                </w:p>
                <w:p w14:paraId="62B887A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lang w:eastAsia="zh-CN"/>
                    </w:rPr>
                    <w:t>(</w:t>
                  </w:r>
                  <w:r>
                    <w:rPr>
                      <w:rFonts w:hint="default" w:ascii="Times New Roman" w:hAnsi="Times New Roman" w:eastAsia="宋体" w:cs="Times New Roman"/>
                      <w:b/>
                      <w:bCs/>
                      <w:color w:val="auto"/>
                      <w:spacing w:val="0"/>
                      <w:position w:val="0"/>
                      <w:szCs w:val="21"/>
                    </w:rPr>
                    <w:t>kV</w:t>
                  </w:r>
                  <w:r>
                    <w:rPr>
                      <w:rFonts w:hint="default" w:ascii="Times New Roman" w:hAnsi="Times New Roman" w:eastAsia="宋体" w:cs="Times New Roman"/>
                      <w:b/>
                      <w:bCs/>
                      <w:color w:val="auto"/>
                      <w:spacing w:val="0"/>
                      <w:position w:val="0"/>
                      <w:szCs w:val="21"/>
                      <w:lang w:eastAsia="zh-CN"/>
                    </w:rPr>
                    <w:t>)</w:t>
                  </w:r>
                </w:p>
              </w:tc>
              <w:tc>
                <w:tcPr>
                  <w:tcW w:w="932" w:type="dxa"/>
                  <w:noWrap w:val="0"/>
                  <w:vAlign w:val="center"/>
                </w:tcPr>
                <w:p w14:paraId="57C416E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管电流</w:t>
                  </w:r>
                </w:p>
                <w:p w14:paraId="2CD7208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lang w:eastAsia="zh-CN"/>
                    </w:rPr>
                    <w:t>(</w:t>
                  </w:r>
                  <w:r>
                    <w:rPr>
                      <w:rFonts w:hint="default" w:ascii="Times New Roman" w:hAnsi="Times New Roman" w:eastAsia="宋体" w:cs="Times New Roman"/>
                      <w:b/>
                      <w:bCs/>
                      <w:color w:val="auto"/>
                      <w:spacing w:val="0"/>
                      <w:position w:val="0"/>
                      <w:szCs w:val="21"/>
                    </w:rPr>
                    <w:t>mA</w:t>
                  </w:r>
                  <w:r>
                    <w:rPr>
                      <w:rFonts w:hint="default" w:ascii="Times New Roman" w:hAnsi="Times New Roman" w:eastAsia="宋体" w:cs="Times New Roman"/>
                      <w:b/>
                      <w:bCs/>
                      <w:color w:val="auto"/>
                      <w:spacing w:val="0"/>
                      <w:position w:val="0"/>
                      <w:szCs w:val="21"/>
                      <w:lang w:eastAsia="zh-CN"/>
                    </w:rPr>
                    <w:t>)</w:t>
                  </w:r>
                </w:p>
              </w:tc>
              <w:tc>
                <w:tcPr>
                  <w:tcW w:w="1357" w:type="dxa"/>
                  <w:noWrap w:val="0"/>
                  <w:vAlign w:val="center"/>
                </w:tcPr>
                <w:p w14:paraId="228D06C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工作场</w:t>
                  </w:r>
                </w:p>
                <w:p w14:paraId="3309BDD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所名称</w:t>
                  </w:r>
                </w:p>
              </w:tc>
              <w:tc>
                <w:tcPr>
                  <w:tcW w:w="773" w:type="dxa"/>
                  <w:noWrap w:val="0"/>
                  <w:vAlign w:val="center"/>
                </w:tcPr>
                <w:p w14:paraId="3F7FF95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生产厂家</w:t>
                  </w:r>
                </w:p>
              </w:tc>
              <w:tc>
                <w:tcPr>
                  <w:tcW w:w="1105" w:type="dxa"/>
                  <w:noWrap w:val="0"/>
                  <w:vAlign w:val="center"/>
                </w:tcPr>
                <w:p w14:paraId="6507EAB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出束方向</w:t>
                  </w:r>
                </w:p>
              </w:tc>
              <w:tc>
                <w:tcPr>
                  <w:tcW w:w="934" w:type="dxa"/>
                  <w:noWrap w:val="0"/>
                  <w:vAlign w:val="center"/>
                </w:tcPr>
                <w:p w14:paraId="06EFF13C">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设备用途</w:t>
                  </w:r>
                </w:p>
              </w:tc>
              <w:tc>
                <w:tcPr>
                  <w:tcW w:w="730" w:type="dxa"/>
                  <w:noWrap w:val="0"/>
                  <w:vAlign w:val="center"/>
                </w:tcPr>
                <w:p w14:paraId="2FD1F4E3">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备注</w:t>
                  </w:r>
                </w:p>
              </w:tc>
            </w:tr>
            <w:tr w14:paraId="4C090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86" w:type="dxa"/>
                  <w:noWrap w:val="0"/>
                  <w:vAlign w:val="center"/>
                </w:tcPr>
                <w:p w14:paraId="1775F803">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1</w:t>
                  </w:r>
                </w:p>
              </w:tc>
              <w:tc>
                <w:tcPr>
                  <w:tcW w:w="1318" w:type="dxa"/>
                  <w:noWrap w:val="0"/>
                  <w:vAlign w:val="center"/>
                </w:tcPr>
                <w:p w14:paraId="67BD85B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ARTIS pheno Master</w:t>
                  </w:r>
                </w:p>
              </w:tc>
              <w:tc>
                <w:tcPr>
                  <w:tcW w:w="524" w:type="dxa"/>
                  <w:noWrap w:val="0"/>
                  <w:vAlign w:val="center"/>
                </w:tcPr>
                <w:p w14:paraId="165BC108">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1</w:t>
                  </w:r>
                </w:p>
              </w:tc>
              <w:tc>
                <w:tcPr>
                  <w:tcW w:w="847" w:type="dxa"/>
                  <w:noWrap w:val="0"/>
                  <w:vAlign w:val="center"/>
                </w:tcPr>
                <w:p w14:paraId="088828E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125</w:t>
                  </w:r>
                </w:p>
              </w:tc>
              <w:tc>
                <w:tcPr>
                  <w:tcW w:w="932" w:type="dxa"/>
                  <w:noWrap w:val="0"/>
                  <w:vAlign w:val="center"/>
                </w:tcPr>
                <w:p w14:paraId="37027A7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eastAsia="zh-CN"/>
                    </w:rPr>
                  </w:pPr>
                  <w:r>
                    <w:rPr>
                      <w:rFonts w:hint="default" w:ascii="Times New Roman" w:hAnsi="Times New Roman" w:eastAsia="宋体" w:cs="Times New Roman"/>
                      <w:color w:val="auto"/>
                      <w:spacing w:val="0"/>
                      <w:position w:val="0"/>
                      <w:szCs w:val="21"/>
                      <w:lang w:eastAsia="zh-CN"/>
                    </w:rPr>
                    <w:t>1000</w:t>
                  </w:r>
                </w:p>
              </w:tc>
              <w:tc>
                <w:tcPr>
                  <w:tcW w:w="1357" w:type="dxa"/>
                  <w:noWrap w:val="0"/>
                  <w:vAlign w:val="center"/>
                </w:tcPr>
                <w:p w14:paraId="5501DD4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highlight w:val="cyan"/>
                    </w:rPr>
                  </w:pPr>
                  <w:r>
                    <w:rPr>
                      <w:rFonts w:hint="default" w:ascii="Times New Roman" w:hAnsi="Times New Roman" w:eastAsia="宋体" w:cs="Times New Roman"/>
                      <w:color w:val="auto"/>
                      <w:spacing w:val="0"/>
                      <w:position w:val="0"/>
                      <w:sz w:val="21"/>
                      <w:szCs w:val="21"/>
                      <w:highlight w:val="none"/>
                      <w:lang w:val="en-US" w:eastAsia="zh-CN"/>
                    </w:rPr>
                    <w:t>住院楼5楼DSA介入室</w:t>
                  </w:r>
                </w:p>
              </w:tc>
              <w:tc>
                <w:tcPr>
                  <w:tcW w:w="773" w:type="dxa"/>
                  <w:noWrap w:val="0"/>
                  <w:vAlign w:val="center"/>
                </w:tcPr>
                <w:p w14:paraId="1626683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eastAsia="zh-CN"/>
                    </w:rPr>
                  </w:pPr>
                  <w:r>
                    <w:rPr>
                      <w:rFonts w:hint="default" w:ascii="Times New Roman" w:hAnsi="Times New Roman" w:eastAsia="宋体" w:cs="Times New Roman"/>
                      <w:color w:val="auto"/>
                      <w:spacing w:val="0"/>
                      <w:position w:val="0"/>
                      <w:szCs w:val="21"/>
                      <w:lang w:val="en-US" w:eastAsia="zh-CN"/>
                    </w:rPr>
                    <w:t>西门子</w:t>
                  </w:r>
                </w:p>
              </w:tc>
              <w:tc>
                <w:tcPr>
                  <w:tcW w:w="1105" w:type="dxa"/>
                  <w:noWrap w:val="0"/>
                  <w:vAlign w:val="center"/>
                </w:tcPr>
                <w:p w14:paraId="5F5177A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由下往上</w:t>
                  </w:r>
                </w:p>
              </w:tc>
              <w:tc>
                <w:tcPr>
                  <w:tcW w:w="934" w:type="dxa"/>
                  <w:noWrap w:val="0"/>
                  <w:vAlign w:val="center"/>
                </w:tcPr>
                <w:p w14:paraId="4EF2F37D">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诊断、介入手术</w:t>
                  </w:r>
                </w:p>
              </w:tc>
              <w:tc>
                <w:tcPr>
                  <w:tcW w:w="730" w:type="dxa"/>
                  <w:noWrap w:val="0"/>
                  <w:vAlign w:val="center"/>
                </w:tcPr>
                <w:p w14:paraId="53B4E14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新配置</w:t>
                  </w:r>
                </w:p>
              </w:tc>
            </w:tr>
          </w:tbl>
          <w:p w14:paraId="0D6BBD24">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（3）人员配置及工作制度</w:t>
            </w:r>
          </w:p>
          <w:p w14:paraId="2958F95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①人员配置</w:t>
            </w:r>
          </w:p>
          <w:p w14:paraId="657542C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pacing w:val="0"/>
                <w:position w:val="0"/>
                <w:highlight w:val="none"/>
                <w:lang w:eastAsia="zh-CN"/>
              </w:rPr>
            </w:pPr>
            <w:r>
              <w:rPr>
                <w:rFonts w:hint="default" w:ascii="Times New Roman" w:hAnsi="Times New Roman" w:eastAsia="宋体" w:cs="Times New Roman"/>
                <w:color w:val="auto"/>
                <w:spacing w:val="0"/>
                <w:position w:val="0"/>
                <w:highlight w:val="none"/>
              </w:rPr>
              <w:t>本项目DSA投入运行后，使用科室</w:t>
            </w:r>
            <w:r>
              <w:rPr>
                <w:rFonts w:hint="default" w:ascii="Times New Roman" w:hAnsi="Times New Roman" w:eastAsia="宋体" w:cs="Times New Roman"/>
                <w:color w:val="auto"/>
                <w:spacing w:val="0"/>
                <w:position w:val="0"/>
                <w:highlight w:val="none"/>
                <w:lang w:val="en-US" w:eastAsia="zh-CN"/>
              </w:rPr>
              <w:t>为肝胆科、介入科、心内</w:t>
            </w:r>
            <w:r>
              <w:rPr>
                <w:rFonts w:hint="default" w:ascii="Times New Roman" w:hAnsi="Times New Roman" w:eastAsia="宋体" w:cs="Times New Roman"/>
                <w:color w:val="auto"/>
                <w:spacing w:val="0"/>
                <w:position w:val="0"/>
                <w:highlight w:val="none"/>
                <w:lang w:eastAsia="zh-CN"/>
              </w:rPr>
              <w:t>科，</w:t>
            </w:r>
            <w:r>
              <w:rPr>
                <w:rFonts w:hint="default" w:ascii="Times New Roman" w:hAnsi="Times New Roman" w:eastAsia="宋体" w:cs="Times New Roman"/>
                <w:color w:val="auto"/>
                <w:spacing w:val="0"/>
                <w:position w:val="0"/>
                <w:highlight w:val="none"/>
                <w:lang w:val="en-US" w:eastAsia="zh-CN"/>
              </w:rPr>
              <w:t>各科室均</w:t>
            </w:r>
            <w:r>
              <w:rPr>
                <w:rFonts w:hint="default" w:ascii="Times New Roman" w:hAnsi="Times New Roman" w:eastAsia="宋体" w:cs="Times New Roman"/>
                <w:color w:val="auto"/>
                <w:spacing w:val="0"/>
                <w:position w:val="0"/>
                <w:highlight w:val="none"/>
              </w:rPr>
              <w:t>从原有</w:t>
            </w:r>
            <w:r>
              <w:rPr>
                <w:rFonts w:hint="default" w:ascii="Times New Roman" w:hAnsi="Times New Roman" w:eastAsia="宋体" w:cs="Times New Roman"/>
                <w:color w:val="auto"/>
                <w:spacing w:val="0"/>
                <w:position w:val="0"/>
                <w:highlight w:val="none"/>
                <w:lang w:val="en-US" w:eastAsia="zh-CN"/>
              </w:rPr>
              <w:t>辐射工作</w:t>
            </w:r>
            <w:r>
              <w:rPr>
                <w:rFonts w:hint="default" w:ascii="Times New Roman" w:hAnsi="Times New Roman" w:eastAsia="宋体" w:cs="Times New Roman"/>
                <w:color w:val="auto"/>
                <w:spacing w:val="0"/>
                <w:position w:val="0"/>
                <w:highlight w:val="none"/>
              </w:rPr>
              <w:t>人员中调配</w:t>
            </w:r>
            <w:r>
              <w:rPr>
                <w:rFonts w:hint="default" w:ascii="Times New Roman" w:hAnsi="Times New Roman" w:eastAsia="宋体" w:cs="Times New Roman"/>
                <w:color w:val="auto"/>
                <w:spacing w:val="0"/>
                <w:position w:val="0"/>
                <w:highlight w:val="none"/>
                <w:lang w:val="en-US" w:eastAsia="zh-CN"/>
              </w:rPr>
              <w:t>操作技师、介入手术医生和护士用于本项目手术操作，调配后同时参与各科室其他辐射工作，</w:t>
            </w:r>
            <w:r>
              <w:rPr>
                <w:rFonts w:hint="eastAsia" w:cs="Times New Roman"/>
                <w:color w:val="auto"/>
                <w:spacing w:val="0"/>
                <w:position w:val="0"/>
                <w:highlight w:val="none"/>
                <w:lang w:val="en-US" w:eastAsia="zh-CN"/>
              </w:rPr>
              <w:t>不参与其他科室辐射工作，本项目</w:t>
            </w:r>
            <w:r>
              <w:rPr>
                <w:rFonts w:hint="default" w:ascii="Times New Roman" w:hAnsi="Times New Roman" w:eastAsia="宋体" w:cs="Times New Roman"/>
                <w:color w:val="auto"/>
                <w:spacing w:val="0"/>
                <w:position w:val="0"/>
                <w:highlight w:val="none"/>
                <w:lang w:val="en-US" w:eastAsia="zh-CN"/>
              </w:rPr>
              <w:t>不新增辐射工作人员</w:t>
            </w:r>
            <w:r>
              <w:rPr>
                <w:rFonts w:hint="default" w:ascii="Times New Roman" w:hAnsi="Times New Roman" w:eastAsia="宋体" w:cs="Times New Roman"/>
                <w:color w:val="auto"/>
                <w:spacing w:val="0"/>
                <w:position w:val="0"/>
                <w:highlight w:val="none"/>
                <w:lang w:eastAsia="zh-CN"/>
              </w:rPr>
              <w:t>。</w:t>
            </w:r>
          </w:p>
          <w:p w14:paraId="6FBC7D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color w:val="auto"/>
                <w:spacing w:val="0"/>
                <w:kern w:val="44"/>
                <w:position w:val="0"/>
                <w:sz w:val="21"/>
                <w:szCs w:val="21"/>
              </w:rPr>
            </w:pPr>
            <w:r>
              <w:rPr>
                <w:rFonts w:hint="default" w:ascii="Times New Roman" w:hAnsi="Times New Roman" w:eastAsia="宋体" w:cs="Times New Roman"/>
                <w:color w:val="auto"/>
                <w:spacing w:val="0"/>
                <w:position w:val="0"/>
                <w:highlight w:val="none"/>
                <w:lang w:val="en-US" w:eastAsia="zh-CN"/>
              </w:rPr>
              <w:t>本项目所有工作人员均配置个人剂量计，所有辐射工作人员均在铅橡胶围裙内侧左胸前及铅橡胶围裙外衣领位置各佩戴1个剂量计，拟配置2台个人剂量报警仪和1台移动X-γ辐射监测仪器，项目建成后共计60台个人剂量计、2台个人剂量报警仪，1台X-γ辐射监测仪器</w:t>
            </w:r>
            <w:r>
              <w:rPr>
                <w:rFonts w:hint="default" w:ascii="Times New Roman" w:hAnsi="Times New Roman" w:eastAsia="宋体" w:cs="Times New Roman"/>
                <w:color w:val="auto"/>
                <w:spacing w:val="0"/>
                <w:position w:val="0"/>
                <w:highlight w:val="none"/>
              </w:rPr>
              <w:t>，本项目DSA辐射工作人员配置情况见表1-</w:t>
            </w:r>
            <w:r>
              <w:rPr>
                <w:rFonts w:hint="default" w:ascii="Times New Roman" w:hAnsi="Times New Roman" w:eastAsia="宋体" w:cs="Times New Roman"/>
                <w:color w:val="auto"/>
                <w:spacing w:val="0"/>
                <w:position w:val="0"/>
                <w:highlight w:val="none"/>
                <w:lang w:val="en-US" w:eastAsia="zh-CN"/>
              </w:rPr>
              <w:t>4</w:t>
            </w:r>
            <w:r>
              <w:rPr>
                <w:rFonts w:hint="default" w:ascii="Times New Roman" w:hAnsi="Times New Roman" w:eastAsia="宋体" w:cs="Times New Roman"/>
                <w:color w:val="auto"/>
                <w:spacing w:val="0"/>
                <w:position w:val="0"/>
                <w:highlight w:val="none"/>
              </w:rPr>
              <w:t>。</w:t>
            </w:r>
          </w:p>
          <w:p w14:paraId="4A70DBC7">
            <w:pPr>
              <w:pStyle w:val="16"/>
              <w:keepNext/>
              <w:keepLines/>
              <w:suppressLineNumbers w:val="0"/>
              <w:spacing w:before="0" w:beforeAutospacing="0" w:after="0" w:afterAutospacing="0"/>
              <w:ind w:left="0" w:right="0" w:firstLine="0" w:firstLineChars="0"/>
              <w:jc w:val="center"/>
              <w:outlineLvl w:val="0"/>
              <w:rPr>
                <w:rFonts w:hint="default" w:ascii="Times New Roman" w:hAnsi="Times New Roman" w:eastAsia="宋体" w:cs="Times New Roman"/>
                <w:b/>
                <w:color w:val="auto"/>
                <w:spacing w:val="0"/>
                <w:kern w:val="44"/>
                <w:position w:val="0"/>
                <w:sz w:val="21"/>
                <w:szCs w:val="21"/>
              </w:rPr>
            </w:pPr>
            <w:r>
              <w:rPr>
                <w:rFonts w:hint="default" w:ascii="Times New Roman" w:hAnsi="Times New Roman" w:eastAsia="宋体" w:cs="Times New Roman"/>
                <w:b/>
                <w:color w:val="auto"/>
                <w:spacing w:val="0"/>
                <w:kern w:val="44"/>
                <w:position w:val="0"/>
                <w:sz w:val="21"/>
                <w:szCs w:val="21"/>
              </w:rPr>
              <w:t>表1-</w:t>
            </w:r>
            <w:r>
              <w:rPr>
                <w:rFonts w:hint="default" w:ascii="Times New Roman" w:hAnsi="Times New Roman" w:eastAsia="宋体" w:cs="Times New Roman"/>
                <w:b/>
                <w:color w:val="auto"/>
                <w:spacing w:val="0"/>
                <w:kern w:val="44"/>
                <w:position w:val="0"/>
                <w:sz w:val="21"/>
                <w:szCs w:val="21"/>
                <w:lang w:val="en-US" w:eastAsia="zh-CN"/>
              </w:rPr>
              <w:t>4</w:t>
            </w:r>
            <w:r>
              <w:rPr>
                <w:rFonts w:hint="default" w:ascii="Times New Roman" w:hAnsi="Times New Roman" w:eastAsia="宋体" w:cs="Times New Roman"/>
                <w:b/>
                <w:color w:val="auto"/>
                <w:spacing w:val="0"/>
                <w:kern w:val="44"/>
                <w:position w:val="0"/>
                <w:sz w:val="21"/>
                <w:szCs w:val="21"/>
              </w:rPr>
              <w:t xml:space="preserve"> 本项目DSA辐射工作人员配置情况一览表</w:t>
            </w:r>
          </w:p>
          <w:tbl>
            <w:tblPr>
              <w:tblStyle w:val="20"/>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2510"/>
              <w:gridCol w:w="2470"/>
              <w:gridCol w:w="2324"/>
            </w:tblGrid>
            <w:tr w14:paraId="1C03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40" w:type="dxa"/>
                  <w:tcBorders>
                    <w:top w:val="single" w:color="auto" w:sz="4" w:space="0"/>
                    <w:left w:val="single" w:color="auto" w:sz="4" w:space="0"/>
                    <w:bottom w:val="single" w:color="auto" w:sz="4" w:space="0"/>
                    <w:right w:val="single" w:color="auto" w:sz="4" w:space="0"/>
                  </w:tcBorders>
                  <w:noWrap w:val="0"/>
                  <w:vAlign w:val="center"/>
                </w:tcPr>
                <w:p w14:paraId="77C5CA2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科室</w:t>
                  </w:r>
                </w:p>
              </w:tc>
              <w:tc>
                <w:tcPr>
                  <w:tcW w:w="2666" w:type="dxa"/>
                  <w:tcBorders>
                    <w:top w:val="single" w:color="auto" w:sz="4" w:space="0"/>
                    <w:left w:val="single" w:color="auto" w:sz="4" w:space="0"/>
                    <w:bottom w:val="single" w:color="auto" w:sz="4" w:space="0"/>
                    <w:right w:val="single" w:color="auto" w:sz="4" w:space="0"/>
                  </w:tcBorders>
                  <w:noWrap w:val="0"/>
                  <w:vAlign w:val="center"/>
                </w:tcPr>
                <w:p w14:paraId="6285E38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介入手术医生</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5DED780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操作技师</w:t>
                  </w:r>
                </w:p>
              </w:tc>
              <w:tc>
                <w:tcPr>
                  <w:tcW w:w="2467" w:type="dxa"/>
                  <w:tcBorders>
                    <w:top w:val="single" w:color="auto" w:sz="4" w:space="0"/>
                    <w:left w:val="single" w:color="auto" w:sz="4" w:space="0"/>
                    <w:bottom w:val="single" w:color="auto" w:sz="4" w:space="0"/>
                    <w:right w:val="single" w:color="auto" w:sz="4" w:space="0"/>
                  </w:tcBorders>
                  <w:noWrap w:val="0"/>
                  <w:vAlign w:val="center"/>
                </w:tcPr>
                <w:p w14:paraId="1529C40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护士</w:t>
                  </w:r>
                </w:p>
              </w:tc>
            </w:tr>
            <w:tr w14:paraId="4B50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40" w:type="dxa"/>
                  <w:tcBorders>
                    <w:top w:val="single" w:color="auto" w:sz="4" w:space="0"/>
                    <w:left w:val="single" w:color="auto" w:sz="4" w:space="0"/>
                    <w:bottom w:val="single" w:color="auto" w:sz="4" w:space="0"/>
                    <w:right w:val="single" w:color="auto" w:sz="4" w:space="0"/>
                  </w:tcBorders>
                  <w:noWrap w:val="0"/>
                  <w:vAlign w:val="center"/>
                </w:tcPr>
                <w:p w14:paraId="0494EA96">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eastAsia="zh-CN"/>
                    </w:rPr>
                  </w:pPr>
                  <w:r>
                    <w:rPr>
                      <w:rFonts w:hint="default" w:ascii="Times New Roman" w:hAnsi="Times New Roman" w:eastAsia="宋体" w:cs="Times New Roman"/>
                      <w:color w:val="auto"/>
                      <w:spacing w:val="0"/>
                      <w:kern w:val="2"/>
                      <w:position w:val="0"/>
                      <w:sz w:val="21"/>
                      <w:szCs w:val="21"/>
                      <w:lang w:val="en-US" w:eastAsia="zh-CN"/>
                    </w:rPr>
                    <w:t>肝胆科</w:t>
                  </w:r>
                </w:p>
              </w:tc>
              <w:tc>
                <w:tcPr>
                  <w:tcW w:w="2666" w:type="dxa"/>
                  <w:tcBorders>
                    <w:top w:val="single" w:color="auto" w:sz="4" w:space="0"/>
                    <w:left w:val="single" w:color="auto" w:sz="4" w:space="0"/>
                    <w:bottom w:val="single" w:color="auto" w:sz="4" w:space="0"/>
                    <w:right w:val="single" w:color="auto" w:sz="4" w:space="0"/>
                  </w:tcBorders>
                  <w:noWrap w:val="0"/>
                  <w:vAlign w:val="center"/>
                </w:tcPr>
                <w:p w14:paraId="6B073B7E">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3</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7760A5E5">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1</w:t>
                  </w:r>
                </w:p>
              </w:tc>
              <w:tc>
                <w:tcPr>
                  <w:tcW w:w="2467" w:type="dxa"/>
                  <w:tcBorders>
                    <w:top w:val="single" w:color="auto" w:sz="4" w:space="0"/>
                    <w:left w:val="single" w:color="auto" w:sz="4" w:space="0"/>
                    <w:bottom w:val="single" w:color="auto" w:sz="4" w:space="0"/>
                    <w:right w:val="single" w:color="auto" w:sz="4" w:space="0"/>
                  </w:tcBorders>
                  <w:noWrap w:val="0"/>
                  <w:vAlign w:val="center"/>
                </w:tcPr>
                <w:p w14:paraId="65CDD905">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1</w:t>
                  </w:r>
                </w:p>
              </w:tc>
            </w:tr>
            <w:tr w14:paraId="4316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40" w:type="dxa"/>
                  <w:tcBorders>
                    <w:top w:val="single" w:color="auto" w:sz="4" w:space="0"/>
                    <w:left w:val="single" w:color="auto" w:sz="4" w:space="0"/>
                    <w:bottom w:val="single" w:color="auto" w:sz="4" w:space="0"/>
                    <w:right w:val="single" w:color="auto" w:sz="4" w:space="0"/>
                  </w:tcBorders>
                  <w:noWrap w:val="0"/>
                  <w:vAlign w:val="center"/>
                </w:tcPr>
                <w:p w14:paraId="0E66BA45">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eastAsia="zh-CN"/>
                    </w:rPr>
                  </w:pPr>
                  <w:r>
                    <w:rPr>
                      <w:rFonts w:hint="default" w:ascii="Times New Roman" w:hAnsi="Times New Roman" w:eastAsia="宋体" w:cs="Times New Roman"/>
                      <w:color w:val="auto"/>
                      <w:spacing w:val="0"/>
                      <w:kern w:val="2"/>
                      <w:position w:val="0"/>
                      <w:sz w:val="21"/>
                      <w:szCs w:val="21"/>
                      <w:lang w:val="en-US" w:eastAsia="zh-CN"/>
                    </w:rPr>
                    <w:t>介入科</w:t>
                  </w:r>
                </w:p>
              </w:tc>
              <w:tc>
                <w:tcPr>
                  <w:tcW w:w="2666" w:type="dxa"/>
                  <w:tcBorders>
                    <w:top w:val="single" w:color="auto" w:sz="4" w:space="0"/>
                    <w:left w:val="single" w:color="auto" w:sz="4" w:space="0"/>
                    <w:bottom w:val="single" w:color="auto" w:sz="4" w:space="0"/>
                    <w:right w:val="single" w:color="auto" w:sz="4" w:space="0"/>
                  </w:tcBorders>
                  <w:noWrap w:val="0"/>
                  <w:vAlign w:val="center"/>
                </w:tcPr>
                <w:p w14:paraId="4153A52F">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12</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6117CC34">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3</w:t>
                  </w:r>
                </w:p>
              </w:tc>
              <w:tc>
                <w:tcPr>
                  <w:tcW w:w="2467" w:type="dxa"/>
                  <w:tcBorders>
                    <w:top w:val="single" w:color="auto" w:sz="4" w:space="0"/>
                    <w:left w:val="single" w:color="auto" w:sz="4" w:space="0"/>
                    <w:bottom w:val="single" w:color="auto" w:sz="4" w:space="0"/>
                    <w:right w:val="single" w:color="auto" w:sz="4" w:space="0"/>
                  </w:tcBorders>
                  <w:noWrap w:val="0"/>
                  <w:vAlign w:val="center"/>
                </w:tcPr>
                <w:p w14:paraId="0D9B308B">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4</w:t>
                  </w:r>
                </w:p>
              </w:tc>
            </w:tr>
            <w:tr w14:paraId="65D6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40" w:type="dxa"/>
                  <w:tcBorders>
                    <w:top w:val="single" w:color="auto" w:sz="4" w:space="0"/>
                    <w:left w:val="single" w:color="auto" w:sz="4" w:space="0"/>
                    <w:bottom w:val="single" w:color="auto" w:sz="4" w:space="0"/>
                    <w:right w:val="single" w:color="auto" w:sz="4" w:space="0"/>
                  </w:tcBorders>
                  <w:noWrap w:val="0"/>
                  <w:vAlign w:val="center"/>
                </w:tcPr>
                <w:p w14:paraId="724C3A57">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eastAsia="zh-CN"/>
                    </w:rPr>
                  </w:pPr>
                  <w:r>
                    <w:rPr>
                      <w:rFonts w:hint="default" w:ascii="Times New Roman" w:hAnsi="Times New Roman" w:eastAsia="宋体" w:cs="Times New Roman"/>
                      <w:color w:val="auto"/>
                      <w:spacing w:val="0"/>
                      <w:kern w:val="2"/>
                      <w:position w:val="0"/>
                      <w:sz w:val="21"/>
                      <w:szCs w:val="21"/>
                      <w:lang w:val="en-US" w:eastAsia="zh-CN"/>
                    </w:rPr>
                    <w:t>心内</w:t>
                  </w:r>
                  <w:r>
                    <w:rPr>
                      <w:rFonts w:hint="default" w:ascii="Times New Roman" w:hAnsi="Times New Roman" w:eastAsia="宋体" w:cs="Times New Roman"/>
                      <w:color w:val="auto"/>
                      <w:spacing w:val="0"/>
                      <w:kern w:val="2"/>
                      <w:position w:val="0"/>
                      <w:sz w:val="21"/>
                      <w:szCs w:val="21"/>
                      <w:lang w:eastAsia="zh-CN"/>
                    </w:rPr>
                    <w:t>科</w:t>
                  </w:r>
                </w:p>
              </w:tc>
              <w:tc>
                <w:tcPr>
                  <w:tcW w:w="2666" w:type="dxa"/>
                  <w:tcBorders>
                    <w:top w:val="single" w:color="auto" w:sz="4" w:space="0"/>
                    <w:left w:val="single" w:color="auto" w:sz="4" w:space="0"/>
                    <w:bottom w:val="single" w:color="auto" w:sz="4" w:space="0"/>
                    <w:right w:val="single" w:color="auto" w:sz="4" w:space="0"/>
                  </w:tcBorders>
                  <w:noWrap w:val="0"/>
                  <w:vAlign w:val="center"/>
                </w:tcPr>
                <w:p w14:paraId="0F03E368">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4</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557B8528">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1</w:t>
                  </w:r>
                </w:p>
              </w:tc>
              <w:tc>
                <w:tcPr>
                  <w:tcW w:w="2467" w:type="dxa"/>
                  <w:tcBorders>
                    <w:top w:val="single" w:color="auto" w:sz="4" w:space="0"/>
                    <w:left w:val="single" w:color="auto" w:sz="4" w:space="0"/>
                    <w:bottom w:val="single" w:color="auto" w:sz="4" w:space="0"/>
                    <w:right w:val="single" w:color="auto" w:sz="4" w:space="0"/>
                  </w:tcBorders>
                  <w:noWrap w:val="0"/>
                  <w:vAlign w:val="center"/>
                </w:tcPr>
                <w:p w14:paraId="6929CF3B">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1</w:t>
                  </w:r>
                </w:p>
              </w:tc>
            </w:tr>
          </w:tbl>
          <w:p w14:paraId="6EE4CFD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rPr>
              <w:t>透视时医生身着个人防护用品在DSA介入室内进行介入手术，分为第一手术位和第二手术位，减影时在控制室内观察病人情况</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透视时位于机房内</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highlight w:val="none"/>
              </w:rPr>
              <w:t>护士仅</w:t>
            </w:r>
            <w:r>
              <w:rPr>
                <w:rFonts w:hint="default" w:ascii="Times New Roman" w:hAnsi="Times New Roman" w:eastAsia="宋体" w:cs="Times New Roman"/>
                <w:color w:val="auto"/>
                <w:spacing w:val="0"/>
                <w:position w:val="0"/>
                <w:highlight w:val="none"/>
                <w:lang w:val="en-US" w:eastAsia="zh-CN"/>
              </w:rPr>
              <w:t>负责</w:t>
            </w:r>
            <w:r>
              <w:rPr>
                <w:rFonts w:hint="default" w:ascii="Times New Roman" w:hAnsi="Times New Roman" w:eastAsia="宋体" w:cs="Times New Roman"/>
                <w:color w:val="auto"/>
                <w:spacing w:val="0"/>
                <w:position w:val="0"/>
                <w:highlight w:val="none"/>
              </w:rPr>
              <w:t>术前准备工作，不参与射线装置的工作，</w:t>
            </w:r>
            <w:r>
              <w:rPr>
                <w:rFonts w:hint="default" w:ascii="Times New Roman" w:hAnsi="Times New Roman" w:eastAsia="宋体" w:cs="Times New Roman"/>
                <w:color w:val="auto"/>
                <w:spacing w:val="0"/>
                <w:position w:val="0"/>
                <w:highlight w:val="none"/>
                <w:lang w:val="en-US" w:eastAsia="zh-CN"/>
              </w:rPr>
              <w:t>曝光</w:t>
            </w:r>
            <w:r>
              <w:rPr>
                <w:rFonts w:hint="default" w:ascii="Times New Roman" w:hAnsi="Times New Roman" w:eastAsia="宋体" w:cs="Times New Roman"/>
                <w:color w:val="auto"/>
                <w:spacing w:val="0"/>
                <w:position w:val="0"/>
                <w:highlight w:val="none"/>
              </w:rPr>
              <w:t>期间不在机房内停留；</w:t>
            </w:r>
            <w:r>
              <w:rPr>
                <w:rFonts w:hint="default" w:ascii="Times New Roman" w:hAnsi="Times New Roman" w:eastAsia="宋体" w:cs="Times New Roman"/>
                <w:color w:val="auto"/>
                <w:spacing w:val="0"/>
                <w:position w:val="0"/>
              </w:rPr>
              <w:t>控制室操作技师在控</w:t>
            </w:r>
            <w:r>
              <w:rPr>
                <w:rFonts w:hint="default" w:ascii="Times New Roman" w:hAnsi="Times New Roman" w:eastAsia="宋体" w:cs="Times New Roman"/>
                <w:color w:val="auto"/>
                <w:spacing w:val="0"/>
                <w:position w:val="0"/>
                <w:highlight w:val="none"/>
              </w:rPr>
              <w:t>制室负责DSA的运行</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不进入机房。</w:t>
            </w:r>
          </w:p>
          <w:p w14:paraId="0C7F415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eastAsia="zh-CN"/>
              </w:rPr>
            </w:pPr>
            <w:r>
              <w:rPr>
                <w:rFonts w:hint="default" w:ascii="Times New Roman" w:hAnsi="Times New Roman" w:eastAsia="宋体" w:cs="Times New Roman"/>
                <w:color w:val="auto"/>
                <w:spacing w:val="0"/>
                <w:position w:val="0"/>
                <w:highlight w:val="none"/>
              </w:rPr>
              <w:t>根据《关于核技术利用辐射安全与防护培训和考核有关事项的公告》（生态环境部 公告2019年第57号）和《关于进一步优化辐射安全考核的公告》（生态环境部公告2021年第9号），</w:t>
            </w:r>
            <w:r>
              <w:rPr>
                <w:rFonts w:hint="default" w:ascii="Times New Roman" w:hAnsi="Times New Roman" w:eastAsia="宋体" w:cs="Times New Roman"/>
                <w:color w:val="auto"/>
                <w:spacing w:val="0"/>
                <w:position w:val="0"/>
                <w:highlight w:val="none"/>
                <w:lang w:val="en-US" w:eastAsia="zh-CN"/>
              </w:rPr>
              <w:t>根据已收集资料，目前肝胆科、介入科、心内科的辐射工作人员均已完成了辐射安全与防护的培训，取得了培训证书，后续如果本项目人员变更、增加辐射工作人员，医院应组织操作Ⅱ类射线装置的辐射工作人员参加云南省生态环境部门组织的辐射安全与防护的培训，通过国家培训平台考试取得的电子版考核成绩报告单，并定期对辐射工作人员组织培训，培训内容应涵盖辐射安全法律法规、辐射基础知识、辐射安全与防护措施、辐射事故应急响应等方面，并与其从事的辐射活动风险水平相适应，在本项目投入运行前确保本项目的辐射工作人员均通过云南省生态环境部门组织的辐射安全与防护的培训，本项目辐射工作人员需做到持证上岗，在辐射安全与防护的培训证书有效期满前，辐射工作人员应再次进行辐射安全与防护的培训考核，考核合格方可继续从事辐射活动。</w:t>
            </w:r>
          </w:p>
          <w:p w14:paraId="461ECAE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 2 \* GB3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rPr>
              <w:t>②</w:t>
            </w:r>
            <w:r>
              <w:rPr>
                <w:rFonts w:hint="default" w:ascii="Times New Roman" w:hAnsi="Times New Roman" w:eastAsia="宋体" w:cs="Times New Roman"/>
                <w:color w:val="auto"/>
                <w:spacing w:val="0"/>
                <w:position w:val="0"/>
              </w:rPr>
              <w:fldChar w:fldCharType="end"/>
            </w:r>
            <w:r>
              <w:rPr>
                <w:rFonts w:hint="default" w:ascii="Times New Roman" w:hAnsi="Times New Roman" w:eastAsia="宋体" w:cs="Times New Roman"/>
                <w:color w:val="auto"/>
                <w:spacing w:val="0"/>
                <w:position w:val="0"/>
              </w:rPr>
              <w:t>工作制度</w:t>
            </w:r>
          </w:p>
          <w:p w14:paraId="22D3B30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w:t>
            </w:r>
            <w:r>
              <w:rPr>
                <w:rFonts w:hint="default" w:ascii="Times New Roman" w:hAnsi="Times New Roman" w:eastAsia="宋体" w:cs="Times New Roman"/>
                <w:color w:val="auto"/>
                <w:spacing w:val="0"/>
                <w:position w:val="0"/>
                <w:sz w:val="24"/>
              </w:rPr>
              <w:t>实行8小时单班工作制度，</w:t>
            </w:r>
            <w:r>
              <w:rPr>
                <w:rFonts w:hint="default" w:ascii="Times New Roman" w:hAnsi="Times New Roman" w:eastAsia="宋体" w:cs="Times New Roman"/>
                <w:color w:val="auto"/>
                <w:spacing w:val="0"/>
                <w:position w:val="0"/>
                <w:sz w:val="24"/>
                <w:highlight w:val="none"/>
              </w:rPr>
              <w:t>年工作日</w:t>
            </w:r>
            <w:r>
              <w:rPr>
                <w:rFonts w:hint="default" w:ascii="Times New Roman" w:hAnsi="Times New Roman" w:eastAsia="宋体" w:cs="Times New Roman"/>
                <w:color w:val="auto"/>
                <w:spacing w:val="0"/>
                <w:position w:val="0"/>
                <w:sz w:val="24"/>
                <w:highlight w:val="none"/>
                <w:lang w:val="en-US" w:eastAsia="zh-CN"/>
              </w:rPr>
              <w:t>250</w:t>
            </w:r>
            <w:r>
              <w:rPr>
                <w:rFonts w:hint="default" w:ascii="Times New Roman" w:hAnsi="Times New Roman" w:eastAsia="宋体" w:cs="Times New Roman"/>
                <w:color w:val="auto"/>
                <w:spacing w:val="0"/>
                <w:position w:val="0"/>
                <w:sz w:val="24"/>
                <w:highlight w:val="none"/>
              </w:rPr>
              <w:t>天</w:t>
            </w:r>
            <w:r>
              <w:rPr>
                <w:rFonts w:hint="default" w:ascii="Times New Roman" w:hAnsi="Times New Roman" w:eastAsia="宋体" w:cs="Times New Roman"/>
                <w:color w:val="auto"/>
                <w:spacing w:val="0"/>
                <w:position w:val="0"/>
              </w:rPr>
              <w:t>。</w:t>
            </w:r>
          </w:p>
          <w:p w14:paraId="41EA1327">
            <w:pPr>
              <w:keepNext w:val="0"/>
              <w:keepLines w:val="0"/>
              <w:numPr>
                <w:ilvl w:val="0"/>
                <w:numId w:val="2"/>
              </w:numPr>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本项目DSA使用情况</w:t>
            </w:r>
          </w:p>
          <w:p w14:paraId="31DB9C4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2" w:firstLineChars="200"/>
              <w:textAlignment w:val="auto"/>
              <w:rPr>
                <w:rFonts w:hint="default" w:ascii="Times New Roman" w:hAnsi="Times New Roman" w:eastAsia="宋体" w:cs="Times New Roman"/>
                <w:b/>
                <w:bCs/>
                <w:color w:val="auto"/>
                <w:spacing w:val="0"/>
                <w:position w:val="0"/>
                <w:highlight w:val="none"/>
                <w:lang w:val="en-US" w:eastAsia="zh-CN"/>
              </w:rPr>
            </w:pPr>
            <w:r>
              <w:rPr>
                <w:rFonts w:hint="default" w:ascii="Times New Roman" w:hAnsi="Times New Roman" w:eastAsia="宋体" w:cs="Times New Roman"/>
                <w:b/>
                <w:bCs/>
                <w:color w:val="auto"/>
                <w:spacing w:val="0"/>
                <w:position w:val="0"/>
                <w:highlight w:val="none"/>
                <w:lang w:val="en-US" w:eastAsia="zh-CN"/>
              </w:rPr>
              <w:t>①DSA工作量及工况</w:t>
            </w:r>
          </w:p>
          <w:p w14:paraId="73D5487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DSA投入运行后，</w:t>
            </w:r>
            <w:r>
              <w:rPr>
                <w:rFonts w:hint="default" w:ascii="Times New Roman" w:hAnsi="Times New Roman" w:eastAsia="宋体" w:cs="Times New Roman"/>
                <w:color w:val="auto"/>
                <w:spacing w:val="0"/>
                <w:position w:val="0"/>
                <w:lang w:val="en-US" w:eastAsia="zh-CN"/>
              </w:rPr>
              <w:t>肝胆科计划年开展介入手术共约300台，介入科计划年开展介入手术共约800台，心内科计划年开展介入手术共约500台。本项目所有辐射工作人员，按各科室手术计划实行轮班排班制度，</w:t>
            </w:r>
            <w:r>
              <w:rPr>
                <w:rFonts w:hint="default" w:ascii="Times New Roman" w:hAnsi="Times New Roman" w:eastAsia="宋体" w:cs="Times New Roman"/>
                <w:color w:val="auto"/>
                <w:spacing w:val="0"/>
                <w:position w:val="0"/>
              </w:rPr>
              <w:t>本项目DSA使用情况分别见表1-</w:t>
            </w:r>
            <w:r>
              <w:rPr>
                <w:rFonts w:hint="default" w:ascii="Times New Roman" w:hAnsi="Times New Roman" w:eastAsia="宋体" w:cs="Times New Roman"/>
                <w:color w:val="auto"/>
                <w:spacing w:val="0"/>
                <w:position w:val="0"/>
                <w:lang w:val="en-US" w:eastAsia="zh-CN"/>
              </w:rPr>
              <w:t>5</w:t>
            </w:r>
            <w:r>
              <w:rPr>
                <w:rFonts w:hint="default" w:ascii="Times New Roman" w:hAnsi="Times New Roman" w:eastAsia="宋体" w:cs="Times New Roman"/>
                <w:color w:val="auto"/>
                <w:spacing w:val="0"/>
                <w:position w:val="0"/>
              </w:rPr>
              <w:t>和表1-</w:t>
            </w:r>
            <w:r>
              <w:rPr>
                <w:rFonts w:hint="default" w:ascii="Times New Roman" w:hAnsi="Times New Roman" w:eastAsia="宋体" w:cs="Times New Roman"/>
                <w:color w:val="auto"/>
                <w:spacing w:val="0"/>
                <w:position w:val="0"/>
                <w:lang w:val="en-US" w:eastAsia="zh-CN"/>
              </w:rPr>
              <w:t>6</w:t>
            </w:r>
            <w:r>
              <w:rPr>
                <w:rFonts w:hint="default" w:ascii="Times New Roman" w:hAnsi="Times New Roman" w:eastAsia="宋体" w:cs="Times New Roman"/>
                <w:color w:val="auto"/>
                <w:spacing w:val="0"/>
                <w:position w:val="0"/>
              </w:rPr>
              <w:t>。</w:t>
            </w:r>
          </w:p>
          <w:p w14:paraId="6CA0AB60">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bookmarkStart w:id="5" w:name="_Toc8258"/>
            <w:bookmarkStart w:id="6" w:name="_Toc5640"/>
            <w:r>
              <w:rPr>
                <w:rFonts w:hint="default" w:ascii="Times New Roman" w:hAnsi="Times New Roman" w:eastAsia="宋体" w:cs="Times New Roman"/>
                <w:color w:val="auto"/>
                <w:spacing w:val="0"/>
                <w:position w:val="0"/>
                <w:sz w:val="21"/>
                <w:szCs w:val="21"/>
              </w:rPr>
              <w:t>表1-</w:t>
            </w:r>
            <w:r>
              <w:rPr>
                <w:rFonts w:hint="default" w:ascii="Times New Roman" w:hAnsi="Times New Roman" w:eastAsia="宋体" w:cs="Times New Roman"/>
                <w:color w:val="auto"/>
                <w:spacing w:val="0"/>
                <w:position w:val="0"/>
                <w:sz w:val="21"/>
                <w:szCs w:val="21"/>
                <w:lang w:val="en-US" w:eastAsia="zh-CN"/>
              </w:rPr>
              <w:t>5</w:t>
            </w:r>
            <w:r>
              <w:rPr>
                <w:rFonts w:hint="default" w:ascii="Times New Roman" w:hAnsi="Times New Roman" w:eastAsia="宋体" w:cs="Times New Roman"/>
                <w:color w:val="auto"/>
                <w:spacing w:val="0"/>
                <w:position w:val="0"/>
                <w:sz w:val="21"/>
                <w:szCs w:val="21"/>
              </w:rPr>
              <w:t>本项目DSA实际工作量一览表</w:t>
            </w:r>
            <w:bookmarkEnd w:id="5"/>
            <w:bookmarkEnd w:id="6"/>
          </w:p>
          <w:tbl>
            <w:tblPr>
              <w:tblStyle w:val="20"/>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288"/>
              <w:gridCol w:w="1536"/>
              <w:gridCol w:w="1559"/>
              <w:gridCol w:w="1326"/>
              <w:gridCol w:w="875"/>
              <w:gridCol w:w="863"/>
            </w:tblGrid>
            <w:tr w14:paraId="2438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dxa"/>
                  <w:vMerge w:val="restart"/>
                  <w:tcBorders>
                    <w:top w:val="single" w:color="auto" w:sz="4" w:space="0"/>
                    <w:left w:val="single" w:color="auto" w:sz="4" w:space="0"/>
                    <w:bottom w:val="single" w:color="auto" w:sz="4" w:space="0"/>
                    <w:right w:val="single" w:color="auto" w:sz="4" w:space="0"/>
                  </w:tcBorders>
                  <w:noWrap w:val="0"/>
                  <w:vAlign w:val="center"/>
                </w:tcPr>
                <w:p w14:paraId="72FA319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使用科室</w:t>
                  </w:r>
                </w:p>
              </w:tc>
              <w:tc>
                <w:tcPr>
                  <w:tcW w:w="1288" w:type="dxa"/>
                  <w:vMerge w:val="restart"/>
                  <w:tcBorders>
                    <w:top w:val="single" w:color="auto" w:sz="4" w:space="0"/>
                    <w:left w:val="single" w:color="auto" w:sz="4" w:space="0"/>
                    <w:bottom w:val="single" w:color="auto" w:sz="4" w:space="0"/>
                    <w:right w:val="single" w:color="auto" w:sz="4" w:space="0"/>
                  </w:tcBorders>
                  <w:noWrap w:val="0"/>
                  <w:vAlign w:val="center"/>
                </w:tcPr>
                <w:p w14:paraId="044C0EB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平均单台手术时间</w:t>
                  </w:r>
                </w:p>
              </w:tc>
              <w:tc>
                <w:tcPr>
                  <w:tcW w:w="3095" w:type="dxa"/>
                  <w:gridSpan w:val="2"/>
                  <w:tcBorders>
                    <w:top w:val="single" w:color="auto" w:sz="4" w:space="0"/>
                    <w:left w:val="single" w:color="auto" w:sz="4" w:space="0"/>
                    <w:bottom w:val="single" w:color="auto" w:sz="4" w:space="0"/>
                    <w:right w:val="single" w:color="auto" w:sz="4" w:space="0"/>
                  </w:tcBorders>
                  <w:noWrap w:val="0"/>
                  <w:vAlign w:val="center"/>
                </w:tcPr>
                <w:p w14:paraId="791FF6B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lang w:val="en-US" w:eastAsia="zh-CN"/>
                    </w:rPr>
                    <w:t>每台手术最长累计曝光时间</w:t>
                  </w:r>
                </w:p>
              </w:tc>
              <w:tc>
                <w:tcPr>
                  <w:tcW w:w="1326" w:type="dxa"/>
                  <w:vMerge w:val="restart"/>
                  <w:tcBorders>
                    <w:top w:val="single" w:color="auto" w:sz="4" w:space="0"/>
                    <w:left w:val="single" w:color="auto" w:sz="4" w:space="0"/>
                    <w:right w:val="single" w:color="auto" w:sz="4" w:space="0"/>
                  </w:tcBorders>
                  <w:noWrap w:val="0"/>
                  <w:vAlign w:val="center"/>
                </w:tcPr>
                <w:p w14:paraId="6064F8C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DSA介入室年手术台数</w:t>
                  </w:r>
                </w:p>
              </w:tc>
              <w:tc>
                <w:tcPr>
                  <w:tcW w:w="1738" w:type="dxa"/>
                  <w:gridSpan w:val="2"/>
                  <w:tcBorders>
                    <w:top w:val="single" w:color="auto" w:sz="4" w:space="0"/>
                    <w:left w:val="single" w:color="auto" w:sz="4" w:space="0"/>
                    <w:bottom w:val="nil"/>
                    <w:right w:val="single" w:color="auto" w:sz="4" w:space="0"/>
                  </w:tcBorders>
                  <w:noWrap w:val="0"/>
                  <w:vAlign w:val="center"/>
                </w:tcPr>
                <w:p w14:paraId="1A7C7AE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年出束时间</w:t>
                  </w:r>
                </w:p>
              </w:tc>
            </w:tr>
            <w:tr w14:paraId="3F08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dxa"/>
                  <w:vMerge w:val="continue"/>
                  <w:tcBorders>
                    <w:top w:val="single" w:color="auto" w:sz="4" w:space="0"/>
                    <w:left w:val="single" w:color="auto" w:sz="4" w:space="0"/>
                    <w:bottom w:val="single" w:color="auto" w:sz="4" w:space="0"/>
                    <w:right w:val="single" w:color="auto" w:sz="4" w:space="0"/>
                  </w:tcBorders>
                  <w:noWrap w:val="0"/>
                  <w:vAlign w:val="center"/>
                </w:tcPr>
                <w:p w14:paraId="78DCB45D">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p>
              </w:tc>
              <w:tc>
                <w:tcPr>
                  <w:tcW w:w="1288" w:type="dxa"/>
                  <w:vMerge w:val="continue"/>
                  <w:tcBorders>
                    <w:top w:val="single" w:color="auto" w:sz="4" w:space="0"/>
                    <w:left w:val="single" w:color="auto" w:sz="4" w:space="0"/>
                    <w:bottom w:val="single" w:color="auto" w:sz="4" w:space="0"/>
                    <w:right w:val="single" w:color="auto" w:sz="4" w:space="0"/>
                  </w:tcBorders>
                  <w:noWrap w:val="0"/>
                  <w:vAlign w:val="center"/>
                </w:tcPr>
                <w:p w14:paraId="6E4042F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p>
              </w:tc>
              <w:tc>
                <w:tcPr>
                  <w:tcW w:w="1536" w:type="dxa"/>
                  <w:tcBorders>
                    <w:top w:val="single" w:color="auto" w:sz="4" w:space="0"/>
                    <w:left w:val="single" w:color="auto" w:sz="4" w:space="0"/>
                    <w:bottom w:val="single" w:color="auto" w:sz="4" w:space="0"/>
                    <w:right w:val="single" w:color="auto" w:sz="4" w:space="0"/>
                  </w:tcBorders>
                  <w:noWrap w:val="0"/>
                  <w:vAlign w:val="center"/>
                </w:tcPr>
                <w:p w14:paraId="64B2562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减影</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0D135B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透视</w:t>
                  </w:r>
                </w:p>
              </w:tc>
              <w:tc>
                <w:tcPr>
                  <w:tcW w:w="1326" w:type="dxa"/>
                  <w:vMerge w:val="continue"/>
                  <w:tcBorders>
                    <w:left w:val="single" w:color="auto" w:sz="4" w:space="0"/>
                    <w:bottom w:val="single" w:color="auto" w:sz="4" w:space="0"/>
                    <w:right w:val="single" w:color="auto" w:sz="4" w:space="0"/>
                  </w:tcBorders>
                  <w:noWrap w:val="0"/>
                  <w:vAlign w:val="center"/>
                </w:tcPr>
                <w:p w14:paraId="0E2A82E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p>
              </w:tc>
              <w:tc>
                <w:tcPr>
                  <w:tcW w:w="875" w:type="dxa"/>
                  <w:tcBorders>
                    <w:top w:val="single" w:color="auto" w:sz="4" w:space="0"/>
                    <w:left w:val="single" w:color="auto" w:sz="4" w:space="0"/>
                    <w:bottom w:val="single" w:color="auto" w:sz="4" w:space="0"/>
                    <w:right w:val="single" w:color="auto" w:sz="4" w:space="0"/>
                  </w:tcBorders>
                  <w:noWrap w:val="0"/>
                  <w:vAlign w:val="center"/>
                </w:tcPr>
                <w:p w14:paraId="11F61F4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减影</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6527F2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position w:val="0"/>
                      <w:szCs w:val="21"/>
                    </w:rPr>
                  </w:pPr>
                  <w:r>
                    <w:rPr>
                      <w:rFonts w:hint="default" w:ascii="Times New Roman" w:hAnsi="Times New Roman" w:eastAsia="宋体" w:cs="Times New Roman"/>
                      <w:b w:val="0"/>
                      <w:bCs w:val="0"/>
                      <w:color w:val="auto"/>
                      <w:spacing w:val="0"/>
                      <w:position w:val="0"/>
                      <w:szCs w:val="21"/>
                    </w:rPr>
                    <w:t>透视</w:t>
                  </w:r>
                </w:p>
              </w:tc>
            </w:tr>
            <w:tr w14:paraId="20EF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dxa"/>
                  <w:tcBorders>
                    <w:top w:val="single" w:color="auto" w:sz="4" w:space="0"/>
                    <w:left w:val="single" w:color="auto" w:sz="4" w:space="0"/>
                    <w:bottom w:val="single" w:color="auto" w:sz="4" w:space="0"/>
                    <w:right w:val="single" w:color="auto" w:sz="4" w:space="0"/>
                  </w:tcBorders>
                  <w:noWrap w:val="0"/>
                  <w:vAlign w:val="center"/>
                </w:tcPr>
                <w:p w14:paraId="1E2EEDB0">
                  <w:pPr>
                    <w:pStyle w:val="16"/>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rPr>
                    <w:t>肝胆科</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06BDDBA9">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2h</w:t>
                  </w:r>
                </w:p>
              </w:tc>
              <w:tc>
                <w:tcPr>
                  <w:tcW w:w="1536" w:type="dxa"/>
                  <w:tcBorders>
                    <w:top w:val="single" w:color="auto" w:sz="4" w:space="0"/>
                    <w:left w:val="single" w:color="auto" w:sz="4" w:space="0"/>
                    <w:bottom w:val="single" w:color="auto" w:sz="4" w:space="0"/>
                    <w:right w:val="single" w:color="auto" w:sz="4" w:space="0"/>
                  </w:tcBorders>
                  <w:noWrap w:val="0"/>
                  <w:vAlign w:val="center"/>
                </w:tcPr>
                <w:p w14:paraId="3B6E10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position w:val="0"/>
                      <w:sz w:val="21"/>
                      <w:szCs w:val="24"/>
                      <w:lang w:val="en-US" w:eastAsia="zh-CN"/>
                    </w:rPr>
                    <w:t>1min</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30E97A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position w:val="0"/>
                      <w:sz w:val="21"/>
                      <w:szCs w:val="24"/>
                      <w:lang w:val="en-US" w:eastAsia="zh-CN"/>
                    </w:rPr>
                    <w:t>15min</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9D25049">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lang w:val="en-US" w:eastAsia="zh-CN"/>
                    </w:rPr>
                    <w:t>300</w:t>
                  </w:r>
                  <w:r>
                    <w:rPr>
                      <w:rFonts w:hint="default" w:ascii="Times New Roman" w:hAnsi="Times New Roman" w:eastAsia="宋体" w:cs="Times New Roman"/>
                      <w:color w:val="auto"/>
                      <w:spacing w:val="0"/>
                      <w:kern w:val="2"/>
                      <w:position w:val="0"/>
                      <w:sz w:val="21"/>
                      <w:szCs w:val="21"/>
                    </w:rPr>
                    <w:t>台</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0B23EF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position w:val="0"/>
                      <w:sz w:val="21"/>
                      <w:szCs w:val="24"/>
                      <w:lang w:val="en-US" w:eastAsia="zh-CN"/>
                    </w:rPr>
                    <w:t>5h</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858F87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position w:val="0"/>
                      <w:sz w:val="21"/>
                      <w:szCs w:val="24"/>
                      <w:lang w:val="en-US" w:eastAsia="zh-CN"/>
                    </w:rPr>
                    <w:t>75h</w:t>
                  </w:r>
                </w:p>
              </w:tc>
            </w:tr>
            <w:tr w14:paraId="6E83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dxa"/>
                  <w:tcBorders>
                    <w:top w:val="single" w:color="auto" w:sz="4" w:space="0"/>
                    <w:left w:val="single" w:color="auto" w:sz="4" w:space="0"/>
                    <w:bottom w:val="single" w:color="auto" w:sz="4" w:space="0"/>
                    <w:right w:val="single" w:color="auto" w:sz="4" w:space="0"/>
                  </w:tcBorders>
                  <w:noWrap w:val="0"/>
                  <w:vAlign w:val="center"/>
                </w:tcPr>
                <w:p w14:paraId="30BBBD5B">
                  <w:pPr>
                    <w:pStyle w:val="16"/>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lang w:val="en-US" w:eastAsia="zh-CN" w:bidi="ar-SA"/>
                    </w:rPr>
                  </w:pPr>
                  <w:bookmarkStart w:id="7" w:name="_Toc29207"/>
                  <w:bookmarkStart w:id="8" w:name="_Toc11063"/>
                  <w:r>
                    <w:rPr>
                      <w:rFonts w:hint="default" w:ascii="Times New Roman" w:hAnsi="Times New Roman" w:eastAsia="宋体" w:cs="Times New Roman"/>
                      <w:color w:val="auto"/>
                      <w:spacing w:val="0"/>
                      <w:kern w:val="2"/>
                      <w:position w:val="0"/>
                      <w:sz w:val="21"/>
                      <w:szCs w:val="21"/>
                      <w:lang w:val="en-US" w:eastAsia="zh-CN"/>
                    </w:rPr>
                    <w:t>介入科</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4AC06149">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2h</w:t>
                  </w:r>
                </w:p>
              </w:tc>
              <w:tc>
                <w:tcPr>
                  <w:tcW w:w="1536" w:type="dxa"/>
                  <w:tcBorders>
                    <w:top w:val="single" w:color="auto" w:sz="4" w:space="0"/>
                    <w:left w:val="single" w:color="auto" w:sz="4" w:space="0"/>
                    <w:bottom w:val="single" w:color="auto" w:sz="4" w:space="0"/>
                    <w:right w:val="single" w:color="auto" w:sz="4" w:space="0"/>
                  </w:tcBorders>
                  <w:noWrap w:val="0"/>
                  <w:vAlign w:val="center"/>
                </w:tcPr>
                <w:p w14:paraId="68D13AD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1min</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F7EBD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15min</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5BB02C7">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800台</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41BADE4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13.33h</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0BE07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200h</w:t>
                  </w:r>
                </w:p>
              </w:tc>
            </w:tr>
            <w:tr w14:paraId="41D0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dxa"/>
                  <w:tcBorders>
                    <w:top w:val="single" w:color="auto" w:sz="4" w:space="0"/>
                    <w:left w:val="single" w:color="auto" w:sz="4" w:space="0"/>
                    <w:bottom w:val="single" w:color="auto" w:sz="4" w:space="0"/>
                    <w:right w:val="single" w:color="auto" w:sz="4" w:space="0"/>
                  </w:tcBorders>
                  <w:noWrap w:val="0"/>
                  <w:vAlign w:val="center"/>
                </w:tcPr>
                <w:p w14:paraId="53A0F265">
                  <w:pPr>
                    <w:pStyle w:val="16"/>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rPr>
                    <w:t>心内</w:t>
                  </w:r>
                  <w:r>
                    <w:rPr>
                      <w:rFonts w:hint="default" w:ascii="Times New Roman" w:hAnsi="Times New Roman" w:eastAsia="宋体" w:cs="Times New Roman"/>
                      <w:color w:val="auto"/>
                      <w:spacing w:val="0"/>
                      <w:kern w:val="2"/>
                      <w:position w:val="0"/>
                      <w:sz w:val="21"/>
                      <w:szCs w:val="21"/>
                      <w:lang w:eastAsia="zh-CN"/>
                    </w:rPr>
                    <w:t>科</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6917EDB0">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2h</w:t>
                  </w:r>
                </w:p>
              </w:tc>
              <w:tc>
                <w:tcPr>
                  <w:tcW w:w="1536" w:type="dxa"/>
                  <w:tcBorders>
                    <w:top w:val="single" w:color="auto" w:sz="4" w:space="0"/>
                    <w:left w:val="single" w:color="auto" w:sz="4" w:space="0"/>
                    <w:bottom w:val="single" w:color="auto" w:sz="4" w:space="0"/>
                    <w:right w:val="single" w:color="auto" w:sz="4" w:space="0"/>
                  </w:tcBorders>
                  <w:noWrap w:val="0"/>
                  <w:vAlign w:val="center"/>
                </w:tcPr>
                <w:p w14:paraId="340015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1min</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C07370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15min</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00F666CA">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500台</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3F1B53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8.33h</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1120DF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125h</w:t>
                  </w:r>
                </w:p>
              </w:tc>
            </w:tr>
            <w:tr w14:paraId="20F8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1" w:type="dxa"/>
                  <w:gridSpan w:val="4"/>
                  <w:tcBorders>
                    <w:top w:val="single" w:color="auto" w:sz="4" w:space="0"/>
                    <w:left w:val="single" w:color="auto" w:sz="4" w:space="0"/>
                    <w:bottom w:val="single" w:color="auto" w:sz="4" w:space="0"/>
                    <w:right w:val="single" w:color="auto" w:sz="4" w:space="0"/>
                  </w:tcBorders>
                  <w:noWrap w:val="0"/>
                  <w:vAlign w:val="center"/>
                </w:tcPr>
                <w:p w14:paraId="77414EC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合计</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8D60159">
                  <w:pPr>
                    <w:pStyle w:val="16"/>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lang w:val="en-US" w:eastAsia="zh-CN"/>
                    </w:rPr>
                  </w:pPr>
                  <w:r>
                    <w:rPr>
                      <w:rFonts w:hint="default" w:ascii="Times New Roman" w:hAnsi="Times New Roman" w:eastAsia="宋体" w:cs="Times New Roman"/>
                      <w:color w:val="auto"/>
                      <w:spacing w:val="0"/>
                      <w:kern w:val="2"/>
                      <w:position w:val="0"/>
                      <w:sz w:val="21"/>
                      <w:szCs w:val="21"/>
                      <w:lang w:val="en-US" w:eastAsia="zh-CN"/>
                    </w:rPr>
                    <w:t>1600台</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6D5A9B5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26.66h</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AC1A3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400h</w:t>
                  </w:r>
                </w:p>
              </w:tc>
            </w:tr>
          </w:tbl>
          <w:p w14:paraId="16433B5B">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表1-</w:t>
            </w:r>
            <w:r>
              <w:rPr>
                <w:rFonts w:hint="default" w:ascii="Times New Roman" w:hAnsi="Times New Roman" w:eastAsia="宋体" w:cs="Times New Roman"/>
                <w:color w:val="auto"/>
                <w:spacing w:val="0"/>
                <w:position w:val="0"/>
                <w:sz w:val="21"/>
                <w:szCs w:val="21"/>
                <w:lang w:val="en-US" w:eastAsia="zh-CN"/>
              </w:rPr>
              <w:t>6</w:t>
            </w:r>
            <w:r>
              <w:rPr>
                <w:rFonts w:hint="default" w:ascii="Times New Roman" w:hAnsi="Times New Roman" w:eastAsia="宋体" w:cs="Times New Roman"/>
                <w:color w:val="auto"/>
                <w:spacing w:val="0"/>
                <w:position w:val="0"/>
                <w:sz w:val="21"/>
                <w:szCs w:val="21"/>
              </w:rPr>
              <w:t>本项目DSA实际运行工况一览表</w:t>
            </w:r>
            <w:bookmarkEnd w:id="7"/>
            <w:bookmarkEnd w:id="8"/>
          </w:p>
          <w:tbl>
            <w:tblPr>
              <w:tblStyle w:val="21"/>
              <w:tblW w:w="8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2"/>
              <w:gridCol w:w="1841"/>
              <w:gridCol w:w="1459"/>
              <w:gridCol w:w="1607"/>
              <w:gridCol w:w="1644"/>
            </w:tblGrid>
            <w:tr w14:paraId="0EE7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2" w:type="dxa"/>
                  <w:vMerge w:val="restart"/>
                  <w:noWrap w:val="0"/>
                  <w:vAlign w:val="center"/>
                </w:tcPr>
                <w:p w14:paraId="251F0D5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设备型号</w:t>
                  </w:r>
                </w:p>
              </w:tc>
              <w:tc>
                <w:tcPr>
                  <w:tcW w:w="3300" w:type="dxa"/>
                  <w:gridSpan w:val="2"/>
                  <w:noWrap w:val="0"/>
                  <w:vAlign w:val="center"/>
                </w:tcPr>
                <w:p w14:paraId="6D1FC8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减影</w:t>
                  </w:r>
                </w:p>
              </w:tc>
              <w:tc>
                <w:tcPr>
                  <w:tcW w:w="3251" w:type="dxa"/>
                  <w:gridSpan w:val="2"/>
                  <w:noWrap w:val="0"/>
                  <w:vAlign w:val="center"/>
                </w:tcPr>
                <w:p w14:paraId="1FB139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透视</w:t>
                  </w:r>
                </w:p>
              </w:tc>
            </w:tr>
            <w:tr w14:paraId="1722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2" w:type="dxa"/>
                  <w:vMerge w:val="continue"/>
                  <w:noWrap w:val="0"/>
                  <w:vAlign w:val="center"/>
                </w:tcPr>
                <w:p w14:paraId="00AB91F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p>
              </w:tc>
              <w:tc>
                <w:tcPr>
                  <w:tcW w:w="1841" w:type="dxa"/>
                  <w:noWrap w:val="0"/>
                  <w:vAlign w:val="center"/>
                </w:tcPr>
                <w:p w14:paraId="005902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实际运行时管电压（kV）</w:t>
                  </w:r>
                </w:p>
              </w:tc>
              <w:tc>
                <w:tcPr>
                  <w:tcW w:w="1459" w:type="dxa"/>
                  <w:noWrap w:val="0"/>
                  <w:vAlign w:val="center"/>
                </w:tcPr>
                <w:p w14:paraId="4077D9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实际运行时管电流（mA）</w:t>
                  </w:r>
                </w:p>
              </w:tc>
              <w:tc>
                <w:tcPr>
                  <w:tcW w:w="1607" w:type="dxa"/>
                  <w:noWrap w:val="0"/>
                  <w:vAlign w:val="center"/>
                </w:tcPr>
                <w:p w14:paraId="793CF4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实际运行时管电压（kV）</w:t>
                  </w:r>
                </w:p>
              </w:tc>
              <w:tc>
                <w:tcPr>
                  <w:tcW w:w="1644" w:type="dxa"/>
                  <w:noWrap w:val="0"/>
                  <w:vAlign w:val="center"/>
                </w:tcPr>
                <w:p w14:paraId="2CCE3C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实际运行时管电流（mA）</w:t>
                  </w:r>
                </w:p>
              </w:tc>
            </w:tr>
            <w:tr w14:paraId="02A0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2" w:type="dxa"/>
                  <w:noWrap w:val="0"/>
                  <w:vAlign w:val="center"/>
                </w:tcPr>
                <w:p w14:paraId="4DBCB99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ARTIS pheno Master型</w:t>
                  </w:r>
                </w:p>
              </w:tc>
              <w:tc>
                <w:tcPr>
                  <w:tcW w:w="1841" w:type="dxa"/>
                  <w:noWrap w:val="0"/>
                  <w:vAlign w:val="center"/>
                </w:tcPr>
                <w:p w14:paraId="5E1D62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60~95</w:t>
                  </w:r>
                </w:p>
              </w:tc>
              <w:tc>
                <w:tcPr>
                  <w:tcW w:w="1459" w:type="dxa"/>
                  <w:noWrap w:val="0"/>
                  <w:vAlign w:val="center"/>
                </w:tcPr>
                <w:p w14:paraId="0286305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200~650</w:t>
                  </w:r>
                </w:p>
              </w:tc>
              <w:tc>
                <w:tcPr>
                  <w:tcW w:w="1607" w:type="dxa"/>
                  <w:noWrap w:val="0"/>
                  <w:vAlign w:val="center"/>
                </w:tcPr>
                <w:p w14:paraId="234A0A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60~75</w:t>
                  </w:r>
                </w:p>
              </w:tc>
              <w:tc>
                <w:tcPr>
                  <w:tcW w:w="1644" w:type="dxa"/>
                  <w:noWrap w:val="0"/>
                  <w:vAlign w:val="center"/>
                </w:tcPr>
                <w:p w14:paraId="468BF6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4"/>
                      <w:lang w:val="en-US" w:eastAsia="zh-CN"/>
                    </w:rPr>
                  </w:pPr>
                  <w:r>
                    <w:rPr>
                      <w:rFonts w:hint="default" w:ascii="Times New Roman" w:hAnsi="Times New Roman" w:eastAsia="宋体" w:cs="Times New Roman"/>
                      <w:color w:val="auto"/>
                      <w:spacing w:val="0"/>
                      <w:position w:val="0"/>
                      <w:sz w:val="21"/>
                      <w:szCs w:val="24"/>
                      <w:lang w:val="en-US" w:eastAsia="zh-CN"/>
                    </w:rPr>
                    <w:t>5~15</w:t>
                  </w:r>
                </w:p>
              </w:tc>
            </w:tr>
          </w:tbl>
          <w:p w14:paraId="07D09D4C">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highlight w:val="none"/>
                <w:lang w:val="en-US" w:eastAsia="zh-CN"/>
              </w:rPr>
            </w:pPr>
            <w:r>
              <w:rPr>
                <w:rFonts w:hint="default" w:ascii="Times New Roman" w:hAnsi="Times New Roman" w:eastAsia="宋体" w:cs="Times New Roman"/>
                <w:b/>
                <w:bCs/>
                <w:color w:val="auto"/>
                <w:spacing w:val="0"/>
                <w:position w:val="0"/>
                <w:highlight w:val="none"/>
                <w:lang w:val="en-US" w:eastAsia="zh-CN"/>
              </w:rPr>
              <w:t>②DSA原辅料使用量</w:t>
            </w:r>
          </w:p>
          <w:p w14:paraId="19AB4C6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pacing w:val="0"/>
                <w:kern w:val="2"/>
                <w:position w:val="0"/>
                <w:sz w:val="24"/>
                <w:szCs w:val="24"/>
                <w:lang w:val="en-US" w:eastAsia="zh-CN" w:bidi="ar-SA"/>
              </w:rPr>
            </w:pPr>
            <w:r>
              <w:rPr>
                <w:rFonts w:hint="default" w:ascii="Times New Roman" w:hAnsi="Times New Roman" w:eastAsia="宋体" w:cs="Times New Roman"/>
                <w:color w:val="auto"/>
                <w:spacing w:val="0"/>
                <w:kern w:val="2"/>
                <w:position w:val="0"/>
                <w:sz w:val="24"/>
                <w:szCs w:val="24"/>
                <w:lang w:val="en-US" w:eastAsia="zh-CN" w:bidi="ar-SA"/>
              </w:rPr>
              <w:t>本项目射线装置采用数字成像，不使用显影液和定影液，相关材料用料见下表。</w:t>
            </w:r>
          </w:p>
          <w:p w14:paraId="3B9D57BF">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表1-</w:t>
            </w:r>
            <w:r>
              <w:rPr>
                <w:rFonts w:hint="default" w:ascii="Times New Roman" w:hAnsi="Times New Roman" w:eastAsia="宋体" w:cs="Times New Roman"/>
                <w:color w:val="auto"/>
                <w:spacing w:val="0"/>
                <w:position w:val="0"/>
                <w:sz w:val="21"/>
                <w:szCs w:val="21"/>
                <w:highlight w:val="none"/>
                <w:lang w:val="en-US" w:eastAsia="zh-CN"/>
              </w:rPr>
              <w:t>7</w:t>
            </w:r>
            <w:r>
              <w:rPr>
                <w:rFonts w:hint="default" w:ascii="Times New Roman" w:hAnsi="Times New Roman" w:eastAsia="宋体" w:cs="Times New Roman"/>
                <w:color w:val="auto"/>
                <w:spacing w:val="0"/>
                <w:position w:val="0"/>
                <w:sz w:val="21"/>
                <w:szCs w:val="21"/>
                <w:highlight w:val="none"/>
              </w:rPr>
              <w:t>本项目DSA</w:t>
            </w:r>
            <w:r>
              <w:rPr>
                <w:rFonts w:hint="default" w:ascii="Times New Roman" w:hAnsi="Times New Roman" w:eastAsia="宋体" w:cs="Times New Roman"/>
                <w:color w:val="auto"/>
                <w:spacing w:val="0"/>
                <w:position w:val="0"/>
                <w:sz w:val="21"/>
                <w:szCs w:val="21"/>
                <w:highlight w:val="none"/>
                <w:lang w:val="en-US" w:eastAsia="zh-CN"/>
              </w:rPr>
              <w:t>原辅料用量</w:t>
            </w:r>
            <w:r>
              <w:rPr>
                <w:rFonts w:hint="default" w:ascii="Times New Roman" w:hAnsi="Times New Roman" w:eastAsia="宋体" w:cs="Times New Roman"/>
                <w:color w:val="auto"/>
                <w:spacing w:val="0"/>
                <w:position w:val="0"/>
                <w:sz w:val="21"/>
                <w:szCs w:val="21"/>
                <w:highlight w:val="none"/>
              </w:rPr>
              <w:t>一览表</w:t>
            </w:r>
          </w:p>
          <w:tbl>
            <w:tblPr>
              <w:tblStyle w:val="2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6"/>
              <w:gridCol w:w="2987"/>
              <w:gridCol w:w="2693"/>
            </w:tblGrid>
            <w:tr w14:paraId="20E1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0" w:type="dxa"/>
                  <w:noWrap w:val="0"/>
                  <w:vAlign w:val="top"/>
                </w:tcPr>
                <w:p w14:paraId="0CC9F7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highlight w:val="none"/>
                      <w:vertAlign w:val="baseline"/>
                      <w:lang w:val="en-US" w:eastAsia="zh-CN"/>
                    </w:rPr>
                  </w:pPr>
                  <w:r>
                    <w:rPr>
                      <w:rFonts w:hint="default" w:ascii="Times New Roman" w:hAnsi="Times New Roman" w:eastAsia="宋体" w:cs="Times New Roman"/>
                      <w:b/>
                      <w:bCs/>
                      <w:color w:val="auto"/>
                      <w:spacing w:val="0"/>
                      <w:position w:val="0"/>
                      <w:sz w:val="21"/>
                      <w:szCs w:val="21"/>
                      <w:highlight w:val="none"/>
                      <w:vertAlign w:val="baseline"/>
                      <w:lang w:val="en-US" w:eastAsia="zh-CN"/>
                    </w:rPr>
                    <w:t>名称</w:t>
                  </w:r>
                </w:p>
              </w:tc>
              <w:tc>
                <w:tcPr>
                  <w:tcW w:w="3070" w:type="dxa"/>
                  <w:noWrap w:val="0"/>
                  <w:vAlign w:val="top"/>
                </w:tcPr>
                <w:p w14:paraId="5AD1C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highlight w:val="none"/>
                      <w:vertAlign w:val="baseline"/>
                      <w:lang w:val="en-US" w:eastAsia="zh-CN"/>
                    </w:rPr>
                  </w:pPr>
                  <w:r>
                    <w:rPr>
                      <w:rFonts w:hint="default" w:ascii="Times New Roman" w:hAnsi="Times New Roman" w:eastAsia="宋体" w:cs="Times New Roman"/>
                      <w:b/>
                      <w:bCs/>
                      <w:color w:val="auto"/>
                      <w:spacing w:val="0"/>
                      <w:position w:val="0"/>
                      <w:sz w:val="21"/>
                      <w:szCs w:val="21"/>
                      <w:highlight w:val="none"/>
                      <w:vertAlign w:val="baseline"/>
                      <w:lang w:val="en-US" w:eastAsia="zh-CN"/>
                    </w:rPr>
                    <w:t>年使用量</w:t>
                  </w:r>
                </w:p>
              </w:tc>
              <w:tc>
                <w:tcPr>
                  <w:tcW w:w="2767" w:type="dxa"/>
                  <w:noWrap w:val="0"/>
                  <w:vAlign w:val="top"/>
                </w:tcPr>
                <w:p w14:paraId="2A7DB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highlight w:val="none"/>
                      <w:vertAlign w:val="baseline"/>
                      <w:lang w:val="en-US" w:eastAsia="zh-CN"/>
                    </w:rPr>
                  </w:pPr>
                  <w:r>
                    <w:rPr>
                      <w:rFonts w:hint="default" w:ascii="Times New Roman" w:hAnsi="Times New Roman" w:eastAsia="宋体" w:cs="Times New Roman"/>
                      <w:b/>
                      <w:bCs/>
                      <w:color w:val="auto"/>
                      <w:spacing w:val="0"/>
                      <w:position w:val="0"/>
                      <w:sz w:val="21"/>
                      <w:szCs w:val="21"/>
                      <w:highlight w:val="none"/>
                      <w:vertAlign w:val="baseline"/>
                      <w:lang w:val="en-US" w:eastAsia="zh-CN"/>
                    </w:rPr>
                    <w:t>备注</w:t>
                  </w:r>
                </w:p>
              </w:tc>
            </w:tr>
            <w:tr w14:paraId="2213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0" w:type="dxa"/>
                  <w:noWrap w:val="0"/>
                  <w:vAlign w:val="top"/>
                </w:tcPr>
                <w:p w14:paraId="280C4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造影剂</w:t>
                  </w:r>
                </w:p>
              </w:tc>
              <w:tc>
                <w:tcPr>
                  <w:tcW w:w="3070" w:type="dxa"/>
                  <w:noWrap w:val="0"/>
                  <w:vAlign w:val="top"/>
                </w:tcPr>
                <w:p w14:paraId="445E8B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1600瓶</w:t>
                  </w:r>
                </w:p>
              </w:tc>
              <w:tc>
                <w:tcPr>
                  <w:tcW w:w="2767" w:type="dxa"/>
                  <w:noWrap w:val="0"/>
                  <w:vAlign w:val="top"/>
                </w:tcPr>
                <w:p w14:paraId="49F658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外购</w:t>
                  </w:r>
                </w:p>
              </w:tc>
            </w:tr>
            <w:tr w14:paraId="1D2E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0" w:type="dxa"/>
                  <w:noWrap w:val="0"/>
                  <w:vAlign w:val="top"/>
                </w:tcPr>
                <w:p w14:paraId="6C9CB4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医用辅料</w:t>
                  </w:r>
                </w:p>
              </w:tc>
              <w:tc>
                <w:tcPr>
                  <w:tcW w:w="3070" w:type="dxa"/>
                  <w:noWrap w:val="0"/>
                  <w:vAlign w:val="top"/>
                </w:tcPr>
                <w:p w14:paraId="0985F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1600套</w:t>
                  </w:r>
                </w:p>
              </w:tc>
              <w:tc>
                <w:tcPr>
                  <w:tcW w:w="2767" w:type="dxa"/>
                  <w:noWrap w:val="0"/>
                  <w:vAlign w:val="top"/>
                </w:tcPr>
                <w:p w14:paraId="03089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外购</w:t>
                  </w:r>
                </w:p>
              </w:tc>
            </w:tr>
            <w:tr w14:paraId="47D6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0" w:type="dxa"/>
                  <w:noWrap w:val="0"/>
                  <w:vAlign w:val="top"/>
                </w:tcPr>
                <w:p w14:paraId="39AE9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医用器具</w:t>
                  </w:r>
                </w:p>
              </w:tc>
              <w:tc>
                <w:tcPr>
                  <w:tcW w:w="3070" w:type="dxa"/>
                  <w:noWrap w:val="0"/>
                  <w:vAlign w:val="top"/>
                </w:tcPr>
                <w:p w14:paraId="78DCD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1600套</w:t>
                  </w:r>
                </w:p>
              </w:tc>
              <w:tc>
                <w:tcPr>
                  <w:tcW w:w="2767" w:type="dxa"/>
                  <w:noWrap w:val="0"/>
                  <w:vAlign w:val="top"/>
                </w:tcPr>
                <w:p w14:paraId="77A076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highlight w:val="none"/>
                      <w:vertAlign w:val="baseline"/>
                      <w:lang w:val="en-US" w:eastAsia="zh-CN"/>
                    </w:rPr>
                  </w:pPr>
                  <w:r>
                    <w:rPr>
                      <w:rFonts w:hint="default" w:ascii="Times New Roman" w:hAnsi="Times New Roman" w:eastAsia="宋体" w:cs="Times New Roman"/>
                      <w:b w:val="0"/>
                      <w:bCs w:val="0"/>
                      <w:color w:val="auto"/>
                      <w:spacing w:val="0"/>
                      <w:position w:val="0"/>
                      <w:sz w:val="21"/>
                      <w:szCs w:val="21"/>
                      <w:highlight w:val="none"/>
                      <w:vertAlign w:val="baseline"/>
                      <w:lang w:val="en-US" w:eastAsia="zh-CN"/>
                    </w:rPr>
                    <w:t>外购</w:t>
                  </w:r>
                </w:p>
              </w:tc>
            </w:tr>
          </w:tbl>
          <w:p w14:paraId="4E379B07">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（5）项目进度</w:t>
            </w:r>
          </w:p>
          <w:p w14:paraId="2708B7F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本项目预计于2026年9月进行施工，2026年12月土建及防护工程竣工完成，2027年1月进行设备安装和调试</w:t>
            </w:r>
            <w:r>
              <w:rPr>
                <w:rFonts w:hint="default" w:ascii="Times New Roman" w:hAnsi="Times New Roman" w:eastAsia="宋体" w:cs="Times New Roman"/>
                <w:color w:val="auto"/>
                <w:spacing w:val="0"/>
                <w:position w:val="0"/>
                <w:highlight w:val="none"/>
              </w:rPr>
              <w:t>。</w:t>
            </w:r>
          </w:p>
          <w:p w14:paraId="7612A323">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二、产业政策符合性分析</w:t>
            </w:r>
          </w:p>
          <w:p w14:paraId="37B52E3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本项目属于《产业结构调整指导目录（2024年本）》中第十三项</w:t>
            </w:r>
            <w:r>
              <w:rPr>
                <w:rFonts w:hint="eastAsia" w:cs="Times New Roman"/>
                <w:color w:val="auto"/>
                <w:spacing w:val="0"/>
                <w:position w:val="0"/>
                <w:lang w:val="en-US" w:eastAsia="zh-CN"/>
              </w:rPr>
              <w:t>-</w:t>
            </w:r>
            <w:r>
              <w:rPr>
                <w:rFonts w:hint="default" w:ascii="Times New Roman" w:hAnsi="Times New Roman" w:eastAsia="宋体" w:cs="Times New Roman"/>
                <w:color w:val="auto"/>
                <w:spacing w:val="0"/>
                <w:position w:val="0"/>
              </w:rPr>
              <w:t>医药</w:t>
            </w:r>
            <w:r>
              <w:rPr>
                <w:rFonts w:hint="eastAsia" w:cs="Times New Roman"/>
                <w:color w:val="auto"/>
                <w:spacing w:val="0"/>
                <w:position w:val="0"/>
                <w:lang w:val="en-US" w:eastAsia="zh-CN"/>
              </w:rPr>
              <w:t>-</w:t>
            </w:r>
            <w:r>
              <w:rPr>
                <w:rFonts w:hint="default" w:ascii="Times New Roman" w:hAnsi="Times New Roman" w:eastAsia="宋体" w:cs="Times New Roman"/>
                <w:color w:val="auto"/>
                <w:spacing w:val="0"/>
                <w:position w:val="0"/>
              </w:rPr>
              <w:t>中第4款</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高端医疗器械创新发展：新型基因、蛋白和细胞诊断设备，新型医用诊断设备和试剂，高性能医学影像设备，高端放射治疗设备，急危重症生命支持设备，人工智能辅助医疗设备，移动与远程诊疗设备，高端康复辅助器具，高端植入介入产品，手术机器人等高端外科设备及耗材，生物医用材料、增材制造技术开发与应用</w:t>
            </w:r>
            <w:r>
              <w:rPr>
                <w:rFonts w:hint="eastAsia" w:cs="Times New Roman"/>
                <w:color w:val="auto"/>
                <w:spacing w:val="0"/>
                <w:position w:val="0"/>
                <w:lang w:eastAsia="zh-CN"/>
              </w:rPr>
              <w:t>”</w:t>
            </w:r>
            <w:r>
              <w:rPr>
                <w:rFonts w:hint="eastAsia" w:cs="Times New Roman"/>
                <w:color w:val="auto"/>
                <w:spacing w:val="0"/>
                <w:position w:val="0"/>
                <w:lang w:val="en-US" w:eastAsia="zh-CN"/>
              </w:rPr>
              <w:t>类别</w:t>
            </w:r>
            <w:r>
              <w:rPr>
                <w:rFonts w:hint="default" w:ascii="Times New Roman" w:hAnsi="Times New Roman" w:eastAsia="宋体" w:cs="Times New Roman"/>
                <w:color w:val="auto"/>
                <w:spacing w:val="0"/>
                <w:position w:val="0"/>
              </w:rPr>
              <w:t>。属于国家鼓励类产业，符合国家产业政策。</w:t>
            </w:r>
          </w:p>
          <w:p w14:paraId="4A5D6145">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三、项目规划符合性分析</w:t>
            </w:r>
          </w:p>
          <w:p w14:paraId="35A4215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本项目位于</w:t>
            </w:r>
            <w:r>
              <w:rPr>
                <w:rFonts w:hint="default" w:ascii="Times New Roman" w:hAnsi="Times New Roman" w:eastAsia="宋体" w:cs="Times New Roman"/>
                <w:color w:val="auto"/>
                <w:spacing w:val="0"/>
                <w:position w:val="0"/>
                <w:lang w:val="en-US" w:eastAsia="zh-CN"/>
              </w:rPr>
              <w:t>曲靖市第二人民医院住院楼5楼</w:t>
            </w:r>
            <w:r>
              <w:rPr>
                <w:rFonts w:hint="default" w:ascii="Times New Roman" w:hAnsi="Times New Roman" w:eastAsia="宋体" w:cs="Times New Roman"/>
                <w:color w:val="auto"/>
                <w:spacing w:val="0"/>
                <w:position w:val="0"/>
              </w:rPr>
              <w:t>，项目用地属于获得批准的</w:t>
            </w:r>
            <w:r>
              <w:rPr>
                <w:rFonts w:hint="default" w:ascii="Times New Roman" w:hAnsi="Times New Roman" w:eastAsia="宋体" w:cs="Times New Roman"/>
                <w:color w:val="auto"/>
                <w:spacing w:val="0"/>
                <w:position w:val="0"/>
                <w:lang w:val="en-US" w:eastAsia="zh-CN"/>
              </w:rPr>
              <w:t>曲靖市第二人民医院医疗用地</w:t>
            </w:r>
            <w:r>
              <w:rPr>
                <w:rFonts w:hint="default" w:ascii="Times New Roman" w:hAnsi="Times New Roman" w:eastAsia="宋体" w:cs="Times New Roman"/>
                <w:color w:val="auto"/>
                <w:spacing w:val="0"/>
                <w:position w:val="0"/>
              </w:rPr>
              <w:t>，不新增用地，</w:t>
            </w:r>
            <w:r>
              <w:rPr>
                <w:rFonts w:hint="default" w:ascii="Times New Roman" w:hAnsi="Times New Roman" w:eastAsia="宋体" w:cs="Times New Roman"/>
                <w:color w:val="auto"/>
                <w:spacing w:val="0"/>
                <w:position w:val="0"/>
                <w:lang w:val="en-US" w:eastAsia="zh-CN"/>
              </w:rPr>
              <w:t>项目范围不占用永久基本农田及生态保护红线，位于城镇开发边界范围内，因此项目符合城市建设发展规划及土地利用总体规划</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根据本项目在云南省生态环境分区管控公共服务查询平台对照分析结果，项目占地及论证范围涉及“ZH53030220005  麒麟区城区生活污染重点管控单元”，不涉及生态保护红线。位置关系见图1-2。</w:t>
            </w:r>
          </w:p>
          <w:p w14:paraId="537F83CE">
            <w:pPr>
              <w:pStyle w:val="35"/>
              <w:keepNext/>
              <w:keepLines/>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drawing>
                <wp:inline distT="0" distB="0" distL="114300" distR="114300">
                  <wp:extent cx="4423410" cy="4356100"/>
                  <wp:effectExtent l="0" t="0" r="15240" b="6350"/>
                  <wp:docPr id="21" name="图片 5" descr="管控单元截图2026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descr="管控单元截图20260731"/>
                          <pic:cNvPicPr>
                            <a:picLocks noChangeAspect="1"/>
                          </pic:cNvPicPr>
                        </pic:nvPicPr>
                        <pic:blipFill>
                          <a:blip r:embed="rId26"/>
                          <a:stretch>
                            <a:fillRect/>
                          </a:stretch>
                        </pic:blipFill>
                        <pic:spPr>
                          <a:xfrm>
                            <a:off x="0" y="0"/>
                            <a:ext cx="4423410" cy="4356100"/>
                          </a:xfrm>
                          <a:prstGeom prst="rect">
                            <a:avLst/>
                          </a:prstGeom>
                          <a:noFill/>
                          <a:ln>
                            <a:noFill/>
                          </a:ln>
                        </pic:spPr>
                      </pic:pic>
                    </a:graphicData>
                  </a:graphic>
                </wp:inline>
              </w:drawing>
            </w:r>
          </w:p>
          <w:p w14:paraId="6EA22A08">
            <w:pPr>
              <w:pStyle w:val="35"/>
              <w:keepNext/>
              <w:keepLines/>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图1-2 机房位置与分区管控查询结果</w:t>
            </w:r>
          </w:p>
          <w:p w14:paraId="61C6F5CC">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kern w:val="0"/>
                <w:position w:val="0"/>
                <w:lang w:val="en-US" w:eastAsia="zh-CN"/>
              </w:rPr>
            </w:pPr>
            <w:r>
              <w:rPr>
                <w:rFonts w:hint="default" w:ascii="Times New Roman" w:hAnsi="Times New Roman" w:eastAsia="宋体" w:cs="Times New Roman"/>
                <w:color w:val="auto"/>
                <w:spacing w:val="0"/>
                <w:kern w:val="0"/>
                <w:position w:val="0"/>
                <w:lang w:val="en-US" w:eastAsia="zh-CN"/>
              </w:rPr>
              <w:t>根据2024年7月15日曲靖市生态环境局关于印发《曲靖市生态环境分区管控动态更新方案（2023年）》的通知及划定分区管控单元要求，项目与《曲靖市生态环境分区管控动态更新方案（2023年）》符合性分析详见下表。</w:t>
            </w:r>
          </w:p>
          <w:p w14:paraId="067C3CF0">
            <w:pPr>
              <w:keepNext w:val="0"/>
              <w:keepLines w:val="0"/>
              <w:widowControl w:val="0"/>
              <w:suppressLineNumbers w:val="0"/>
              <w:bidi w:val="0"/>
              <w:spacing w:before="0" w:beforeAutospacing="0" w:after="0" w:afterAutospacing="0" w:line="36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bidi="ar-SA"/>
              </w:rPr>
            </w:pPr>
            <w:r>
              <w:rPr>
                <w:rFonts w:hint="default" w:ascii="Times New Roman" w:hAnsi="Times New Roman" w:eastAsia="宋体" w:cs="Times New Roman"/>
                <w:b/>
                <w:color w:val="auto"/>
                <w:spacing w:val="0"/>
                <w:position w:val="0"/>
                <w:sz w:val="21"/>
                <w:szCs w:val="21"/>
                <w:lang w:val="en-US" w:eastAsia="zh-CN" w:bidi="ar-SA"/>
              </w:rPr>
              <w:t>表1-8 本项目与《曲靖市生态环境分区管控动态更新方案（2023年）》相符性分析</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361"/>
              <w:gridCol w:w="506"/>
              <w:gridCol w:w="3715"/>
              <w:gridCol w:w="2848"/>
              <w:gridCol w:w="648"/>
            </w:tblGrid>
            <w:tr w14:paraId="7BE9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noWrap w:val="0"/>
                  <w:vAlign w:val="center"/>
                </w:tcPr>
                <w:p w14:paraId="133D56F8">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类别</w:t>
                  </w:r>
                </w:p>
              </w:tc>
              <w:tc>
                <w:tcPr>
                  <w:tcW w:w="2617" w:type="pct"/>
                  <w:gridSpan w:val="3"/>
                  <w:noWrap w:val="0"/>
                  <w:vAlign w:val="center"/>
                </w:tcPr>
                <w:p w14:paraId="2A1A6421">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文件要求</w:t>
                  </w:r>
                </w:p>
              </w:tc>
              <w:tc>
                <w:tcPr>
                  <w:tcW w:w="1627" w:type="pct"/>
                  <w:noWrap w:val="0"/>
                  <w:vAlign w:val="center"/>
                </w:tcPr>
                <w:p w14:paraId="00663495">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相符性分析</w:t>
                  </w:r>
                </w:p>
              </w:tc>
              <w:tc>
                <w:tcPr>
                  <w:tcW w:w="370" w:type="pct"/>
                  <w:noWrap w:val="0"/>
                  <w:vAlign w:val="center"/>
                </w:tcPr>
                <w:p w14:paraId="7B39F453">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符合性</w:t>
                  </w:r>
                </w:p>
              </w:tc>
            </w:tr>
            <w:tr w14:paraId="0CC2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noWrap w:val="0"/>
                  <w:vAlign w:val="center"/>
                </w:tcPr>
                <w:p w14:paraId="28F44A14">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空间约束布局</w:t>
                  </w:r>
                </w:p>
              </w:tc>
              <w:tc>
                <w:tcPr>
                  <w:tcW w:w="2617" w:type="pct"/>
                  <w:gridSpan w:val="3"/>
                  <w:noWrap w:val="0"/>
                  <w:vAlign w:val="center"/>
                </w:tcPr>
                <w:p w14:paraId="109265D5">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1.严格执行《长江经济带发展负面清单指南（试行，2022年版）》《云南省长江经济带发展负面清单指南实施细则（试行）》等产业准入有关要求。</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2.严格实施化解过剩产能和淘汰落后产能，制定产能过剩行业淘汰计划，确保国家、省下达的淘汰落后产能目标任务全面完成。</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3.将资源承载能力、生态环境容量作为承接产业转移的基础和前提，合理确定承接产业转移重点，禁止引进环境污染大、资源消耗高、技术落后的生产能力。</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5.严格控制在生态脆弱或环境敏感地区建设《环境保护综合名录》中“高污染、高环境风险”行业项目。</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6.禁止在合规园区外新建、扩建钢铁、石化、化工、焦化、建材、有色行业中的高污染项目。</w:t>
                  </w:r>
                </w:p>
              </w:tc>
              <w:tc>
                <w:tcPr>
                  <w:tcW w:w="1627" w:type="pct"/>
                  <w:noWrap w:val="0"/>
                  <w:vAlign w:val="center"/>
                </w:tcPr>
                <w:p w14:paraId="007A99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本项目位于曲靖市麒麟区麒麟西路287号曲靖市第二人民医院住院楼5楼，为已批准的医疗用地范围内，因此本项目不涉及占用生态保护红线。本项目为医用核技术利用项目，属于鼓励类项目，不涉及过剩产能和淘汰落后产能，不属于所述高污染项目。项目建设符合《长江经济带发展负面清单指南（试行，2022年版）》《云南省长江经济带发展负面清单指南实施细则（试行）》等产业准入有关要求。</w:t>
                  </w:r>
                </w:p>
                <w:p w14:paraId="273E570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Times New Roman" w:hAnsi="Times New Roman" w:eastAsia="宋体" w:cs="Times New Roman"/>
                      <w:color w:val="auto"/>
                      <w:spacing w:val="0"/>
                      <w:position w:val="0"/>
                      <w:sz w:val="21"/>
                      <w:szCs w:val="21"/>
                      <w:lang w:val="en-US" w:eastAsia="zh-CN"/>
                    </w:rPr>
                  </w:pPr>
                </w:p>
              </w:tc>
              <w:tc>
                <w:tcPr>
                  <w:tcW w:w="370" w:type="pct"/>
                  <w:noWrap w:val="0"/>
                  <w:vAlign w:val="center"/>
                </w:tcPr>
                <w:p w14:paraId="16E6EEB2">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r w14:paraId="6C10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noWrap w:val="0"/>
                  <w:vAlign w:val="center"/>
                </w:tcPr>
                <w:p w14:paraId="20E3A974">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污染物排放管控</w:t>
                  </w:r>
                </w:p>
              </w:tc>
              <w:tc>
                <w:tcPr>
                  <w:tcW w:w="2617" w:type="pct"/>
                  <w:gridSpan w:val="3"/>
                  <w:noWrap w:val="0"/>
                  <w:vAlign w:val="center"/>
                </w:tcPr>
                <w:p w14:paraId="5B31DF58">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3.加大重点流域水污染防治，确保水质如期达标。南盘江龚家坝、北盘江旧营桥等断面汇水区，新建、改建、扩建重点行业建设项目实行主要污染物排放减量置换。到2025年，牛栏江、南盘江、北盘江流域内所有城镇区域内实现生活污水处理设施全覆盖、生活污水全处理。</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4.牛栏江等流域内，严格按照《云南省牛栏江保护条例》《牛栏江流域（云南部分）水环境保护规划报告》及其中期评估报告有关要求，禁止在牛栏江水源保护区核心区新建、改建、扩建排污口。牛栏江流域上游保护区内已设置排污口的生产企业，排放水污染物应当符合国家或者地方规定的水污染物排放标准和重点水污染物排放总量控制指标。</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5.严格保护集中式饮用水水源地，整治饮用水源保护区内的污染源，确保饮水安全。</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6.全面开展城市（县城）排水管网排查整治，消除城市建成区管网空白区、污水直排口，解决雨污混流、管网破损漏损、错接混接等问题。加大城市生活污水提标改造及扩容工作力度，麒麟区、沾益区、曲靖经开区新、改、扩建城市生活污水集中处理设施及工业园区污水集中处理设施污染物排放标准严格执行《地表水环境质量标准》Ⅳ类标准 （其中总氮&lt;10mg/L，粪大肠菌群&lt;1000 个/L）。陆良县、宣威市根据水生态环境质量变化趋势适时推进执行《地表水环境质量标准》Ⅳ类标准（其中总氮&lt;10mg/L，粪大肠菌群&lt;1000个/L）。其他县(市区)执行《城镇污水处理厂污染物排放标准》一级标准 A 标准。</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到2025年，中心城区、县城中心城市建成区基本实现污水全收集、全处理，建制镇污水收集处理能力明显提升，中心城市、县城平均污泥无害化处理率达到90%以上，力争实现全市生活垃圾焚烧处理实现全覆盖，餐厨垃圾实现零填埋无害化处理。</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到2025年，全市农村生活污水治理率达到40%以上，城乡生活垃圾焚烧处理比重达90%以上，全市农村卫生户厕覆盖率达到70%以上，农膜回收率达到90%以上，秸秆综合利用率稳定在90%以上，畜禽粪污综合利用率达到95%以上；基本实现化肥农药施用量减少3%以上。</w:t>
                  </w:r>
                </w:p>
              </w:tc>
              <w:tc>
                <w:tcPr>
                  <w:tcW w:w="1627" w:type="pct"/>
                  <w:noWrap w:val="0"/>
                  <w:vAlign w:val="center"/>
                </w:tcPr>
                <w:p w14:paraId="619412B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院区污水处理站统一处理，经处理达标后排至市政污水管网最终进入曲靖市污水处理厂进行处理，不会改变区域地表水环境功能区划，不新增排口，所有废水均得到有效处置，符合地表水环境质量底线要求。</w:t>
                  </w:r>
                </w:p>
                <w:p w14:paraId="00A26C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本项目运营期产生的医疗废物分类收集后暂存于医疗废物暂存间，并委托资质单位定期清运、处置；院区产生固废对土壤环境质量影响较小，不会突破当地土壤环境质量底线。</w:t>
                  </w:r>
                </w:p>
              </w:tc>
              <w:tc>
                <w:tcPr>
                  <w:tcW w:w="370" w:type="pct"/>
                  <w:noWrap w:val="0"/>
                  <w:vAlign w:val="center"/>
                </w:tcPr>
                <w:p w14:paraId="2E9E9407">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r w14:paraId="5CFE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noWrap w:val="0"/>
                  <w:vAlign w:val="center"/>
                </w:tcPr>
                <w:p w14:paraId="1E9B0EF6">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环境风险防控</w:t>
                  </w:r>
                </w:p>
              </w:tc>
              <w:tc>
                <w:tcPr>
                  <w:tcW w:w="2617" w:type="pct"/>
                  <w:gridSpan w:val="3"/>
                  <w:noWrap w:val="0"/>
                  <w:vAlign w:val="center"/>
                </w:tcPr>
                <w:p w14:paraId="0A8D5573">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6.加强环境风险防控和应急管理，制定和完善突发环境事件和饮用水水源地突发环境事件应急预案，加强风险防控和突发环境事件应急处理处置能力。</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7.严格管控类农用地，重金属超标区域严禁种植食用农产品；涉重金属、持久性有机物等有毒有害污染物工业企业退出用地，须经评估符合建设用地、农用地土壤环境质量相关要求后，方可用于居住或农业用地。</w:t>
                  </w:r>
                </w:p>
              </w:tc>
              <w:tc>
                <w:tcPr>
                  <w:tcW w:w="1627" w:type="pct"/>
                  <w:noWrap w:val="0"/>
                  <w:vAlign w:val="center"/>
                </w:tcPr>
                <w:p w14:paraId="35785FC9">
                  <w:pPr>
                    <w:pStyle w:val="56"/>
                    <w:keepNext w:val="0"/>
                    <w:keepLines w:val="0"/>
                    <w:suppressLineNumbers w:val="0"/>
                    <w:bidi w:val="0"/>
                    <w:spacing w:before="0" w:beforeAutospacing="0" w:after="0" w:afterAutospacing="0"/>
                    <w:ind w:left="0" w:right="0" w:firstLine="420" w:firstLineChars="200"/>
                    <w:jc w:val="left"/>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医院已按要求成立了辐射领导小组，制定了辐射事故应急预案，预案中明确了应急机构和职责分工、应急人员的组织、培训、事故报告制度、辐射防护措施及事故处理程序等；通过完善、定期自查和监测等措施以应对可能发生的辐射事故</w:t>
                  </w:r>
                  <w:r>
                    <w:rPr>
                      <w:rFonts w:hint="eastAsia" w:cs="Times New Roman"/>
                      <w:color w:val="auto"/>
                      <w:spacing w:val="0"/>
                      <w:position w:val="0"/>
                      <w:lang w:val="en-US" w:eastAsia="zh-CN"/>
                    </w:rPr>
                    <w:t>，</w:t>
                  </w:r>
                  <w:r>
                    <w:rPr>
                      <w:rFonts w:hint="default" w:ascii="Times New Roman" w:hAnsi="Times New Roman" w:eastAsia="宋体" w:cs="Times New Roman"/>
                      <w:color w:val="auto"/>
                      <w:spacing w:val="0"/>
                      <w:position w:val="0"/>
                      <w:lang w:val="en-US" w:eastAsia="zh-CN"/>
                    </w:rPr>
                    <w:t>待项目运营后，建设单位将定期开展演练工作，定期对应急物资进行更新维护，严格落实环境风险防范措施。</w:t>
                  </w:r>
                </w:p>
              </w:tc>
              <w:tc>
                <w:tcPr>
                  <w:tcW w:w="370" w:type="pct"/>
                  <w:noWrap w:val="0"/>
                  <w:vAlign w:val="center"/>
                </w:tcPr>
                <w:p w14:paraId="1355A43A">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r w14:paraId="5A32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noWrap w:val="0"/>
                  <w:vAlign w:val="center"/>
                </w:tcPr>
                <w:p w14:paraId="14268EB6">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资源开发效率要求</w:t>
                  </w:r>
                </w:p>
              </w:tc>
              <w:tc>
                <w:tcPr>
                  <w:tcW w:w="2617" w:type="pct"/>
                  <w:gridSpan w:val="3"/>
                  <w:noWrap w:val="0"/>
                  <w:vAlign w:val="center"/>
                </w:tcPr>
                <w:p w14:paraId="2E5CF350">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4.建立水资源刚性约束制度，实行水资源消耗总量和强度双控，严格实施取水许可和水资源有偿使用制度，强化用水全过程管理，深入抓好工业、城镇、农业等方面用水量控制，严格规范取水许可审批管理。</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5.大力推进各县（市、区）农业、工业、城镇节水，扩大曲靖市县域节水型社会比例。强化农业节水，优化农业种植结构，加大农业节水力度，加快实施规模化高效节水灌溉行动。推广和普及田间节水技术，开辟抗旱水源，科学调度抗旱用水。</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6.到2025年，曲靖市用水总量控制在18.68亿立方米以内，万元GDP用水量、万元工业增加值用水量比2020年分别不低于20%和16%，</w:t>
                  </w:r>
                  <w:r>
                    <w:rPr>
                      <w:rFonts w:hint="eastAsia" w:cs="Times New Roman"/>
                      <w:color w:val="auto"/>
                      <w:spacing w:val="0"/>
                      <w:position w:val="0"/>
                      <w:lang w:val="en-US" w:eastAsia="zh-CN"/>
                    </w:rPr>
                    <w:t>农田灌溉水有效利用系数</w:t>
                  </w:r>
                  <w:r>
                    <w:rPr>
                      <w:rFonts w:hint="default" w:ascii="Times New Roman" w:hAnsi="Times New Roman" w:eastAsia="宋体" w:cs="Times New Roman"/>
                      <w:color w:val="auto"/>
                      <w:spacing w:val="0"/>
                      <w:position w:val="0"/>
                      <w:lang w:val="en-US" w:eastAsia="zh-CN"/>
                    </w:rPr>
                    <w:t>不低于0.545。</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7.坚持最严格的耕地保护制度，坚决制止耕地“非农化”防止耕地“非粮化”。坚持节约用地，严格执行耕地占补平衡等制度，提高土地投资强度和单位面积产出水平。</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9.到2025年，全市规模化以上工业单位增加值能耗下降16%，万元工业增加值用水量下降16%，重点耗能行业能效达到标杆水平的比例超过30%。</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10.加强南盘江、牛栏江等岸线保护，强化九龙河（麒麟段、罗平段、陆良段、富源段）、牛栏江（会泽段、沾益段、宣威段）、清水江（罗平段、师宗段），宣威市窑上海子、北盘江、可渡河、拖长江、西泽河、以那河，马龙区马龙河，师宗县甸溪河、篆长河，富源县、小黄泥河，会泽县以礼河、硝厂河、小江等河湖岸线保护与管控。</w:t>
                  </w:r>
                  <w:r>
                    <w:rPr>
                      <w:rFonts w:hint="default" w:ascii="Times New Roman" w:hAnsi="Times New Roman" w:eastAsia="宋体" w:cs="Times New Roman"/>
                      <w:color w:val="auto"/>
                      <w:spacing w:val="0"/>
                      <w:position w:val="0"/>
                      <w:lang w:val="en-US" w:eastAsia="zh-CN"/>
                    </w:rPr>
                    <w:br w:type="textWrapping"/>
                  </w:r>
                  <w:r>
                    <w:rPr>
                      <w:rFonts w:hint="default" w:ascii="Times New Roman" w:hAnsi="Times New Roman" w:eastAsia="宋体" w:cs="Times New Roman"/>
                      <w:color w:val="auto"/>
                      <w:spacing w:val="0"/>
                      <w:position w:val="0"/>
                      <w:lang w:val="en-US" w:eastAsia="zh-CN"/>
                    </w:rPr>
                    <w:t>11.在禁燃区内，禁止销售、燃用高污染燃料；禁止新建、扩建燃用高污染燃料的设施，已建成的，应当在政府规定的期限内改用天然气、液化石油气、电或者其他清洁能源。</w:t>
                  </w:r>
                </w:p>
              </w:tc>
              <w:tc>
                <w:tcPr>
                  <w:tcW w:w="1627" w:type="pct"/>
                  <w:noWrap w:val="0"/>
                  <w:vAlign w:val="center"/>
                </w:tcPr>
                <w:p w14:paraId="7E167A58">
                  <w:pPr>
                    <w:pStyle w:val="56"/>
                    <w:keepNext w:val="0"/>
                    <w:keepLines w:val="0"/>
                    <w:suppressLineNumbers w:val="0"/>
                    <w:bidi w:val="0"/>
                    <w:spacing w:before="0" w:beforeAutospacing="0" w:after="0" w:afterAutospacing="0"/>
                    <w:ind w:left="0" w:right="0" w:firstLine="420" w:firstLineChars="200"/>
                    <w:jc w:val="left"/>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项目不占用耕地，项目用水量较小，项目所用能源为电能，为清洁能源</w:t>
                  </w:r>
                </w:p>
              </w:tc>
              <w:tc>
                <w:tcPr>
                  <w:tcW w:w="370" w:type="pct"/>
                  <w:noWrap w:val="0"/>
                  <w:vAlign w:val="center"/>
                </w:tcPr>
                <w:p w14:paraId="697E1720">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r w14:paraId="5ACF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restart"/>
                  <w:noWrap w:val="0"/>
                  <w:vAlign w:val="center"/>
                </w:tcPr>
                <w:p w14:paraId="06291AA5">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环境管控单元准入要求</w:t>
                  </w:r>
                </w:p>
              </w:tc>
              <w:tc>
                <w:tcPr>
                  <w:tcW w:w="206" w:type="pct"/>
                  <w:vMerge w:val="restart"/>
                  <w:noWrap w:val="0"/>
                  <w:vAlign w:val="center"/>
                </w:tcPr>
                <w:p w14:paraId="3038A42D">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麒麟区城区生活污染重点管控单元</w:t>
                  </w:r>
                </w:p>
              </w:tc>
              <w:tc>
                <w:tcPr>
                  <w:tcW w:w="289" w:type="pct"/>
                  <w:noWrap w:val="0"/>
                  <w:vAlign w:val="center"/>
                </w:tcPr>
                <w:p w14:paraId="7239060E">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空间布局约束</w:t>
                  </w:r>
                </w:p>
              </w:tc>
              <w:tc>
                <w:tcPr>
                  <w:tcW w:w="2122" w:type="pct"/>
                  <w:noWrap w:val="0"/>
                  <w:vAlign w:val="center"/>
                </w:tcPr>
                <w:p w14:paraId="158D94BE">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1.禁止在人口集中地区、交通干线附近和其他依法需要特殊保护的区域内焚烧沥青、油毡、橡胶、塑料、皮革、秸秆、落叶、垃圾以及其他产生有毒有害烟尘和恶臭气体的物质。</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2.在居民楼、商住综合楼以及商住综合楼内与居住层相邻的商业楼层内新建、改建、扩建的餐饮服务项目，应做好相应污染防治措施，确保污染物达标排放。</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3.加快城市建成区内重污染企业和危险化学品企业搬迁改造。</w:t>
                  </w:r>
                </w:p>
              </w:tc>
              <w:tc>
                <w:tcPr>
                  <w:tcW w:w="1627" w:type="pct"/>
                  <w:noWrap w:val="0"/>
                  <w:vAlign w:val="center"/>
                </w:tcPr>
                <w:p w14:paraId="308317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1.本项目为核技术利用项目，使用清洁能源为电能，不涉及焚烧沥青、油毡、橡胶、塑料、皮革、落叶、垃圾以及其他产生有毒有害烟尘和恶臭气体的物质。</w:t>
                  </w:r>
                </w:p>
                <w:p w14:paraId="49EE5E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bidi="ar-SA"/>
                    </w:rPr>
                    <w:t>2.本项目为医疗核技术利用项目，不属于餐饮服务项目。</w:t>
                  </w:r>
                </w:p>
                <w:p w14:paraId="30F434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bidi="ar-SA"/>
                    </w:rPr>
                    <w:t>3.项目不属于重污染企业和危险化学品企业。</w:t>
                  </w:r>
                </w:p>
              </w:tc>
              <w:tc>
                <w:tcPr>
                  <w:tcW w:w="370" w:type="pct"/>
                  <w:noWrap w:val="0"/>
                  <w:vAlign w:val="center"/>
                </w:tcPr>
                <w:p w14:paraId="52AC3864">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r w14:paraId="1CB2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noWrap w:val="0"/>
                  <w:vAlign w:val="center"/>
                </w:tcPr>
                <w:p w14:paraId="1688D606">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p>
              </w:tc>
              <w:tc>
                <w:tcPr>
                  <w:tcW w:w="206" w:type="pct"/>
                  <w:vMerge w:val="continue"/>
                  <w:noWrap w:val="0"/>
                  <w:vAlign w:val="center"/>
                </w:tcPr>
                <w:p w14:paraId="315545F2">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p>
              </w:tc>
              <w:tc>
                <w:tcPr>
                  <w:tcW w:w="289" w:type="pct"/>
                  <w:noWrap w:val="0"/>
                  <w:vAlign w:val="center"/>
                </w:tcPr>
                <w:p w14:paraId="67DDA6F0">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污染物排放管控</w:t>
                  </w:r>
                </w:p>
              </w:tc>
              <w:tc>
                <w:tcPr>
                  <w:tcW w:w="2122" w:type="pct"/>
                  <w:noWrap w:val="0"/>
                  <w:vAlign w:val="center"/>
                </w:tcPr>
                <w:p w14:paraId="511FBB51">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1.推进城市排污管网建设及城区雨污分流改造工程，提高生活污水收集处理能力。实现南盘江河道两侧截污治污设施全覆盖，加快填补曲胜高速以东未建成区污水收集空白。</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2.新、改、扩建城市生活污水集中处理设施及工业园区污水集中处理设施污染物排放标准严格执行《地表水环境质量标准》</w:t>
                  </w:r>
                  <w:r>
                    <w:rPr>
                      <w:rFonts w:hint="default" w:ascii="Times New Roman" w:hAnsi="Times New Roman" w:eastAsia="宋体" w:cs="Times New Roman"/>
                      <w:color w:val="auto"/>
                      <w:spacing w:val="0"/>
                      <w:position w:val="0"/>
                      <w:lang w:eastAsia="zh-CN"/>
                    </w:rPr>
                    <w:t>Ⅳ类</w:t>
                  </w:r>
                  <w:r>
                    <w:rPr>
                      <w:rFonts w:hint="default" w:ascii="Times New Roman" w:hAnsi="Times New Roman" w:eastAsia="宋体" w:cs="Times New Roman"/>
                      <w:color w:val="auto"/>
                      <w:spacing w:val="0"/>
                      <w:position w:val="0"/>
                    </w:rPr>
                    <w:t xml:space="preserve">标准 </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其中总氮&lt;10mg/L，</w:t>
                  </w:r>
                  <w:r>
                    <w:rPr>
                      <w:rFonts w:hint="default" w:ascii="Times New Roman" w:hAnsi="Times New Roman" w:eastAsia="宋体" w:cs="Times New Roman"/>
                      <w:color w:val="auto"/>
                      <w:spacing w:val="0"/>
                      <w:position w:val="0"/>
                      <w:lang w:eastAsia="zh-CN"/>
                    </w:rPr>
                    <w:t>粪大肠菌群</w:t>
                  </w:r>
                  <w:r>
                    <w:rPr>
                      <w:rFonts w:hint="default" w:ascii="Times New Roman" w:hAnsi="Times New Roman" w:eastAsia="宋体" w:cs="Times New Roman"/>
                      <w:color w:val="auto"/>
                      <w:spacing w:val="0"/>
                      <w:position w:val="0"/>
                    </w:rPr>
                    <w:t>&lt;1000 个/L</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3.全面推行建筑工地扬尘污染防治网格化管理，严格渣土运输车辆规范化管理，严格执行《饮食业油烟排放标准》。</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4.严禁洗车污水、餐饮泔水、施工泥浆等通过雨水口进入管网后直排入河。</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5.严禁未密闭和未冲洗运输车辆进入城区行驶。</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6.大力推进生活垃圾分类回收利用，建立分类投放、收集、运输、处理的生活垃圾收运处理系统。</w:t>
                  </w:r>
                </w:p>
              </w:tc>
              <w:tc>
                <w:tcPr>
                  <w:tcW w:w="1627" w:type="pct"/>
                  <w:noWrap w:val="0"/>
                  <w:vAlign w:val="center"/>
                </w:tcPr>
                <w:p w14:paraId="6B731C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1.院区污水处理站统一处理，经处理达标后排至市政污水管网最终进入曲靖市污水处理厂</w:t>
                  </w:r>
                  <w:r>
                    <w:rPr>
                      <w:rFonts w:hint="default" w:ascii="Times New Roman" w:hAnsi="Times New Roman" w:eastAsia="宋体" w:cs="Times New Roman"/>
                      <w:color w:val="auto"/>
                      <w:spacing w:val="0"/>
                      <w:position w:val="0"/>
                      <w:sz w:val="21"/>
                      <w:szCs w:val="21"/>
                    </w:rPr>
                    <w:t>。</w:t>
                  </w:r>
                </w:p>
                <w:p w14:paraId="1FD697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2.项目污水处理站出口水质满足《医疗机构水污染物排放标准》（GB 18466-2005，含2026年修改单）表2预处理标准和《污水排入城镇下水道水质标准》（GB/T31962-2015）表1A等级标准。</w:t>
                  </w:r>
                </w:p>
                <w:p w14:paraId="54D08A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3.项目施工期间严格执行相关标准，确保施工影响降至最小。</w:t>
                  </w:r>
                </w:p>
                <w:p w14:paraId="651A36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4.项目产生所有废水经过收集后排至院区污水处理站统一处理，经处理达标后排至市政污水管网最终进入曲靖市污水处理厂。</w:t>
                  </w:r>
                </w:p>
                <w:p w14:paraId="6A7759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5.项目施工期将控制施工作业车辆的运输扬尘和车辆泥水，做到未密闭和未冲洗运输车辆不进入城区行驶。</w:t>
                  </w:r>
                </w:p>
                <w:p w14:paraId="0AFCFC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bidi="ar-SA"/>
                    </w:rPr>
                  </w:pPr>
                  <w:r>
                    <w:rPr>
                      <w:rFonts w:hint="eastAsia" w:cs="Times New Roman"/>
                      <w:color w:val="auto"/>
                      <w:spacing w:val="0"/>
                      <w:position w:val="0"/>
                      <w:sz w:val="21"/>
                      <w:szCs w:val="21"/>
                      <w:lang w:val="en-US" w:eastAsia="zh-CN"/>
                    </w:rPr>
                    <w:t>6</w:t>
                  </w:r>
                  <w:r>
                    <w:rPr>
                      <w:rFonts w:hint="default" w:ascii="Times New Roman" w:hAnsi="Times New Roman" w:eastAsia="宋体" w:cs="Times New Roman"/>
                      <w:color w:val="auto"/>
                      <w:spacing w:val="0"/>
                      <w:position w:val="0"/>
                      <w:sz w:val="21"/>
                      <w:szCs w:val="21"/>
                      <w:lang w:val="en-US" w:eastAsia="zh-CN"/>
                    </w:rPr>
                    <w:t>.项目运行期生活垃圾、医疗废物分类收集后</w:t>
                  </w:r>
                  <w:r>
                    <w:rPr>
                      <w:rFonts w:hint="eastAsia" w:cs="Times New Roman"/>
                      <w:color w:val="auto"/>
                      <w:spacing w:val="0"/>
                      <w:position w:val="0"/>
                      <w:sz w:val="21"/>
                      <w:szCs w:val="21"/>
                      <w:lang w:val="en-US" w:eastAsia="zh-CN"/>
                    </w:rPr>
                    <w:t>依托医院已建处理设施</w:t>
                  </w:r>
                  <w:r>
                    <w:rPr>
                      <w:rFonts w:hint="default" w:ascii="Times New Roman" w:hAnsi="Times New Roman" w:eastAsia="宋体" w:cs="Times New Roman"/>
                      <w:color w:val="auto"/>
                      <w:spacing w:val="0"/>
                      <w:position w:val="0"/>
                      <w:sz w:val="21"/>
                      <w:szCs w:val="21"/>
                      <w:lang w:val="en-US" w:eastAsia="zh-CN"/>
                    </w:rPr>
                    <w:t>，医疗废物</w:t>
                  </w:r>
                  <w:r>
                    <w:rPr>
                      <w:rFonts w:hint="eastAsia" w:cs="Times New Roman"/>
                      <w:color w:val="auto"/>
                      <w:spacing w:val="0"/>
                      <w:position w:val="0"/>
                      <w:sz w:val="21"/>
                      <w:szCs w:val="21"/>
                      <w:lang w:val="en-US" w:eastAsia="zh-CN"/>
                    </w:rPr>
                    <w:t>依托医院已建医疗废物暂存间，收集后</w:t>
                  </w:r>
                  <w:r>
                    <w:rPr>
                      <w:rFonts w:hint="default" w:ascii="Times New Roman" w:hAnsi="Times New Roman" w:eastAsia="宋体" w:cs="Times New Roman"/>
                      <w:color w:val="auto"/>
                      <w:spacing w:val="0"/>
                      <w:position w:val="0"/>
                      <w:sz w:val="21"/>
                      <w:szCs w:val="21"/>
                      <w:lang w:val="en-US" w:eastAsia="zh-CN"/>
                    </w:rPr>
                    <w:t>委托有资质单位处置。</w:t>
                  </w:r>
                </w:p>
              </w:tc>
              <w:tc>
                <w:tcPr>
                  <w:tcW w:w="370" w:type="pct"/>
                  <w:noWrap w:val="0"/>
                  <w:vAlign w:val="center"/>
                </w:tcPr>
                <w:p w14:paraId="6F2DA30C">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r w14:paraId="1F69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noWrap w:val="0"/>
                  <w:vAlign w:val="center"/>
                </w:tcPr>
                <w:p w14:paraId="66DF2934">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p>
              </w:tc>
              <w:tc>
                <w:tcPr>
                  <w:tcW w:w="206" w:type="pct"/>
                  <w:vMerge w:val="continue"/>
                  <w:noWrap w:val="0"/>
                  <w:vAlign w:val="center"/>
                </w:tcPr>
                <w:p w14:paraId="7BA2B856">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p>
              </w:tc>
              <w:tc>
                <w:tcPr>
                  <w:tcW w:w="289" w:type="pct"/>
                  <w:noWrap w:val="0"/>
                  <w:vAlign w:val="center"/>
                </w:tcPr>
                <w:p w14:paraId="7B846240">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环境风险防控</w:t>
                  </w:r>
                </w:p>
              </w:tc>
              <w:tc>
                <w:tcPr>
                  <w:tcW w:w="2122" w:type="pct"/>
                  <w:noWrap w:val="0"/>
                  <w:vAlign w:val="center"/>
                </w:tcPr>
                <w:p w14:paraId="716BF4CB">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1.与经开区、马龙区和沾益区建立区域大气污染联防联控机制，实现信息互通。</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2.与沾益区建立南盘江综合治理和日常监管执法联防联治机制。</w:t>
                  </w:r>
                </w:p>
              </w:tc>
              <w:tc>
                <w:tcPr>
                  <w:tcW w:w="1627" w:type="pct"/>
                  <w:noWrap w:val="0"/>
                  <w:vAlign w:val="center"/>
                </w:tcPr>
                <w:p w14:paraId="6003DB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项目依法接受相关领导机构指导。</w:t>
                  </w:r>
                </w:p>
              </w:tc>
              <w:tc>
                <w:tcPr>
                  <w:tcW w:w="370" w:type="pct"/>
                  <w:noWrap w:val="0"/>
                  <w:vAlign w:val="center"/>
                </w:tcPr>
                <w:p w14:paraId="5CABC1F0">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r w14:paraId="4445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4" w:type="pct"/>
                  <w:vMerge w:val="continue"/>
                  <w:noWrap w:val="0"/>
                  <w:vAlign w:val="center"/>
                </w:tcPr>
                <w:p w14:paraId="717D7765">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p>
              </w:tc>
              <w:tc>
                <w:tcPr>
                  <w:tcW w:w="206" w:type="pct"/>
                  <w:vMerge w:val="continue"/>
                  <w:noWrap w:val="0"/>
                  <w:vAlign w:val="center"/>
                </w:tcPr>
                <w:p w14:paraId="73D8941D">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p>
              </w:tc>
              <w:tc>
                <w:tcPr>
                  <w:tcW w:w="289" w:type="pct"/>
                  <w:noWrap w:val="0"/>
                  <w:vAlign w:val="center"/>
                </w:tcPr>
                <w:p w14:paraId="3426C91A">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资源开发效率要求</w:t>
                  </w:r>
                </w:p>
              </w:tc>
              <w:tc>
                <w:tcPr>
                  <w:tcW w:w="2122" w:type="pct"/>
                  <w:noWrap w:val="0"/>
                  <w:vAlign w:val="center"/>
                </w:tcPr>
                <w:p w14:paraId="7030D035">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1.曲靖市中心城市高污染燃料禁燃区范围要逐步由城市建成区扩展到近郊，禁燃区内禁止使用散煤等高污染燃料，逐步实现无煤化。</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2.开展工业节水项目建设，降低工业用水管道水量漏失率。提高水循环利用和再生水利用水平，定期开展重点企业水平衡测试、用水审计及水效对标。</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3.推进“煤改气”“煤改电”，加大燃气汽车、混合动力汽车和电动汽车等清洁能源汽车的使用力度，进一步提高清洁能源使用率。</w:t>
                  </w:r>
                  <w:r>
                    <w:rPr>
                      <w:rFonts w:hint="default" w:ascii="Times New Roman" w:hAnsi="Times New Roman" w:eastAsia="宋体" w:cs="Times New Roman"/>
                      <w:color w:val="auto"/>
                      <w:spacing w:val="0"/>
                      <w:position w:val="0"/>
                    </w:rPr>
                    <w:br w:type="textWrapping"/>
                  </w:r>
                  <w:r>
                    <w:rPr>
                      <w:rFonts w:hint="default" w:ascii="Times New Roman" w:hAnsi="Times New Roman" w:eastAsia="宋体" w:cs="Times New Roman"/>
                      <w:color w:val="auto"/>
                      <w:spacing w:val="0"/>
                      <w:position w:val="0"/>
                    </w:rPr>
                    <w:t>4.提高土地节约集约利用水平。</w:t>
                  </w:r>
                </w:p>
              </w:tc>
              <w:tc>
                <w:tcPr>
                  <w:tcW w:w="1627" w:type="pct"/>
                  <w:noWrap w:val="0"/>
                  <w:vAlign w:val="center"/>
                </w:tcPr>
                <w:p w14:paraId="14FB8BE3">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项目位于已批准的医疗用地范围内，不新增占地，项目运行过程中用水量较小，项目所用能源为电能，为清洁能源</w:t>
                  </w:r>
                </w:p>
              </w:tc>
              <w:tc>
                <w:tcPr>
                  <w:tcW w:w="370" w:type="pct"/>
                  <w:noWrap w:val="0"/>
                  <w:vAlign w:val="center"/>
                </w:tcPr>
                <w:p w14:paraId="309BADF1">
                  <w:pPr>
                    <w:pStyle w:val="5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符合</w:t>
                  </w:r>
                </w:p>
              </w:tc>
            </w:tr>
          </w:tbl>
          <w:p w14:paraId="19BD1F66">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四、项目选址合理性与平面布置合理性分析</w:t>
            </w:r>
          </w:p>
          <w:p w14:paraId="486BACDE">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项目选址合理性分析</w:t>
            </w:r>
          </w:p>
          <w:p w14:paraId="090262C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（1）医院与外环境关系</w:t>
            </w:r>
          </w:p>
          <w:p w14:paraId="6B02667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曲靖市第二人民医院位于曲靖市麒麟区麒麟西路287号，医院地理位置示意图见附图1。医院周边情况如下：医院北面10m为</w:t>
            </w:r>
            <w:r>
              <w:rPr>
                <w:rFonts w:hint="eastAsia" w:cs="Times New Roman"/>
                <w:color w:val="auto"/>
                <w:spacing w:val="0"/>
                <w:position w:val="0"/>
                <w:highlight w:val="none"/>
                <w:lang w:val="en-US" w:eastAsia="zh-CN"/>
              </w:rPr>
              <w:t>百源花园小区</w:t>
            </w:r>
            <w:r>
              <w:rPr>
                <w:rFonts w:hint="default" w:ascii="Times New Roman" w:hAnsi="Times New Roman" w:eastAsia="宋体" w:cs="Times New Roman"/>
                <w:color w:val="auto"/>
                <w:spacing w:val="0"/>
                <w:position w:val="0"/>
                <w:highlight w:val="none"/>
                <w:lang w:val="en-US" w:eastAsia="zh-CN"/>
              </w:rPr>
              <w:t>，医院配套停车场；东北面35m为馨源现代城；东面20m为曲靖市第二人民医院生活区，东面60m为曲靖市第二小学（龙潭校区）；南面10m为曲靖市第二人民医院住宿区；西南面20m为麒麟西路石油西生活区。医院周围环境情况见附图4。</w:t>
            </w:r>
          </w:p>
          <w:p w14:paraId="11EC4EA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院区主要由门诊综合楼、住院楼及院内办公生活辅助用房等组成。本项目选址位于</w:t>
            </w:r>
            <w:r>
              <w:rPr>
                <w:rFonts w:hint="default" w:ascii="Times New Roman" w:hAnsi="Times New Roman" w:eastAsia="宋体" w:cs="Times New Roman"/>
                <w:color w:val="auto"/>
                <w:spacing w:val="0"/>
                <w:position w:val="0"/>
                <w:sz w:val="24"/>
                <w:szCs w:val="24"/>
                <w:highlight w:val="none"/>
                <w:lang w:val="en-US" w:eastAsia="zh-CN"/>
              </w:rPr>
              <w:t>住院楼5楼</w:t>
            </w:r>
            <w:r>
              <w:rPr>
                <w:rFonts w:hint="default" w:ascii="Times New Roman" w:hAnsi="Times New Roman" w:eastAsia="宋体" w:cs="Times New Roman"/>
                <w:color w:val="auto"/>
                <w:spacing w:val="0"/>
                <w:position w:val="0"/>
                <w:highlight w:val="none"/>
                <w:lang w:val="en-US" w:eastAsia="zh-CN"/>
              </w:rPr>
              <w:t>原第14号手术室和第15号手术室。</w:t>
            </w:r>
          </w:p>
          <w:p w14:paraId="4FB8C86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（2）选址合理性分析</w:t>
            </w:r>
          </w:p>
          <w:p w14:paraId="748F602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住院楼北面为院区道路、</w:t>
            </w:r>
            <w:r>
              <w:rPr>
                <w:rFonts w:hint="eastAsia" w:cs="Times New Roman"/>
                <w:color w:val="auto"/>
                <w:spacing w:val="0"/>
                <w:position w:val="0"/>
                <w:highlight w:val="none"/>
                <w:lang w:val="en-US" w:eastAsia="zh-CN"/>
              </w:rPr>
              <w:t>百源花园小区</w:t>
            </w:r>
            <w:r>
              <w:rPr>
                <w:rFonts w:hint="default" w:ascii="Times New Roman" w:hAnsi="Times New Roman" w:eastAsia="宋体" w:cs="Times New Roman"/>
                <w:color w:val="auto"/>
                <w:spacing w:val="0"/>
                <w:position w:val="0"/>
                <w:highlight w:val="none"/>
                <w:lang w:val="en-US" w:eastAsia="zh-CN"/>
              </w:rPr>
              <w:t>、医院配套停车场；东北面为馨源现代城；东面为院区道路、曲靖市第二人民医院生活区；南面为院区道路、曲靖市第二人民医院住宿区；西南面为院区道路、麒麟西路石油西生活区</w:t>
            </w:r>
            <w:r>
              <w:rPr>
                <w:rFonts w:hint="default" w:ascii="Times New Roman" w:hAnsi="Times New Roman" w:eastAsia="宋体" w:cs="Times New Roman"/>
                <w:color w:val="auto"/>
                <w:spacing w:val="0"/>
                <w:position w:val="0"/>
                <w:highlight w:val="none"/>
              </w:rPr>
              <w:t>。</w:t>
            </w:r>
          </w:p>
          <w:p w14:paraId="02F8AA7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DSA介入室所在住院楼共有27楼（楼顶还有一层顶层），本项目位于五楼</w:t>
            </w:r>
            <w:r>
              <w:rPr>
                <w:rFonts w:hint="eastAsia" w:cs="Times New Roman"/>
                <w:color w:val="auto"/>
                <w:spacing w:val="0"/>
                <w:position w:val="0"/>
                <w:highlight w:val="none"/>
                <w:lang w:val="en-US" w:eastAsia="zh-CN"/>
              </w:rPr>
              <w:t>。</w:t>
            </w:r>
            <w:r>
              <w:rPr>
                <w:rFonts w:hint="default" w:ascii="Times New Roman" w:hAnsi="Times New Roman" w:eastAsia="宋体" w:cs="Times New Roman"/>
                <w:color w:val="auto"/>
                <w:spacing w:val="0"/>
                <w:position w:val="0"/>
                <w:highlight w:val="none"/>
                <w:lang w:val="en-US" w:eastAsia="zh-CN"/>
              </w:rPr>
              <w:t>一楼为出入院办理、收费窗口、药房、临床营养科、消防控制室等；二楼为微创外科临床诊疗中心、静脉药品调配中心PIVAS；三楼为麻醉科、办公室；四楼、五楼为</w:t>
            </w:r>
            <w:r>
              <w:rPr>
                <w:rFonts w:hint="eastAsia" w:cs="Times New Roman"/>
                <w:color w:val="auto"/>
                <w:spacing w:val="0"/>
                <w:position w:val="0"/>
                <w:highlight w:val="none"/>
                <w:lang w:val="en-US" w:eastAsia="zh-CN"/>
              </w:rPr>
              <w:t>整层</w:t>
            </w:r>
            <w:r>
              <w:rPr>
                <w:rFonts w:hint="default" w:ascii="Times New Roman" w:hAnsi="Times New Roman" w:eastAsia="宋体" w:cs="Times New Roman"/>
                <w:color w:val="auto"/>
                <w:spacing w:val="0"/>
                <w:position w:val="0"/>
                <w:highlight w:val="none"/>
                <w:lang w:val="en-US" w:eastAsia="zh-CN"/>
              </w:rPr>
              <w:t>手术</w:t>
            </w:r>
            <w:r>
              <w:rPr>
                <w:rFonts w:hint="eastAsia" w:cs="Times New Roman"/>
                <w:color w:val="auto"/>
                <w:spacing w:val="0"/>
                <w:position w:val="0"/>
                <w:highlight w:val="none"/>
                <w:lang w:val="en-US" w:eastAsia="zh-CN"/>
              </w:rPr>
              <w:t>区</w:t>
            </w:r>
            <w:r>
              <w:rPr>
                <w:rFonts w:hint="default" w:ascii="Times New Roman" w:hAnsi="Times New Roman" w:eastAsia="宋体" w:cs="Times New Roman"/>
                <w:color w:val="auto"/>
                <w:spacing w:val="0"/>
                <w:position w:val="0"/>
                <w:highlight w:val="none"/>
                <w:lang w:val="en-US" w:eastAsia="zh-CN"/>
              </w:rPr>
              <w:t>；六楼为创伤骨科、神经外科诊室及</w:t>
            </w:r>
            <w:r>
              <w:rPr>
                <w:rFonts w:hint="eastAsia" w:cs="Times New Roman"/>
                <w:color w:val="auto"/>
                <w:spacing w:val="0"/>
                <w:position w:val="0"/>
                <w:highlight w:val="none"/>
                <w:lang w:val="en-US" w:eastAsia="zh-CN"/>
              </w:rPr>
              <w:t>相关科室住院</w:t>
            </w:r>
            <w:r>
              <w:rPr>
                <w:rFonts w:hint="default" w:ascii="Times New Roman" w:hAnsi="Times New Roman" w:eastAsia="宋体" w:cs="Times New Roman"/>
                <w:color w:val="auto"/>
                <w:spacing w:val="0"/>
                <w:position w:val="0"/>
                <w:highlight w:val="none"/>
                <w:lang w:val="en-US" w:eastAsia="zh-CN"/>
              </w:rPr>
              <w:t>病房；七楼为普通外科诊室及病房；八楼为肝胆科、微创代谢科诊室及病房。地下一层为停车场。</w:t>
            </w:r>
          </w:p>
          <w:p w14:paraId="58FD7C0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本</w:t>
            </w:r>
            <w:r>
              <w:rPr>
                <w:rFonts w:hint="default" w:ascii="Times New Roman" w:hAnsi="Times New Roman" w:eastAsia="宋体" w:cs="Times New Roman"/>
                <w:color w:val="auto"/>
                <w:spacing w:val="0"/>
                <w:position w:val="0"/>
                <w:highlight w:val="none"/>
              </w:rPr>
              <w:t>项目</w:t>
            </w:r>
            <w:r>
              <w:rPr>
                <w:rFonts w:hint="default" w:ascii="Times New Roman" w:hAnsi="Times New Roman" w:eastAsia="宋体" w:cs="Times New Roman"/>
                <w:color w:val="auto"/>
                <w:spacing w:val="0"/>
                <w:position w:val="0"/>
                <w:highlight w:val="none"/>
                <w:lang w:val="en-US" w:eastAsia="zh-CN"/>
              </w:rPr>
              <w:t>DSA机房正对楼下为四楼辅料打包间、库房、器械预清洗室、2号手术室，机房正对楼上为六楼神经外科病房、癫痫病房，相关位置剖面图见下图</w:t>
            </w:r>
            <w:r>
              <w:rPr>
                <w:rFonts w:hint="default" w:ascii="Times New Roman" w:hAnsi="Times New Roman" w:eastAsia="宋体" w:cs="Times New Roman"/>
                <w:color w:val="auto"/>
                <w:spacing w:val="0"/>
                <w:position w:val="0"/>
                <w:highlight w:val="none"/>
              </w:rPr>
              <w:t>。</w:t>
            </w:r>
          </w:p>
          <w:p w14:paraId="47281ED5">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pacing w:val="0"/>
                <w:position w:val="0"/>
                <w:highlight w:val="none"/>
                <w:lang w:eastAsia="zh-CN"/>
              </w:rPr>
            </w:pPr>
            <w:r>
              <w:rPr>
                <w:rFonts w:hint="default" w:ascii="Times New Roman" w:hAnsi="Times New Roman" w:eastAsia="宋体" w:cs="Times New Roman"/>
                <w:color w:val="auto"/>
                <w:spacing w:val="0"/>
                <w:position w:val="0"/>
                <w:highlight w:val="none"/>
                <w:lang w:eastAsia="zh-CN"/>
              </w:rPr>
              <w:drawing>
                <wp:inline distT="0" distB="0" distL="114300" distR="114300">
                  <wp:extent cx="5564505" cy="2800985"/>
                  <wp:effectExtent l="0" t="0" r="17145" b="18415"/>
                  <wp:docPr id="22" name="图片 49" descr="位置关系剖面图-模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9" descr="位置关系剖面图-模型_01"/>
                          <pic:cNvPicPr>
                            <a:picLocks noChangeAspect="1"/>
                          </pic:cNvPicPr>
                        </pic:nvPicPr>
                        <pic:blipFill>
                          <a:blip r:embed="rId27"/>
                          <a:srcRect b="54591"/>
                          <a:stretch>
                            <a:fillRect/>
                          </a:stretch>
                        </pic:blipFill>
                        <pic:spPr>
                          <a:xfrm>
                            <a:off x="0" y="0"/>
                            <a:ext cx="5564505" cy="2800985"/>
                          </a:xfrm>
                          <a:prstGeom prst="rect">
                            <a:avLst/>
                          </a:prstGeom>
                          <a:noFill/>
                          <a:ln>
                            <a:noFill/>
                          </a:ln>
                        </pic:spPr>
                      </pic:pic>
                    </a:graphicData>
                  </a:graphic>
                </wp:inline>
              </w:drawing>
            </w:r>
          </w:p>
          <w:p w14:paraId="22D9487A">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b/>
                <w:bCs/>
                <w:color w:val="auto"/>
                <w:spacing w:val="0"/>
                <w:position w:val="0"/>
                <w:sz w:val="21"/>
                <w:szCs w:val="21"/>
                <w:highlight w:val="none"/>
              </w:rPr>
              <w:t>图1-</w:t>
            </w:r>
            <w:r>
              <w:rPr>
                <w:rFonts w:hint="default" w:ascii="Times New Roman" w:hAnsi="Times New Roman" w:eastAsia="宋体" w:cs="Times New Roman"/>
                <w:b/>
                <w:bCs/>
                <w:color w:val="auto"/>
                <w:spacing w:val="0"/>
                <w:position w:val="0"/>
                <w:sz w:val="21"/>
                <w:szCs w:val="21"/>
                <w:highlight w:val="none"/>
                <w:lang w:val="en-US" w:eastAsia="zh-CN"/>
              </w:rPr>
              <w:t>3</w:t>
            </w:r>
            <w:r>
              <w:rPr>
                <w:rFonts w:hint="default" w:ascii="Times New Roman" w:hAnsi="Times New Roman" w:eastAsia="宋体" w:cs="Times New Roman"/>
                <w:b/>
                <w:bCs/>
                <w:color w:val="auto"/>
                <w:spacing w:val="0"/>
                <w:position w:val="0"/>
                <w:sz w:val="21"/>
                <w:szCs w:val="21"/>
                <w:highlight w:val="none"/>
              </w:rPr>
              <w:t>项目</w:t>
            </w:r>
            <w:r>
              <w:rPr>
                <w:rFonts w:hint="default" w:ascii="Times New Roman" w:hAnsi="Times New Roman" w:eastAsia="宋体" w:cs="Times New Roman"/>
                <w:b/>
                <w:bCs/>
                <w:color w:val="auto"/>
                <w:spacing w:val="0"/>
                <w:position w:val="0"/>
                <w:sz w:val="21"/>
                <w:szCs w:val="21"/>
                <w:highlight w:val="none"/>
                <w:lang w:val="en-US" w:eastAsia="zh-CN"/>
              </w:rPr>
              <w:t>三楼、四楼、五楼</w:t>
            </w:r>
            <w:r>
              <w:rPr>
                <w:rFonts w:hint="default" w:ascii="Times New Roman" w:hAnsi="Times New Roman" w:eastAsia="宋体" w:cs="Times New Roman"/>
                <w:b/>
                <w:bCs/>
                <w:color w:val="auto"/>
                <w:spacing w:val="0"/>
                <w:position w:val="0"/>
                <w:sz w:val="21"/>
                <w:szCs w:val="21"/>
                <w:highlight w:val="none"/>
              </w:rPr>
              <w:t>对应位置关系</w:t>
            </w:r>
            <w:r>
              <w:rPr>
                <w:rFonts w:hint="default" w:ascii="Times New Roman" w:hAnsi="Times New Roman" w:eastAsia="宋体" w:cs="Times New Roman"/>
                <w:b/>
                <w:bCs/>
                <w:color w:val="auto"/>
                <w:spacing w:val="0"/>
                <w:position w:val="0"/>
                <w:sz w:val="21"/>
                <w:szCs w:val="21"/>
                <w:highlight w:val="none"/>
                <w:lang w:val="en-US" w:eastAsia="zh-CN"/>
              </w:rPr>
              <w:t>剖面图（横向）</w:t>
            </w:r>
          </w:p>
          <w:p w14:paraId="70DED15B">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spacing w:val="0"/>
                <w:position w:val="0"/>
                <w:sz w:val="21"/>
                <w:szCs w:val="21"/>
                <w:highlight w:val="none"/>
                <w:lang w:eastAsia="zh-CN"/>
              </w:rPr>
            </w:pPr>
            <w:bookmarkStart w:id="9" w:name="_Toc16375"/>
            <w:r>
              <w:rPr>
                <w:rFonts w:hint="default" w:ascii="Times New Roman" w:hAnsi="Times New Roman" w:eastAsia="宋体" w:cs="Times New Roman"/>
                <w:b/>
                <w:bCs/>
                <w:color w:val="auto"/>
                <w:spacing w:val="0"/>
                <w:position w:val="0"/>
                <w:sz w:val="21"/>
                <w:szCs w:val="21"/>
                <w:highlight w:val="none"/>
                <w:lang w:eastAsia="zh-CN"/>
              </w:rPr>
              <w:drawing>
                <wp:inline distT="0" distB="0" distL="114300" distR="114300">
                  <wp:extent cx="4739640" cy="2829560"/>
                  <wp:effectExtent l="0" t="0" r="3810" b="8890"/>
                  <wp:docPr id="23" name="图片 50" descr="位置关系剖面图-模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0" descr="位置关系剖面图-模型_01"/>
                          <pic:cNvPicPr>
                            <a:picLocks noChangeAspect="1"/>
                          </pic:cNvPicPr>
                        </pic:nvPicPr>
                        <pic:blipFill>
                          <a:blip r:embed="rId27"/>
                          <a:srcRect t="54128" r="14824"/>
                          <a:stretch>
                            <a:fillRect/>
                          </a:stretch>
                        </pic:blipFill>
                        <pic:spPr>
                          <a:xfrm>
                            <a:off x="0" y="0"/>
                            <a:ext cx="4739640" cy="2829560"/>
                          </a:xfrm>
                          <a:prstGeom prst="rect">
                            <a:avLst/>
                          </a:prstGeom>
                          <a:noFill/>
                          <a:ln>
                            <a:noFill/>
                          </a:ln>
                        </pic:spPr>
                      </pic:pic>
                    </a:graphicData>
                  </a:graphic>
                </wp:inline>
              </w:drawing>
            </w:r>
          </w:p>
          <w:p w14:paraId="6A0A6644">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spacing w:val="0"/>
                <w:position w:val="0"/>
                <w:sz w:val="21"/>
                <w:szCs w:val="21"/>
                <w:highlight w:val="none"/>
              </w:rPr>
            </w:pPr>
            <w:r>
              <w:rPr>
                <w:rFonts w:hint="default" w:ascii="Times New Roman" w:hAnsi="Times New Roman" w:eastAsia="宋体" w:cs="Times New Roman"/>
                <w:b/>
                <w:bCs/>
                <w:color w:val="auto"/>
                <w:spacing w:val="0"/>
                <w:position w:val="0"/>
                <w:sz w:val="21"/>
                <w:szCs w:val="21"/>
                <w:highlight w:val="none"/>
              </w:rPr>
              <w:t>图1</w:t>
            </w:r>
            <w:r>
              <w:rPr>
                <w:rFonts w:hint="default" w:ascii="Times New Roman" w:hAnsi="Times New Roman" w:eastAsia="宋体" w:cs="Times New Roman"/>
                <w:b/>
                <w:bCs/>
                <w:color w:val="auto"/>
                <w:spacing w:val="0"/>
                <w:position w:val="0"/>
                <w:sz w:val="21"/>
                <w:szCs w:val="21"/>
                <w:highlight w:val="none"/>
                <w:lang w:val="en-US" w:eastAsia="zh-CN"/>
              </w:rPr>
              <w:t>-4</w:t>
            </w:r>
            <w:r>
              <w:rPr>
                <w:rFonts w:hint="default" w:ascii="Times New Roman" w:hAnsi="Times New Roman" w:eastAsia="宋体" w:cs="Times New Roman"/>
                <w:b/>
                <w:bCs/>
                <w:color w:val="auto"/>
                <w:spacing w:val="0"/>
                <w:position w:val="0"/>
                <w:sz w:val="21"/>
                <w:szCs w:val="21"/>
                <w:highlight w:val="none"/>
              </w:rPr>
              <w:t>项目</w:t>
            </w:r>
            <w:bookmarkEnd w:id="9"/>
            <w:r>
              <w:rPr>
                <w:rFonts w:hint="default" w:ascii="Times New Roman" w:hAnsi="Times New Roman" w:eastAsia="宋体" w:cs="Times New Roman"/>
                <w:b/>
                <w:bCs/>
                <w:color w:val="auto"/>
                <w:spacing w:val="0"/>
                <w:position w:val="0"/>
                <w:sz w:val="21"/>
                <w:szCs w:val="21"/>
                <w:highlight w:val="none"/>
                <w:lang w:val="en-US" w:eastAsia="zh-CN"/>
              </w:rPr>
              <w:t>三楼、四楼、五楼</w:t>
            </w:r>
            <w:r>
              <w:rPr>
                <w:rFonts w:hint="default" w:ascii="Times New Roman" w:hAnsi="Times New Roman" w:eastAsia="宋体" w:cs="Times New Roman"/>
                <w:b/>
                <w:bCs/>
                <w:color w:val="auto"/>
                <w:spacing w:val="0"/>
                <w:position w:val="0"/>
                <w:sz w:val="21"/>
                <w:szCs w:val="21"/>
                <w:highlight w:val="none"/>
              </w:rPr>
              <w:t>对应位置关系剖面图</w:t>
            </w:r>
            <w:r>
              <w:rPr>
                <w:rFonts w:hint="default" w:ascii="Times New Roman" w:hAnsi="Times New Roman" w:eastAsia="宋体" w:cs="Times New Roman"/>
                <w:b/>
                <w:bCs/>
                <w:color w:val="auto"/>
                <w:spacing w:val="0"/>
                <w:position w:val="0"/>
                <w:sz w:val="21"/>
                <w:szCs w:val="21"/>
                <w:highlight w:val="none"/>
                <w:lang w:val="en-US" w:eastAsia="zh-CN"/>
              </w:rPr>
              <w:t>（纵向）</w:t>
            </w:r>
          </w:p>
          <w:p w14:paraId="554B0228">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根据平面布置图，本项目DSA介入室拟建场所北面依次为洁净通道、麻醉恢复区、空调机房。</w:t>
            </w:r>
          </w:p>
          <w:p w14:paraId="5C87D2A9">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东北面依次为换车区、楼梯间、楼梯前室、谈话间、家属等候区等。</w:t>
            </w:r>
          </w:p>
          <w:p w14:paraId="16ABABFF">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东面依次为16号手术室、污物打包间、电梯厅/污梯等。</w:t>
            </w:r>
          </w:p>
          <w:p w14:paraId="1334F78E">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东南面依次为护工休息室等。</w:t>
            </w:r>
          </w:p>
          <w:p w14:paraId="234C04AF">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南面为污物通道。</w:t>
            </w:r>
          </w:p>
          <w:p w14:paraId="50008E1A">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西面依次为13号手术室、12号手术室、11号手术室、机房等。</w:t>
            </w:r>
          </w:p>
          <w:p w14:paraId="529DE780">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西北面依次为麻醉准备间、药品间、一次性药品库、无菌包贮存间、医生休息室、二次换鞋区、楼梯间、电梯厅、机房等。</w:t>
            </w:r>
          </w:p>
          <w:p w14:paraId="76DE7073">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机房正上方为神经外科病房、癫痫病房。</w:t>
            </w:r>
          </w:p>
          <w:p w14:paraId="1D35C8D9">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color w:val="auto"/>
                <w:spacing w:val="0"/>
                <w:kern w:val="2"/>
                <w:position w:val="0"/>
                <w:sz w:val="24"/>
                <w:szCs w:val="24"/>
                <w:highlight w:val="none"/>
                <w:lang w:val="en-US" w:eastAsia="zh-CN" w:bidi="ar-SA"/>
              </w:rPr>
            </w:pPr>
            <w:r>
              <w:rPr>
                <w:rFonts w:hint="default" w:ascii="Times New Roman" w:hAnsi="Times New Roman" w:eastAsia="宋体" w:cs="Times New Roman"/>
                <w:b w:val="0"/>
                <w:color w:val="auto"/>
                <w:spacing w:val="0"/>
                <w:kern w:val="2"/>
                <w:position w:val="0"/>
                <w:sz w:val="24"/>
                <w:szCs w:val="24"/>
                <w:highlight w:val="none"/>
                <w:lang w:val="en-US" w:eastAsia="zh-CN" w:bidi="ar-SA"/>
              </w:rPr>
              <w:t>机房正下方为敷料打包室、库房、器械预清洗、2号手术室。</w:t>
            </w:r>
          </w:p>
          <w:p w14:paraId="4437C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医院位于城市建成区，不涉及自然保护区、风景名胜区等环境敏感区，未占用生态保护红线，本次项目选址无环境制约因素，</w:t>
            </w:r>
            <w:r>
              <w:rPr>
                <w:rFonts w:hint="default" w:ascii="Times New Roman" w:hAnsi="Times New Roman" w:eastAsia="宋体" w:cs="Times New Roman"/>
                <w:color w:val="auto"/>
                <w:spacing w:val="0"/>
                <w:position w:val="0"/>
                <w:highlight w:val="none"/>
                <w:lang w:val="en-US" w:eastAsia="zh-CN"/>
              </w:rPr>
              <w:t>机房四邻及正上、正下方区域不涉及新生儿及婴幼儿诊疗、妇产科检查等敏感科室</w:t>
            </w:r>
            <w:r>
              <w:rPr>
                <w:rFonts w:hint="default" w:ascii="Times New Roman" w:hAnsi="Times New Roman" w:eastAsia="宋体" w:cs="Times New Roman"/>
                <w:color w:val="auto"/>
                <w:spacing w:val="0"/>
                <w:position w:val="0"/>
                <w:highlight w:val="none"/>
              </w:rPr>
              <w:t>。本项目50m范围之内无自然保护区、风景名胜区等环境敏感区，也未紧邻产科、儿科、食堂等，本项目DSA机房已进行了相应的辐射屏蔽防护设计，本项目的开展通过辐射屏蔽措施后对周围环境影响较小，项目选址合理。</w:t>
            </w:r>
          </w:p>
          <w:p w14:paraId="5271574B">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项目平面布置合理性分析</w:t>
            </w:r>
          </w:p>
          <w:p w14:paraId="0E567D1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yellow"/>
              </w:rPr>
            </w:pPr>
            <w:r>
              <w:rPr>
                <w:rFonts w:hint="default" w:ascii="Times New Roman" w:hAnsi="Times New Roman" w:eastAsia="宋体" w:cs="Times New Roman"/>
                <w:color w:val="auto"/>
                <w:spacing w:val="0"/>
                <w:position w:val="0"/>
                <w:highlight w:val="none"/>
              </w:rPr>
              <w:t>根据满足</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诊治工作要求、有利于辐射防护和环境保护以及各组成部分功能分区明确，既能有机联系，又不相互干扰</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的原则，对本项目工作场所平面布置合理性分析如下：</w:t>
            </w:r>
          </w:p>
          <w:p w14:paraId="53F9475B">
            <w:pPr>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color w:val="auto"/>
                <w:spacing w:val="0"/>
                <w:position w:val="0"/>
                <w:sz w:val="24"/>
              </w:rPr>
            </w:pPr>
            <w:r>
              <w:rPr>
                <w:rFonts w:hint="default" w:ascii="Times New Roman" w:hAnsi="Times New Roman" w:eastAsia="宋体" w:cs="Times New Roman"/>
                <w:color w:val="auto"/>
                <w:spacing w:val="0"/>
                <w:kern w:val="2"/>
                <w:position w:val="0"/>
                <w:sz w:val="24"/>
                <w:szCs w:val="24"/>
                <w:lang w:val="en-US" w:eastAsia="zh-CN" w:bidi="ar-SA"/>
              </w:rPr>
              <w:t>（1）</w:t>
            </w:r>
            <w:r>
              <w:rPr>
                <w:rFonts w:hint="default" w:ascii="Times New Roman" w:hAnsi="Times New Roman" w:eastAsia="宋体" w:cs="Times New Roman"/>
                <w:color w:val="auto"/>
                <w:spacing w:val="0"/>
                <w:position w:val="0"/>
                <w:highlight w:val="none"/>
                <w:lang w:val="en-US" w:eastAsia="zh-CN"/>
              </w:rPr>
              <w:t>本</w:t>
            </w:r>
            <w:r>
              <w:rPr>
                <w:rFonts w:hint="default" w:ascii="Times New Roman" w:hAnsi="Times New Roman" w:eastAsia="宋体" w:cs="Times New Roman"/>
                <w:color w:val="auto"/>
                <w:spacing w:val="0"/>
                <w:position w:val="0"/>
                <w:highlight w:val="none"/>
              </w:rPr>
              <w:t>项目DSA机房</w:t>
            </w:r>
            <w:r>
              <w:rPr>
                <w:rFonts w:hint="default" w:ascii="Times New Roman" w:hAnsi="Times New Roman" w:eastAsia="宋体" w:cs="Times New Roman"/>
                <w:color w:val="auto"/>
                <w:spacing w:val="0"/>
                <w:position w:val="0"/>
                <w:highlight w:val="none"/>
                <w:lang w:val="en-US" w:eastAsia="zh-CN"/>
              </w:rPr>
              <w:t>位于</w:t>
            </w:r>
            <w:r>
              <w:rPr>
                <w:rFonts w:hint="default" w:ascii="Times New Roman" w:hAnsi="Times New Roman" w:eastAsia="宋体" w:cs="Times New Roman"/>
                <w:color w:val="auto"/>
                <w:spacing w:val="0"/>
                <w:position w:val="0"/>
                <w:sz w:val="24"/>
                <w:szCs w:val="24"/>
                <w:highlight w:val="none"/>
                <w:lang w:val="en-US" w:eastAsia="zh-CN"/>
              </w:rPr>
              <w:t>住院楼5楼东侧</w:t>
            </w:r>
            <w:r>
              <w:rPr>
                <w:rFonts w:hint="default" w:ascii="Times New Roman" w:hAnsi="Times New Roman" w:eastAsia="宋体" w:cs="Times New Roman"/>
                <w:color w:val="auto"/>
                <w:spacing w:val="0"/>
                <w:position w:val="0"/>
                <w:highlight w:val="none"/>
                <w:lang w:val="en-US" w:eastAsia="zh-CN"/>
              </w:rPr>
              <w:t>，将设置辐射防护警示标识和屏蔽门，可以避免</w:t>
            </w:r>
            <w:r>
              <w:rPr>
                <w:rFonts w:hint="default" w:ascii="Times New Roman" w:hAnsi="Times New Roman" w:eastAsia="宋体" w:cs="Times New Roman"/>
                <w:color w:val="auto"/>
                <w:spacing w:val="0"/>
                <w:position w:val="0"/>
                <w:sz w:val="24"/>
              </w:rPr>
              <w:t>人流量大、人员集中活动，同时兼顾了病员就诊的方便性，并在机房门外设置固定的电离辐射警告标志和工作状态指示灯，将机房划定为控制区，限制无关人员受到不必要的照射。</w:t>
            </w:r>
          </w:p>
          <w:p w14:paraId="1F2D3F5C">
            <w:pPr>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kern w:val="2"/>
                <w:position w:val="0"/>
                <w:sz w:val="24"/>
                <w:szCs w:val="24"/>
                <w:lang w:val="en-US" w:eastAsia="zh-CN" w:bidi="ar-SA"/>
              </w:rPr>
              <w:t>（2）</w:t>
            </w:r>
            <w:r>
              <w:rPr>
                <w:rFonts w:hint="default" w:ascii="Times New Roman" w:hAnsi="Times New Roman" w:eastAsia="宋体" w:cs="Times New Roman"/>
                <w:color w:val="auto"/>
                <w:spacing w:val="0"/>
                <w:position w:val="0"/>
                <w:highlight w:val="none"/>
                <w:lang w:val="en-US" w:eastAsia="zh-CN"/>
              </w:rPr>
              <w:t>DSA介入室单独设置了医护人员通道、污物通道及病人通道，设置独立，便于管理。详见附图</w:t>
            </w:r>
            <w:r>
              <w:rPr>
                <w:rFonts w:hint="eastAsia" w:cs="Times New Roman"/>
                <w:color w:val="auto"/>
                <w:spacing w:val="0"/>
                <w:position w:val="0"/>
                <w:highlight w:val="none"/>
                <w:lang w:val="en-US" w:eastAsia="zh-CN"/>
              </w:rPr>
              <w:t>9</w:t>
            </w:r>
            <w:r>
              <w:rPr>
                <w:rFonts w:hint="default" w:ascii="Times New Roman" w:hAnsi="Times New Roman" w:eastAsia="宋体" w:cs="Times New Roman"/>
                <w:color w:val="auto"/>
                <w:spacing w:val="0"/>
                <w:position w:val="0"/>
                <w:highlight w:val="none"/>
                <w:lang w:val="en-US" w:eastAsia="zh-CN"/>
              </w:rPr>
              <w:t>。</w:t>
            </w:r>
          </w:p>
          <w:p w14:paraId="2E73441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医护</w:t>
            </w:r>
            <w:r>
              <w:rPr>
                <w:rFonts w:hint="default" w:ascii="Times New Roman" w:hAnsi="Times New Roman" w:eastAsia="宋体" w:cs="Times New Roman"/>
                <w:color w:val="auto"/>
                <w:spacing w:val="0"/>
                <w:position w:val="0"/>
              </w:rPr>
              <w:t>人员通道：</w:t>
            </w:r>
            <w:r>
              <w:rPr>
                <w:rFonts w:hint="default" w:ascii="Times New Roman" w:hAnsi="Times New Roman" w:eastAsia="宋体" w:cs="Times New Roman"/>
                <w:color w:val="auto"/>
                <w:spacing w:val="0"/>
                <w:position w:val="0"/>
                <w:lang w:val="en-US" w:eastAsia="zh-CN"/>
              </w:rPr>
              <w:t>本项目DSA</w:t>
            </w:r>
            <w:r>
              <w:rPr>
                <w:rFonts w:hint="default" w:ascii="Times New Roman" w:hAnsi="Times New Roman" w:eastAsia="宋体" w:cs="Times New Roman"/>
                <w:color w:val="auto"/>
                <w:spacing w:val="0"/>
                <w:position w:val="0"/>
              </w:rPr>
              <w:t>医务人员</w:t>
            </w:r>
            <w:r>
              <w:rPr>
                <w:rFonts w:hint="default" w:ascii="Times New Roman" w:hAnsi="Times New Roman" w:eastAsia="宋体" w:cs="Times New Roman"/>
                <w:color w:val="auto"/>
                <w:spacing w:val="0"/>
                <w:position w:val="0"/>
                <w:lang w:val="en-US" w:eastAsia="zh-CN"/>
              </w:rPr>
              <w:t>由三楼进入男更衣室或女更衣室分别更衣，做完术前清洗准备</w:t>
            </w:r>
            <w:r>
              <w:rPr>
                <w:rFonts w:hint="default" w:ascii="Times New Roman" w:hAnsi="Times New Roman" w:eastAsia="宋体" w:cs="Times New Roman"/>
                <w:color w:val="auto"/>
                <w:spacing w:val="0"/>
                <w:position w:val="0"/>
              </w:rPr>
              <w:t>后</w:t>
            </w:r>
            <w:r>
              <w:rPr>
                <w:rFonts w:hint="default" w:ascii="Times New Roman" w:hAnsi="Times New Roman" w:eastAsia="宋体" w:cs="Times New Roman"/>
                <w:color w:val="auto"/>
                <w:spacing w:val="0"/>
                <w:position w:val="0"/>
                <w:lang w:val="en-US" w:eastAsia="zh-CN"/>
              </w:rPr>
              <w:t>由三楼医生通道</w:t>
            </w:r>
            <w:r>
              <w:rPr>
                <w:rFonts w:hint="default" w:ascii="Times New Roman" w:hAnsi="Times New Roman" w:eastAsia="宋体" w:cs="Times New Roman"/>
                <w:color w:val="auto"/>
                <w:spacing w:val="0"/>
                <w:position w:val="0"/>
              </w:rPr>
              <w:t>进入</w:t>
            </w:r>
            <w:r>
              <w:rPr>
                <w:rFonts w:hint="default" w:ascii="Times New Roman" w:hAnsi="Times New Roman" w:eastAsia="宋体" w:cs="Times New Roman"/>
                <w:color w:val="auto"/>
                <w:spacing w:val="0"/>
                <w:position w:val="0"/>
                <w:lang w:val="en-US" w:eastAsia="zh-CN"/>
              </w:rPr>
              <w:t>五楼，后通过清洁通道进入控制室</w:t>
            </w:r>
            <w:r>
              <w:rPr>
                <w:rFonts w:hint="default" w:ascii="Times New Roman" w:hAnsi="Times New Roman" w:eastAsia="宋体" w:cs="Times New Roman"/>
                <w:color w:val="auto"/>
                <w:spacing w:val="0"/>
                <w:position w:val="0"/>
              </w:rPr>
              <w:t>，减影</w:t>
            </w:r>
            <w:r>
              <w:rPr>
                <w:rFonts w:hint="default" w:ascii="Times New Roman" w:hAnsi="Times New Roman" w:eastAsia="宋体" w:cs="Times New Roman"/>
                <w:color w:val="auto"/>
                <w:spacing w:val="0"/>
                <w:position w:val="0"/>
                <w:lang w:val="en-US" w:eastAsia="zh-CN"/>
              </w:rPr>
              <w:t>手术医生在控制室内操作，</w:t>
            </w:r>
            <w:r>
              <w:rPr>
                <w:rFonts w:hint="default" w:ascii="Times New Roman" w:hAnsi="Times New Roman" w:eastAsia="宋体" w:cs="Times New Roman"/>
                <w:color w:val="auto"/>
                <w:spacing w:val="0"/>
                <w:position w:val="0"/>
              </w:rPr>
              <w:t>透视</w:t>
            </w:r>
            <w:r>
              <w:rPr>
                <w:rFonts w:hint="default" w:ascii="Times New Roman" w:hAnsi="Times New Roman" w:eastAsia="宋体" w:cs="Times New Roman"/>
                <w:color w:val="auto"/>
                <w:spacing w:val="0"/>
                <w:position w:val="0"/>
                <w:lang w:val="en-US" w:eastAsia="zh-CN"/>
              </w:rPr>
              <w:t>手术则由介入手术医生由控制室铅门进入</w:t>
            </w:r>
            <w:r>
              <w:rPr>
                <w:rFonts w:hint="default" w:ascii="Times New Roman" w:hAnsi="Times New Roman" w:eastAsia="宋体" w:cs="Times New Roman"/>
                <w:color w:val="auto"/>
                <w:spacing w:val="0"/>
                <w:position w:val="0"/>
              </w:rPr>
              <w:t>DSA介入室进行手术，出则原路返回。</w:t>
            </w:r>
          </w:p>
          <w:p w14:paraId="1350AEC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患者通道：患者通过</w:t>
            </w:r>
            <w:r>
              <w:rPr>
                <w:rFonts w:hint="default" w:ascii="Times New Roman" w:hAnsi="Times New Roman" w:eastAsia="宋体" w:cs="Times New Roman"/>
                <w:color w:val="auto"/>
                <w:spacing w:val="0"/>
                <w:position w:val="0"/>
                <w:lang w:val="en-US" w:eastAsia="zh-CN"/>
              </w:rPr>
              <w:t>五楼患者通道</w:t>
            </w:r>
            <w:r>
              <w:rPr>
                <w:rFonts w:hint="default" w:ascii="Times New Roman" w:hAnsi="Times New Roman" w:eastAsia="宋体" w:cs="Times New Roman"/>
                <w:color w:val="auto"/>
                <w:spacing w:val="0"/>
                <w:position w:val="0"/>
              </w:rPr>
              <w:t>进入</w:t>
            </w:r>
            <w:r>
              <w:rPr>
                <w:rFonts w:hint="default" w:ascii="Times New Roman" w:hAnsi="Times New Roman" w:eastAsia="宋体" w:cs="Times New Roman"/>
                <w:color w:val="auto"/>
                <w:spacing w:val="0"/>
                <w:position w:val="0"/>
                <w:lang w:val="en-US" w:eastAsia="zh-CN"/>
              </w:rPr>
              <w:t>换车区等候，再进入</w:t>
            </w:r>
            <w:r>
              <w:rPr>
                <w:rFonts w:hint="default" w:ascii="Times New Roman" w:hAnsi="Times New Roman" w:eastAsia="宋体" w:cs="Times New Roman"/>
                <w:color w:val="auto"/>
                <w:spacing w:val="0"/>
                <w:position w:val="0"/>
              </w:rPr>
              <w:t>DSA介入室进行手术，手术结束后</w:t>
            </w:r>
            <w:r>
              <w:rPr>
                <w:rFonts w:hint="default" w:ascii="Times New Roman" w:hAnsi="Times New Roman" w:eastAsia="宋体" w:cs="Times New Roman"/>
                <w:color w:val="auto"/>
                <w:spacing w:val="0"/>
                <w:position w:val="0"/>
                <w:lang w:val="en-US" w:eastAsia="zh-CN"/>
              </w:rPr>
              <w:t>离开介入室进入麻醉恢复区复苏，复苏后沿洁净通道离院</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DSA介入室</w:t>
            </w:r>
            <w:r>
              <w:rPr>
                <w:rFonts w:hint="default" w:ascii="Times New Roman" w:hAnsi="Times New Roman" w:eastAsia="宋体" w:cs="Times New Roman"/>
                <w:color w:val="auto"/>
                <w:spacing w:val="0"/>
                <w:position w:val="0"/>
              </w:rPr>
              <w:t>患者入口铅门</w:t>
            </w:r>
            <w:r>
              <w:rPr>
                <w:rFonts w:hint="default" w:ascii="Times New Roman" w:hAnsi="Times New Roman" w:eastAsia="宋体" w:cs="Times New Roman"/>
                <w:color w:val="auto"/>
                <w:spacing w:val="0"/>
                <w:position w:val="0"/>
                <w:lang w:val="en-US" w:eastAsia="zh-CN"/>
              </w:rPr>
              <w:t>大门</w:t>
            </w:r>
            <w:r>
              <w:rPr>
                <w:rFonts w:hint="default" w:ascii="Times New Roman" w:hAnsi="Times New Roman" w:eastAsia="宋体" w:cs="Times New Roman"/>
                <w:color w:val="auto"/>
                <w:spacing w:val="0"/>
                <w:position w:val="0"/>
              </w:rPr>
              <w:t>由</w:t>
            </w:r>
            <w:r>
              <w:rPr>
                <w:rFonts w:hint="default" w:ascii="Times New Roman" w:hAnsi="Times New Roman" w:eastAsia="宋体" w:cs="Times New Roman"/>
                <w:color w:val="auto"/>
                <w:spacing w:val="0"/>
                <w:position w:val="0"/>
                <w:lang w:val="en-US" w:eastAsia="zh-CN"/>
              </w:rPr>
              <w:t>控制室</w:t>
            </w:r>
            <w:r>
              <w:rPr>
                <w:rFonts w:hint="default" w:ascii="Times New Roman" w:hAnsi="Times New Roman" w:eastAsia="宋体" w:cs="Times New Roman"/>
                <w:color w:val="auto"/>
                <w:spacing w:val="0"/>
                <w:position w:val="0"/>
              </w:rPr>
              <w:t>内医生控制开关，避免人员误入。患者通道的宽度满足病人手推车辆的通行，便于行动不便的患者治疗。</w:t>
            </w:r>
          </w:p>
          <w:p w14:paraId="5404F8A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污物通道：</w:t>
            </w:r>
            <w:r>
              <w:rPr>
                <w:rFonts w:hint="default" w:ascii="Times New Roman" w:hAnsi="Times New Roman" w:eastAsia="宋体" w:cs="Times New Roman"/>
                <w:color w:val="auto"/>
                <w:spacing w:val="0"/>
                <w:position w:val="0"/>
                <w:sz w:val="24"/>
                <w:highlight w:val="none"/>
              </w:rPr>
              <w:t>污物通过</w:t>
            </w:r>
            <w:r>
              <w:rPr>
                <w:rFonts w:hint="default" w:ascii="Times New Roman" w:hAnsi="Times New Roman" w:eastAsia="宋体" w:cs="Times New Roman"/>
                <w:color w:val="auto"/>
                <w:spacing w:val="0"/>
                <w:position w:val="0"/>
                <w:sz w:val="24"/>
                <w:highlight w:val="none"/>
                <w:lang w:eastAsia="zh-CN"/>
              </w:rPr>
              <w:t>DSA</w:t>
            </w:r>
            <w:r>
              <w:rPr>
                <w:rFonts w:hint="default" w:ascii="Times New Roman" w:hAnsi="Times New Roman" w:eastAsia="宋体" w:cs="Times New Roman"/>
                <w:color w:val="auto"/>
                <w:spacing w:val="0"/>
                <w:position w:val="0"/>
                <w:sz w:val="24"/>
                <w:highlight w:val="none"/>
                <w:lang w:val="en-US" w:eastAsia="zh-CN"/>
              </w:rPr>
              <w:t>手术室</w:t>
            </w:r>
            <w:r>
              <w:rPr>
                <w:rFonts w:hint="default" w:ascii="Times New Roman" w:hAnsi="Times New Roman" w:eastAsia="宋体" w:cs="Times New Roman"/>
                <w:color w:val="auto"/>
                <w:spacing w:val="0"/>
                <w:position w:val="0"/>
                <w:sz w:val="24"/>
                <w:highlight w:val="none"/>
              </w:rPr>
              <w:t>内的医废收集桶收集，</w:t>
            </w:r>
            <w:r>
              <w:rPr>
                <w:rFonts w:hint="default" w:ascii="Times New Roman" w:hAnsi="Times New Roman" w:eastAsia="宋体" w:cs="Times New Roman"/>
                <w:color w:val="auto"/>
                <w:spacing w:val="0"/>
                <w:position w:val="0"/>
                <w:sz w:val="24"/>
                <w:highlight w:val="none"/>
                <w:lang w:val="en-US" w:eastAsia="zh-CN"/>
              </w:rPr>
              <w:t>当手术结束后由南侧污物通道运至污物打包间暂存，后从污梯由工作人员运至院内的医疗废物暂存间内委托曲靖银发危险废物集中处置中心有限公司处置</w:t>
            </w:r>
            <w:r>
              <w:rPr>
                <w:rFonts w:hint="default" w:ascii="Times New Roman" w:hAnsi="Times New Roman" w:eastAsia="宋体" w:cs="Times New Roman"/>
                <w:color w:val="auto"/>
                <w:spacing w:val="0"/>
                <w:position w:val="0"/>
                <w:sz w:val="24"/>
                <w:highlight w:val="none"/>
              </w:rPr>
              <w:t>。</w:t>
            </w:r>
          </w:p>
          <w:p w14:paraId="6486561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w:t>
            </w:r>
            <w:r>
              <w:rPr>
                <w:rFonts w:hint="default" w:ascii="Times New Roman" w:hAnsi="Times New Roman" w:eastAsia="宋体" w:cs="Times New Roman"/>
                <w:bCs/>
                <w:color w:val="auto"/>
                <w:spacing w:val="0"/>
                <w:position w:val="0"/>
              </w:rPr>
              <w:t>DSA机房内不设采光窗，</w:t>
            </w:r>
            <w:r>
              <w:rPr>
                <w:rFonts w:hint="default" w:ascii="Times New Roman" w:hAnsi="Times New Roman" w:eastAsia="宋体" w:cs="Times New Roman"/>
                <w:bCs/>
                <w:color w:val="auto"/>
                <w:spacing w:val="0"/>
                <w:position w:val="0"/>
                <w:lang w:val="en-US" w:eastAsia="zh-CN"/>
              </w:rPr>
              <w:t>有</w:t>
            </w:r>
            <w:r>
              <w:rPr>
                <w:rFonts w:hint="default" w:ascii="Times New Roman" w:hAnsi="Times New Roman" w:eastAsia="宋体" w:cs="Times New Roman"/>
                <w:bCs/>
                <w:color w:val="auto"/>
                <w:spacing w:val="0"/>
                <w:position w:val="0"/>
              </w:rPr>
              <w:t>用线束不直接照射门、管线口位置；控制室紧邻机房，中间设防护窗便于观察机房情况；设备机房与控制室分开。患者</w:t>
            </w:r>
            <w:r>
              <w:rPr>
                <w:rFonts w:hint="default" w:ascii="Times New Roman" w:hAnsi="Times New Roman" w:eastAsia="宋体" w:cs="Times New Roman"/>
                <w:bCs/>
                <w:color w:val="auto"/>
                <w:spacing w:val="0"/>
                <w:position w:val="0"/>
                <w:lang w:val="en-US" w:eastAsia="zh-CN"/>
              </w:rPr>
              <w:t>在缓冲区候诊，</w:t>
            </w:r>
            <w:r>
              <w:rPr>
                <w:rFonts w:hint="default" w:ascii="Times New Roman" w:hAnsi="Times New Roman" w:eastAsia="宋体" w:cs="Times New Roman"/>
                <w:bCs/>
                <w:color w:val="auto"/>
                <w:spacing w:val="0"/>
                <w:position w:val="0"/>
              </w:rPr>
              <w:t>不在机房内候诊。</w:t>
            </w:r>
            <w:r>
              <w:rPr>
                <w:rFonts w:hint="default" w:ascii="Times New Roman" w:hAnsi="Times New Roman" w:eastAsia="宋体" w:cs="Times New Roman"/>
                <w:color w:val="auto"/>
                <w:spacing w:val="0"/>
                <w:position w:val="0"/>
              </w:rPr>
              <w:t>本项目设置</w:t>
            </w:r>
            <w:r>
              <w:rPr>
                <w:rFonts w:hint="default" w:ascii="Times New Roman" w:hAnsi="Times New Roman" w:eastAsia="宋体" w:cs="Times New Roman"/>
                <w:color w:val="auto"/>
                <w:spacing w:val="0"/>
                <w:position w:val="0"/>
                <w:lang w:eastAsia="zh-CN"/>
              </w:rPr>
              <w:t>了</w:t>
            </w:r>
            <w:r>
              <w:rPr>
                <w:rFonts w:hint="default" w:ascii="Times New Roman" w:hAnsi="Times New Roman" w:eastAsia="宋体" w:cs="Times New Roman"/>
                <w:color w:val="auto"/>
                <w:spacing w:val="0"/>
                <w:position w:val="0"/>
                <w:lang w:val="en-US" w:eastAsia="zh-CN"/>
              </w:rPr>
              <w:t>单独</w:t>
            </w:r>
            <w:r>
              <w:rPr>
                <w:rFonts w:hint="default" w:ascii="Times New Roman" w:hAnsi="Times New Roman" w:eastAsia="宋体" w:cs="Times New Roman"/>
                <w:color w:val="auto"/>
                <w:spacing w:val="0"/>
                <w:position w:val="0"/>
                <w:lang w:eastAsia="zh-CN"/>
              </w:rPr>
              <w:t>污物通道</w:t>
            </w:r>
            <w:r>
              <w:rPr>
                <w:rFonts w:hint="default" w:ascii="Times New Roman" w:hAnsi="Times New Roman" w:eastAsia="宋体" w:cs="Times New Roman"/>
                <w:color w:val="auto"/>
                <w:spacing w:val="0"/>
                <w:position w:val="0"/>
              </w:rPr>
              <w:t>，手术中的污物收集至医疗废物专用容器内，通过</w:t>
            </w:r>
            <w:r>
              <w:rPr>
                <w:rFonts w:hint="default" w:ascii="Times New Roman" w:hAnsi="Times New Roman" w:eastAsia="宋体" w:cs="Times New Roman"/>
                <w:color w:val="auto"/>
                <w:spacing w:val="0"/>
                <w:position w:val="0"/>
                <w:lang w:eastAsia="zh-CN"/>
              </w:rPr>
              <w:t>污物通道</w:t>
            </w:r>
            <w:r>
              <w:rPr>
                <w:rFonts w:hint="default" w:ascii="Times New Roman" w:hAnsi="Times New Roman" w:eastAsia="宋体" w:cs="Times New Roman"/>
                <w:color w:val="auto"/>
                <w:spacing w:val="0"/>
                <w:position w:val="0"/>
                <w:lang w:val="en-US" w:eastAsia="zh-CN"/>
              </w:rPr>
              <w:t>打包暂存后沿</w:t>
            </w:r>
            <w:r>
              <w:rPr>
                <w:rFonts w:hint="default" w:ascii="Times New Roman" w:hAnsi="Times New Roman" w:eastAsia="宋体" w:cs="Times New Roman"/>
                <w:color w:val="auto"/>
                <w:spacing w:val="0"/>
                <w:position w:val="0"/>
              </w:rPr>
              <w:t>污物路线运送至</w:t>
            </w:r>
            <w:r>
              <w:rPr>
                <w:rFonts w:hint="default" w:ascii="Times New Roman" w:hAnsi="Times New Roman" w:eastAsia="宋体" w:cs="Times New Roman"/>
                <w:color w:val="auto"/>
                <w:spacing w:val="0"/>
                <w:position w:val="0"/>
                <w:lang w:val="en-US" w:eastAsia="zh-CN"/>
              </w:rPr>
              <w:t>医院已建成的</w:t>
            </w:r>
            <w:r>
              <w:rPr>
                <w:rFonts w:hint="default" w:ascii="Times New Roman" w:hAnsi="Times New Roman" w:eastAsia="宋体" w:cs="Times New Roman"/>
                <w:color w:val="auto"/>
                <w:spacing w:val="0"/>
                <w:position w:val="0"/>
                <w:highlight w:val="none"/>
                <w:lang w:val="en-US" w:eastAsia="zh-CN"/>
              </w:rPr>
              <w:t>医疗废物暂存间</w:t>
            </w:r>
            <w:r>
              <w:rPr>
                <w:rFonts w:hint="default" w:ascii="Times New Roman" w:hAnsi="Times New Roman" w:eastAsia="宋体" w:cs="Times New Roman"/>
                <w:color w:val="auto"/>
                <w:spacing w:val="0"/>
                <w:position w:val="0"/>
              </w:rPr>
              <w:t>内</w:t>
            </w:r>
            <w:r>
              <w:rPr>
                <w:rFonts w:hint="default" w:ascii="Times New Roman" w:hAnsi="Times New Roman" w:eastAsia="宋体" w:cs="Times New Roman"/>
                <w:color w:val="auto"/>
                <w:spacing w:val="0"/>
                <w:position w:val="0"/>
                <w:lang w:val="en-US" w:eastAsia="zh-CN"/>
              </w:rPr>
              <w:t>委托有资质单位处置</w:t>
            </w:r>
            <w:r>
              <w:rPr>
                <w:rFonts w:hint="default" w:ascii="Times New Roman" w:hAnsi="Times New Roman" w:eastAsia="宋体" w:cs="Times New Roman"/>
                <w:color w:val="auto"/>
                <w:spacing w:val="0"/>
                <w:position w:val="0"/>
              </w:rPr>
              <w:t>。在满足各使用要求前提下，平面布局合理。</w:t>
            </w:r>
          </w:p>
          <w:p w14:paraId="3E1F695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（4）</w:t>
            </w:r>
            <w:r>
              <w:rPr>
                <w:rFonts w:hint="default" w:ascii="Times New Roman" w:hAnsi="Times New Roman" w:eastAsia="宋体" w:cs="Times New Roman"/>
                <w:color w:val="auto"/>
                <w:spacing w:val="0"/>
                <w:position w:val="0"/>
                <w:lang w:val="en-US" w:eastAsia="zh-CN"/>
              </w:rPr>
              <w:t>本项目建成后的DSA介入室</w:t>
            </w:r>
            <w:r>
              <w:rPr>
                <w:rFonts w:hint="default" w:ascii="Times New Roman" w:hAnsi="Times New Roman" w:eastAsia="宋体" w:cs="Times New Roman"/>
                <w:color w:val="auto"/>
                <w:spacing w:val="0"/>
                <w:position w:val="0"/>
                <w:sz w:val="24"/>
                <w:szCs w:val="24"/>
                <w:highlight w:val="none"/>
                <w:lang w:val="en-US" w:eastAsia="zh-CN"/>
              </w:rPr>
              <w:t>北面长约8m，南面长约</w:t>
            </w:r>
            <w:r>
              <w:rPr>
                <w:rFonts w:hint="eastAsia" w:cs="Times New Roman"/>
                <w:color w:val="auto"/>
                <w:spacing w:val="0"/>
                <w:position w:val="0"/>
                <w:sz w:val="24"/>
                <w:szCs w:val="24"/>
                <w:highlight w:val="none"/>
                <w:lang w:val="en-US" w:eastAsia="zh-CN"/>
              </w:rPr>
              <w:t>1.5</w:t>
            </w:r>
            <w:r>
              <w:rPr>
                <w:rFonts w:hint="default" w:ascii="Times New Roman" w:hAnsi="Times New Roman" w:eastAsia="宋体" w:cs="Times New Roman"/>
                <w:color w:val="auto"/>
                <w:spacing w:val="0"/>
                <w:position w:val="0"/>
                <w:sz w:val="24"/>
                <w:szCs w:val="24"/>
                <w:highlight w:val="none"/>
                <w:lang w:val="en-US" w:eastAsia="zh-CN"/>
              </w:rPr>
              <w:t>m</w:t>
            </w:r>
            <w:r>
              <w:rPr>
                <w:rFonts w:hint="eastAsia" w:cs="Times New Roman"/>
                <w:color w:val="auto"/>
                <w:spacing w:val="0"/>
                <w:position w:val="0"/>
                <w:sz w:val="24"/>
                <w:szCs w:val="24"/>
                <w:highlight w:val="none"/>
                <w:lang w:val="en-US" w:eastAsia="zh-CN"/>
              </w:rPr>
              <w:t>+0.55m</w:t>
            </w:r>
            <w:r>
              <w:rPr>
                <w:rFonts w:hint="default" w:ascii="Times New Roman" w:hAnsi="Times New Roman" w:eastAsia="宋体" w:cs="Times New Roman"/>
                <w:color w:val="auto"/>
                <w:spacing w:val="0"/>
                <w:position w:val="0"/>
                <w:sz w:val="24"/>
                <w:szCs w:val="24"/>
                <w:highlight w:val="none"/>
                <w:lang w:val="en-US" w:eastAsia="zh-CN"/>
              </w:rPr>
              <w:t>+</w:t>
            </w:r>
            <w:r>
              <w:rPr>
                <w:rFonts w:hint="eastAsia" w:cs="Times New Roman"/>
                <w:color w:val="auto"/>
                <w:spacing w:val="0"/>
                <w:position w:val="0"/>
                <w:sz w:val="24"/>
                <w:szCs w:val="24"/>
                <w:highlight w:val="none"/>
                <w:lang w:val="en-US" w:eastAsia="zh-CN"/>
              </w:rPr>
              <w:t>2.1</w:t>
            </w:r>
            <w:r>
              <w:rPr>
                <w:rFonts w:hint="default" w:ascii="Times New Roman" w:hAnsi="Times New Roman" w:eastAsia="宋体" w:cs="Times New Roman"/>
                <w:color w:val="auto"/>
                <w:spacing w:val="0"/>
                <w:position w:val="0"/>
                <w:sz w:val="24"/>
                <w:szCs w:val="24"/>
                <w:highlight w:val="none"/>
                <w:lang w:val="en-US" w:eastAsia="zh-CN"/>
              </w:rPr>
              <w:t>m+</w:t>
            </w:r>
            <w:r>
              <w:rPr>
                <w:rFonts w:hint="eastAsia" w:cs="Times New Roman"/>
                <w:color w:val="auto"/>
                <w:spacing w:val="0"/>
                <w:position w:val="0"/>
                <w:sz w:val="24"/>
                <w:szCs w:val="24"/>
                <w:highlight w:val="none"/>
                <w:lang w:val="en-US" w:eastAsia="zh-CN"/>
              </w:rPr>
              <w:t>1.15</w:t>
            </w:r>
            <w:r>
              <w:rPr>
                <w:rFonts w:hint="default" w:ascii="Times New Roman" w:hAnsi="Times New Roman" w:eastAsia="宋体" w:cs="Times New Roman"/>
                <w:color w:val="auto"/>
                <w:spacing w:val="0"/>
                <w:position w:val="0"/>
                <w:sz w:val="24"/>
                <w:szCs w:val="24"/>
                <w:highlight w:val="none"/>
                <w:lang w:val="en-US" w:eastAsia="zh-CN"/>
              </w:rPr>
              <w:t>m</w:t>
            </w:r>
            <w:r>
              <w:rPr>
                <w:rFonts w:hint="eastAsia" w:cs="Times New Roman"/>
                <w:color w:val="auto"/>
                <w:spacing w:val="0"/>
                <w:position w:val="0"/>
                <w:sz w:val="24"/>
                <w:szCs w:val="24"/>
                <w:highlight w:val="none"/>
                <w:lang w:val="en-US" w:eastAsia="zh-CN"/>
              </w:rPr>
              <w:t>+4.39m（合计9.69m）</w:t>
            </w:r>
            <w:r>
              <w:rPr>
                <w:rFonts w:hint="default" w:ascii="Times New Roman" w:hAnsi="Times New Roman" w:eastAsia="宋体" w:cs="Times New Roman"/>
                <w:color w:val="auto"/>
                <w:spacing w:val="0"/>
                <w:position w:val="0"/>
                <w:sz w:val="24"/>
                <w:szCs w:val="24"/>
                <w:highlight w:val="none"/>
                <w:lang w:val="en-US" w:eastAsia="zh-CN"/>
              </w:rPr>
              <w:t>，西面长约6m，东面长约7.15m，有效面积约为48.21m</w:t>
            </w:r>
            <w:r>
              <w:rPr>
                <w:rFonts w:hint="default" w:ascii="Times New Roman" w:hAnsi="Times New Roman" w:eastAsia="宋体" w:cs="Times New Roman"/>
                <w:color w:val="auto"/>
                <w:spacing w:val="0"/>
                <w:position w:val="0"/>
                <w:sz w:val="24"/>
                <w:szCs w:val="24"/>
                <w:highlight w:val="none"/>
                <w:vertAlign w:val="superscript"/>
                <w:lang w:val="en-US" w:eastAsia="zh-CN"/>
              </w:rPr>
              <w:t>2</w:t>
            </w:r>
            <w:r>
              <w:rPr>
                <w:rFonts w:hint="default" w:ascii="Times New Roman" w:hAnsi="Times New Roman" w:eastAsia="宋体" w:cs="Times New Roman"/>
                <w:color w:val="auto"/>
                <w:spacing w:val="0"/>
                <w:position w:val="0"/>
                <w:sz w:val="24"/>
                <w:szCs w:val="24"/>
                <w:highlight w:val="none"/>
                <w:lang w:val="en-US" w:eastAsia="zh-CN"/>
              </w:rPr>
              <w:t>，</w:t>
            </w:r>
            <w:r>
              <w:rPr>
                <w:rFonts w:hint="default" w:ascii="Times New Roman" w:hAnsi="Times New Roman" w:eastAsia="宋体" w:cs="Times New Roman"/>
                <w:bCs/>
                <w:color w:val="auto"/>
                <w:spacing w:val="0"/>
                <w:position w:val="0"/>
              </w:rPr>
              <w:t>满足</w:t>
            </w:r>
            <w:r>
              <w:rPr>
                <w:rFonts w:hint="default" w:ascii="Times New Roman" w:hAnsi="Times New Roman" w:eastAsia="宋体" w:cs="Times New Roman"/>
                <w:color w:val="auto"/>
                <w:spacing w:val="0"/>
                <w:position w:val="0"/>
              </w:rPr>
              <w:t>《放射诊断放射防护要求》（GBZ130-2020）</w:t>
            </w:r>
            <w:r>
              <w:rPr>
                <w:rFonts w:hint="default" w:ascii="Times New Roman" w:hAnsi="Times New Roman" w:eastAsia="宋体" w:cs="Times New Roman"/>
                <w:bCs/>
                <w:color w:val="auto"/>
                <w:spacing w:val="0"/>
                <w:position w:val="0"/>
              </w:rPr>
              <w:t>中对于单管头X射线设备机房</w:t>
            </w:r>
            <w:r>
              <w:rPr>
                <w:rFonts w:hint="default" w:ascii="Times New Roman" w:hAnsi="Times New Roman" w:eastAsia="宋体" w:cs="Times New Roman"/>
                <w:bCs/>
                <w:color w:val="auto"/>
                <w:spacing w:val="0"/>
                <w:position w:val="0"/>
                <w:lang w:eastAsia="zh-CN"/>
              </w:rPr>
              <w:t>“</w:t>
            </w:r>
            <w:r>
              <w:rPr>
                <w:rFonts w:hint="default" w:ascii="Times New Roman" w:hAnsi="Times New Roman" w:eastAsia="宋体" w:cs="Times New Roman"/>
                <w:bCs/>
                <w:color w:val="auto"/>
                <w:spacing w:val="0"/>
                <w:position w:val="0"/>
              </w:rPr>
              <w:t>最小有效使用面积不低于20m</w:t>
            </w:r>
            <w:r>
              <w:rPr>
                <w:rFonts w:hint="default" w:ascii="Times New Roman" w:hAnsi="Times New Roman" w:eastAsia="宋体" w:cs="Times New Roman"/>
                <w:bCs/>
                <w:color w:val="auto"/>
                <w:spacing w:val="0"/>
                <w:position w:val="0"/>
                <w:vertAlign w:val="superscript"/>
              </w:rPr>
              <w:t>2</w:t>
            </w:r>
            <w:r>
              <w:rPr>
                <w:rFonts w:hint="default" w:ascii="Times New Roman" w:hAnsi="Times New Roman" w:eastAsia="宋体" w:cs="Times New Roman"/>
                <w:bCs/>
                <w:color w:val="auto"/>
                <w:spacing w:val="0"/>
                <w:position w:val="0"/>
              </w:rPr>
              <w:t>，机房内最小单边长度不小于3.5m</w:t>
            </w:r>
            <w:r>
              <w:rPr>
                <w:rFonts w:hint="default" w:ascii="Times New Roman" w:hAnsi="Times New Roman" w:eastAsia="宋体" w:cs="Times New Roman"/>
                <w:bCs/>
                <w:color w:val="auto"/>
                <w:spacing w:val="0"/>
                <w:position w:val="0"/>
                <w:lang w:eastAsia="zh-CN"/>
              </w:rPr>
              <w:t>”</w:t>
            </w:r>
            <w:r>
              <w:rPr>
                <w:rFonts w:hint="default" w:ascii="Times New Roman" w:hAnsi="Times New Roman" w:eastAsia="宋体" w:cs="Times New Roman"/>
                <w:bCs/>
                <w:color w:val="auto"/>
                <w:spacing w:val="0"/>
                <w:position w:val="0"/>
              </w:rPr>
              <w:t>的要求。</w:t>
            </w:r>
          </w:p>
          <w:p w14:paraId="74780F2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（5）从医院整体布局看，由于机房墙面、顶面</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地面</w:t>
            </w:r>
            <w:r>
              <w:rPr>
                <w:rFonts w:hint="default" w:ascii="Times New Roman" w:hAnsi="Times New Roman" w:eastAsia="宋体" w:cs="Times New Roman"/>
                <w:color w:val="auto"/>
                <w:spacing w:val="0"/>
                <w:position w:val="0"/>
              </w:rPr>
              <w:t>均经屏蔽防护处理，</w:t>
            </w:r>
            <w:r>
              <w:rPr>
                <w:rFonts w:hint="default" w:ascii="Times New Roman" w:hAnsi="Times New Roman" w:eastAsia="宋体" w:cs="Times New Roman"/>
                <w:color w:val="auto"/>
                <w:spacing w:val="0"/>
                <w:position w:val="0"/>
                <w:lang w:val="en-US" w:eastAsia="zh-CN"/>
              </w:rPr>
              <w:t>东南西北四周墙体综合铅当量为3.58～4</w:t>
            </w:r>
            <w:r>
              <w:rPr>
                <w:rFonts w:hint="default" w:ascii="Times New Roman" w:hAnsi="Times New Roman" w:eastAsia="宋体" w:cs="Times New Roman"/>
                <w:color w:val="auto"/>
                <w:spacing w:val="0"/>
                <w:position w:val="0"/>
                <w:lang w:eastAsia="zh-CN"/>
              </w:rPr>
              <w:t>mm铅当量，</w:t>
            </w:r>
            <w:r>
              <w:rPr>
                <w:rFonts w:hint="default" w:ascii="Times New Roman" w:hAnsi="Times New Roman" w:eastAsia="宋体" w:cs="Times New Roman"/>
                <w:color w:val="auto"/>
                <w:spacing w:val="0"/>
                <w:position w:val="0"/>
                <w:lang w:val="en-US" w:eastAsia="zh-CN"/>
              </w:rPr>
              <w:t>地面综合铅当量为5.16mm铅当量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顶面综合铅当量为5.44mm铅当量</w:t>
            </w:r>
            <w:r>
              <w:rPr>
                <w:rFonts w:hint="default" w:ascii="Times New Roman" w:hAnsi="Times New Roman" w:eastAsia="宋体" w:cs="Times New Roman"/>
                <w:color w:val="auto"/>
                <w:spacing w:val="0"/>
                <w:position w:val="0"/>
              </w:rPr>
              <w:t>，优于《放射诊断放射防护要求》（GBZ130-2020）的要求，通过环评</w:t>
            </w:r>
            <w:r>
              <w:rPr>
                <w:rFonts w:hint="default" w:ascii="Times New Roman" w:hAnsi="Times New Roman" w:eastAsia="宋体" w:cs="Times New Roman"/>
                <w:color w:val="auto"/>
                <w:spacing w:val="0"/>
                <w:position w:val="0"/>
                <w:lang w:val="en-US" w:eastAsia="zh-CN"/>
              </w:rPr>
              <w:t>理论估算分析</w:t>
            </w:r>
            <w:r>
              <w:rPr>
                <w:rFonts w:hint="default" w:ascii="Times New Roman" w:hAnsi="Times New Roman" w:eastAsia="宋体" w:cs="Times New Roman"/>
                <w:color w:val="auto"/>
                <w:spacing w:val="0"/>
                <w:position w:val="0"/>
              </w:rPr>
              <w:t>DSA正常运行时</w:t>
            </w:r>
            <w:r>
              <w:rPr>
                <w:rFonts w:hint="default" w:ascii="Times New Roman" w:hAnsi="Times New Roman" w:eastAsia="宋体" w:cs="Times New Roman"/>
                <w:color w:val="auto"/>
                <w:spacing w:val="0"/>
                <w:position w:val="0"/>
                <w:lang w:val="en-US" w:eastAsia="zh-CN"/>
              </w:rPr>
              <w:t>周围</w:t>
            </w:r>
            <w:r>
              <w:rPr>
                <w:rFonts w:hint="default" w:ascii="Times New Roman" w:hAnsi="Times New Roman" w:eastAsia="宋体" w:cs="Times New Roman"/>
                <w:color w:val="auto"/>
                <w:spacing w:val="0"/>
                <w:position w:val="0"/>
              </w:rPr>
              <w:t>的X-γ辐射空气吸收剂量对</w:t>
            </w:r>
            <w:r>
              <w:rPr>
                <w:rFonts w:hint="default" w:ascii="Times New Roman" w:hAnsi="Times New Roman" w:eastAsia="宋体" w:cs="Times New Roman"/>
                <w:color w:val="auto"/>
                <w:spacing w:val="0"/>
                <w:position w:val="0"/>
                <w:lang w:val="en-US" w:eastAsia="zh-CN"/>
              </w:rPr>
              <w:t>周围</w:t>
            </w:r>
            <w:r>
              <w:rPr>
                <w:rFonts w:hint="default" w:ascii="Times New Roman" w:hAnsi="Times New Roman" w:eastAsia="宋体" w:cs="Times New Roman"/>
                <w:color w:val="auto"/>
                <w:spacing w:val="0"/>
                <w:position w:val="0"/>
              </w:rPr>
              <w:t>影响轻微，项目平面、纵面布局可行。</w:t>
            </w:r>
          </w:p>
          <w:p w14:paraId="66A89EA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本项目选址与《放射诊断放射防护要求》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GBZ130-2020</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符合性分析见表1-</w:t>
            </w:r>
            <w:r>
              <w:rPr>
                <w:rFonts w:hint="default" w:ascii="Times New Roman" w:hAnsi="Times New Roman" w:eastAsia="宋体" w:cs="Times New Roman"/>
                <w:color w:val="auto"/>
                <w:spacing w:val="0"/>
                <w:position w:val="0"/>
                <w:lang w:val="en-US" w:eastAsia="zh-CN"/>
              </w:rPr>
              <w:t>9</w:t>
            </w:r>
            <w:r>
              <w:rPr>
                <w:rFonts w:hint="default" w:ascii="Times New Roman" w:hAnsi="Times New Roman" w:eastAsia="宋体" w:cs="Times New Roman"/>
                <w:color w:val="auto"/>
                <w:spacing w:val="0"/>
                <w:position w:val="0"/>
              </w:rPr>
              <w:t>。</w:t>
            </w:r>
          </w:p>
          <w:p w14:paraId="56FBF308">
            <w:pPr>
              <w:pStyle w:val="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表1-</w:t>
            </w:r>
            <w:r>
              <w:rPr>
                <w:rFonts w:hint="default" w:ascii="Times New Roman" w:hAnsi="Times New Roman" w:eastAsia="宋体" w:cs="Times New Roman"/>
                <w:color w:val="auto"/>
                <w:spacing w:val="0"/>
                <w:position w:val="0"/>
                <w:lang w:val="en-US" w:eastAsia="zh-CN"/>
              </w:rPr>
              <w:t>9</w:t>
            </w:r>
            <w:r>
              <w:rPr>
                <w:rFonts w:hint="default" w:ascii="Times New Roman" w:hAnsi="Times New Roman" w:eastAsia="宋体" w:cs="Times New Roman"/>
                <w:color w:val="auto"/>
                <w:spacing w:val="0"/>
                <w:position w:val="0"/>
              </w:rPr>
              <w:t xml:space="preserve">  项目与《放射诊断放射防护要求》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GBZ130-2020</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选址及布局要求对照分析</w:t>
            </w:r>
          </w:p>
          <w:tbl>
            <w:tblPr>
              <w:tblStyle w:val="53"/>
              <w:tblW w:w="49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614"/>
              <w:gridCol w:w="658"/>
            </w:tblGrid>
            <w:tr w14:paraId="34F56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3" w:type="dxa"/>
                  <w:noWrap w:val="0"/>
                  <w:vAlign w:val="center"/>
                </w:tcPr>
                <w:p w14:paraId="151CDA40">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标准要求</w:t>
                  </w:r>
                </w:p>
              </w:tc>
              <w:tc>
                <w:tcPr>
                  <w:tcW w:w="4615" w:type="dxa"/>
                  <w:noWrap w:val="0"/>
                  <w:vAlign w:val="center"/>
                </w:tcPr>
                <w:p w14:paraId="2F591D1F">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本项目实际情况</w:t>
                  </w:r>
                </w:p>
              </w:tc>
              <w:tc>
                <w:tcPr>
                  <w:tcW w:w="658" w:type="dxa"/>
                  <w:noWrap w:val="0"/>
                  <w:vAlign w:val="center"/>
                </w:tcPr>
                <w:p w14:paraId="4C4F7DD8">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备注</w:t>
                  </w:r>
                </w:p>
              </w:tc>
            </w:tr>
            <w:tr w14:paraId="2A461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3" w:type="dxa"/>
                  <w:noWrap w:val="0"/>
                  <w:vAlign w:val="center"/>
                </w:tcPr>
                <w:p w14:paraId="09A1CA19">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应合理设置X射线设备、机房的门、窗和管线口位置，应尽量避免有用线束直接照射门、窗、管线口和工作人员操作位</w:t>
                  </w:r>
                </w:p>
              </w:tc>
              <w:tc>
                <w:tcPr>
                  <w:tcW w:w="4615" w:type="dxa"/>
                  <w:noWrap w:val="0"/>
                  <w:vAlign w:val="center"/>
                </w:tcPr>
                <w:p w14:paraId="713E3697">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本项目</w:t>
                  </w:r>
                  <w:r>
                    <w:rPr>
                      <w:rFonts w:hint="default" w:ascii="Times New Roman" w:hAnsi="Times New Roman" w:eastAsia="宋体" w:cs="Times New Roman"/>
                      <w:color w:val="auto"/>
                      <w:spacing w:val="0"/>
                      <w:position w:val="0"/>
                      <w:sz w:val="21"/>
                      <w:szCs w:val="21"/>
                    </w:rPr>
                    <w:t>DSA机房内均不设采光窗，所用线束不直接照射门、管线口位置；控制室紧邻机房，中间设防护窗便于观察机房情况；设备机房与控制室分开。患者不在机房内候诊。</w:t>
                  </w:r>
                </w:p>
              </w:tc>
              <w:tc>
                <w:tcPr>
                  <w:tcW w:w="658" w:type="dxa"/>
                  <w:noWrap w:val="0"/>
                  <w:vAlign w:val="center"/>
                </w:tcPr>
                <w:p w14:paraId="054DF4C4">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满足</w:t>
                  </w:r>
                </w:p>
              </w:tc>
            </w:tr>
            <w:tr w14:paraId="426BC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3393" w:type="dxa"/>
                  <w:noWrap w:val="0"/>
                  <w:vAlign w:val="center"/>
                </w:tcPr>
                <w:p w14:paraId="1AFA5CC9">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X射线设备机房</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照射室</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的设置应充分考虑邻室</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含楼上和楼下</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及周围场所的人员防护与安全。</w:t>
                  </w:r>
                </w:p>
              </w:tc>
              <w:tc>
                <w:tcPr>
                  <w:tcW w:w="4615" w:type="dxa"/>
                  <w:noWrap w:val="0"/>
                  <w:vAlign w:val="center"/>
                </w:tcPr>
                <w:p w14:paraId="5555475C">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本项目</w:t>
                  </w:r>
                  <w:r>
                    <w:rPr>
                      <w:rFonts w:hint="default" w:ascii="Times New Roman" w:hAnsi="Times New Roman" w:eastAsia="宋体" w:cs="Times New Roman"/>
                      <w:color w:val="auto"/>
                      <w:spacing w:val="0"/>
                      <w:position w:val="0"/>
                      <w:sz w:val="21"/>
                      <w:szCs w:val="21"/>
                    </w:rPr>
                    <w:t>机房四周</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含楼上和楼下</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不</w:t>
                  </w:r>
                  <w:r>
                    <w:rPr>
                      <w:rFonts w:hint="default" w:ascii="Times New Roman" w:hAnsi="Times New Roman" w:eastAsia="宋体" w:cs="Times New Roman"/>
                      <w:color w:val="auto"/>
                      <w:spacing w:val="0"/>
                      <w:position w:val="0"/>
                      <w:sz w:val="21"/>
                      <w:szCs w:val="21"/>
                      <w:lang w:val="en-US" w:eastAsia="zh-CN"/>
                    </w:rPr>
                    <w:t>相邻</w:t>
                  </w:r>
                  <w:r>
                    <w:rPr>
                      <w:rFonts w:hint="default" w:ascii="Times New Roman" w:hAnsi="Times New Roman" w:eastAsia="宋体" w:cs="Times New Roman"/>
                      <w:color w:val="auto"/>
                      <w:spacing w:val="0"/>
                      <w:position w:val="0"/>
                      <w:sz w:val="21"/>
                      <w:szCs w:val="21"/>
                    </w:rPr>
                    <w:t>产科、儿科、食堂等敏感目标。</w:t>
                  </w:r>
                </w:p>
              </w:tc>
              <w:tc>
                <w:tcPr>
                  <w:tcW w:w="658" w:type="dxa"/>
                  <w:noWrap w:val="0"/>
                  <w:vAlign w:val="center"/>
                </w:tcPr>
                <w:p w14:paraId="2FE488DE">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满足</w:t>
                  </w:r>
                </w:p>
              </w:tc>
            </w:tr>
            <w:tr w14:paraId="1DC9E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3" w:type="dxa"/>
                  <w:noWrap w:val="0"/>
                  <w:vAlign w:val="center"/>
                </w:tcPr>
                <w:p w14:paraId="06C1F0F2">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每台固定使用的X射线设备应设有单独的机房，机房应满足使用设备的布局要求</w:t>
                  </w:r>
                </w:p>
              </w:tc>
              <w:tc>
                <w:tcPr>
                  <w:tcW w:w="4615" w:type="dxa"/>
                  <w:noWrap w:val="0"/>
                  <w:vAlign w:val="center"/>
                </w:tcPr>
                <w:p w14:paraId="1235A78B">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拟新增的</w:t>
                  </w:r>
                  <w:r>
                    <w:rPr>
                      <w:rFonts w:hint="default" w:ascii="Times New Roman" w:hAnsi="Times New Roman" w:eastAsia="宋体" w:cs="Times New Roman"/>
                      <w:color w:val="auto"/>
                      <w:spacing w:val="0"/>
                      <w:position w:val="0"/>
                      <w:sz w:val="21"/>
                      <w:szCs w:val="21"/>
                      <w:lang w:val="en-US" w:eastAsia="zh-CN"/>
                    </w:rPr>
                    <w:t>DSA</w:t>
                  </w:r>
                  <w:r>
                    <w:rPr>
                      <w:rFonts w:hint="default" w:ascii="Times New Roman" w:hAnsi="Times New Roman" w:eastAsia="宋体" w:cs="Times New Roman"/>
                      <w:color w:val="auto"/>
                      <w:spacing w:val="0"/>
                      <w:position w:val="0"/>
                      <w:sz w:val="21"/>
                      <w:szCs w:val="21"/>
                    </w:rPr>
                    <w:t>设备配置</w:t>
                  </w:r>
                  <w:r>
                    <w:rPr>
                      <w:rFonts w:hint="default" w:ascii="Times New Roman" w:hAnsi="Times New Roman" w:eastAsia="宋体" w:cs="Times New Roman"/>
                      <w:color w:val="auto"/>
                      <w:spacing w:val="0"/>
                      <w:position w:val="0"/>
                      <w:sz w:val="21"/>
                      <w:szCs w:val="21"/>
                      <w:lang w:val="en-US" w:eastAsia="zh-CN"/>
                    </w:rPr>
                    <w:t>了</w:t>
                  </w:r>
                  <w:r>
                    <w:rPr>
                      <w:rFonts w:hint="default" w:ascii="Times New Roman" w:hAnsi="Times New Roman" w:eastAsia="宋体" w:cs="Times New Roman"/>
                      <w:color w:val="auto"/>
                      <w:spacing w:val="0"/>
                      <w:position w:val="0"/>
                      <w:sz w:val="21"/>
                      <w:szCs w:val="21"/>
                    </w:rPr>
                    <w:t>单独的机房，且机房与控制室独立设置，减影拍片过程可隔室操作。机房四周墙面、顶面及地面均经屏蔽防护处理，</w:t>
                  </w:r>
                  <w:r>
                    <w:rPr>
                      <w:rFonts w:hint="default" w:ascii="Times New Roman" w:hAnsi="Times New Roman" w:eastAsia="宋体" w:cs="Times New Roman"/>
                      <w:color w:val="auto"/>
                      <w:spacing w:val="0"/>
                      <w:position w:val="0"/>
                      <w:sz w:val="21"/>
                      <w:szCs w:val="21"/>
                      <w:lang w:val="en-US" w:eastAsia="zh-CN"/>
                    </w:rPr>
                    <w:t>东南西北四周墙体综合铅当量为3.58～4mm铅当量、地面综合铅当量为5.16mm铅当量、顶面综合铅当量为5.44mm铅当量</w:t>
                  </w:r>
                  <w:r>
                    <w:rPr>
                      <w:rFonts w:hint="default" w:ascii="Times New Roman" w:hAnsi="Times New Roman" w:eastAsia="宋体" w:cs="Times New Roman"/>
                      <w:color w:val="auto"/>
                      <w:spacing w:val="0"/>
                      <w:position w:val="0"/>
                      <w:sz w:val="21"/>
                      <w:szCs w:val="21"/>
                    </w:rPr>
                    <w:t>，优于《放射诊断放射防护要求》（GBZ130-2020）的要求</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介入X射线设备机房屏蔽防护铅当量厚度不小于2mm铅当量</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的要求。</w:t>
                  </w:r>
                </w:p>
              </w:tc>
              <w:tc>
                <w:tcPr>
                  <w:tcW w:w="658" w:type="dxa"/>
                  <w:noWrap w:val="0"/>
                  <w:vAlign w:val="center"/>
                </w:tcPr>
                <w:p w14:paraId="3823A4A8">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满足</w:t>
                  </w:r>
                </w:p>
              </w:tc>
            </w:tr>
            <w:tr w14:paraId="0218C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3" w:type="dxa"/>
                  <w:noWrap w:val="0"/>
                  <w:vAlign w:val="center"/>
                </w:tcPr>
                <w:p w14:paraId="60386AA2">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X射线设备机房，其最小有效使用面积、最小单边长度应符合《放射诊断放射防护要求》</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GBZ130-2020</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中表2的规定</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即：</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单管头X射线设备(含C形壁，乳腺CBCT)机房内最小使用面积不小于20</w:t>
                  </w:r>
                  <w:r>
                    <w:rPr>
                      <w:rFonts w:hint="default" w:ascii="Times New Roman" w:hAnsi="Times New Roman" w:eastAsia="宋体" w:cs="Times New Roman"/>
                      <w:color w:val="auto"/>
                      <w:spacing w:val="0"/>
                      <w:position w:val="0"/>
                      <w:sz w:val="21"/>
                      <w:szCs w:val="21"/>
                      <w:lang w:val="en-US" w:eastAsia="zh-CN"/>
                    </w:rPr>
                    <w:t>m</w:t>
                  </w:r>
                  <w:r>
                    <w:rPr>
                      <w:rFonts w:hint="default" w:ascii="Times New Roman" w:hAnsi="Times New Roman" w:eastAsia="宋体" w:cs="Times New Roman"/>
                      <w:color w:val="auto"/>
                      <w:spacing w:val="0"/>
                      <w:position w:val="0"/>
                      <w:sz w:val="21"/>
                      <w:szCs w:val="21"/>
                      <w:vertAlign w:val="superscript"/>
                      <w:lang w:val="en-US" w:eastAsia="zh-CN"/>
                    </w:rPr>
                    <w:t>2</w:t>
                  </w:r>
                  <w:r>
                    <w:rPr>
                      <w:rFonts w:hint="default" w:ascii="Times New Roman" w:hAnsi="Times New Roman" w:eastAsia="宋体" w:cs="Times New Roman"/>
                      <w:color w:val="auto"/>
                      <w:spacing w:val="0"/>
                      <w:position w:val="0"/>
                      <w:sz w:val="21"/>
                      <w:szCs w:val="21"/>
                      <w:lang w:val="en-US" w:eastAsia="zh-CN"/>
                    </w:rPr>
                    <w:t>，</w:t>
                  </w:r>
                  <w:r>
                    <w:rPr>
                      <w:rFonts w:hint="default" w:ascii="Times New Roman" w:hAnsi="Times New Roman" w:eastAsia="宋体" w:cs="Times New Roman"/>
                      <w:color w:val="auto"/>
                      <w:spacing w:val="0"/>
                      <w:position w:val="0"/>
                      <w:sz w:val="21"/>
                      <w:szCs w:val="21"/>
                    </w:rPr>
                    <w:t>机房内最小单边长度不小于3.5m</w:t>
                  </w:r>
                  <w:r>
                    <w:rPr>
                      <w:rFonts w:hint="default" w:ascii="Times New Roman" w:hAnsi="Times New Roman" w:eastAsia="宋体" w:cs="Times New Roman"/>
                      <w:color w:val="auto"/>
                      <w:spacing w:val="0"/>
                      <w:position w:val="0"/>
                      <w:sz w:val="21"/>
                      <w:szCs w:val="21"/>
                      <w:lang w:eastAsia="zh-CN"/>
                    </w:rPr>
                    <w:t>”</w:t>
                  </w:r>
                </w:p>
              </w:tc>
              <w:tc>
                <w:tcPr>
                  <w:tcW w:w="4615" w:type="dxa"/>
                  <w:noWrap w:val="0"/>
                  <w:vAlign w:val="center"/>
                </w:tcPr>
                <w:p w14:paraId="60DD98EA">
                  <w:pPr>
                    <w:pStyle w:val="8"/>
                    <w:bidi w:val="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本项目建成后的DSA介入室</w:t>
                  </w:r>
                  <w:r>
                    <w:rPr>
                      <w:rFonts w:hint="default" w:ascii="Times New Roman" w:hAnsi="Times New Roman" w:eastAsia="宋体" w:cs="Times New Roman"/>
                      <w:color w:val="auto"/>
                      <w:spacing w:val="0"/>
                      <w:position w:val="0"/>
                      <w:sz w:val="21"/>
                      <w:szCs w:val="21"/>
                      <w:highlight w:val="none"/>
                      <w:lang w:val="en-US" w:eastAsia="zh-CN"/>
                    </w:rPr>
                    <w:t>北面长约8m，南面长约1.5m+0.55m+2.1m+1.15m+</w:t>
                  </w:r>
                  <w:r>
                    <w:rPr>
                      <w:rFonts w:hint="eastAsia" w:cs="Times New Roman"/>
                      <w:color w:val="auto"/>
                      <w:spacing w:val="0"/>
                      <w:position w:val="0"/>
                      <w:sz w:val="21"/>
                      <w:szCs w:val="21"/>
                      <w:highlight w:val="none"/>
                      <w:lang w:val="en-US" w:eastAsia="zh-CN"/>
                    </w:rPr>
                    <w:t>4.39m（合计9.69m）</w:t>
                  </w:r>
                  <w:r>
                    <w:rPr>
                      <w:rFonts w:hint="default" w:ascii="Times New Roman" w:hAnsi="Times New Roman" w:eastAsia="宋体" w:cs="Times New Roman"/>
                      <w:color w:val="auto"/>
                      <w:spacing w:val="0"/>
                      <w:position w:val="0"/>
                      <w:sz w:val="21"/>
                      <w:szCs w:val="21"/>
                      <w:highlight w:val="none"/>
                      <w:lang w:val="en-US" w:eastAsia="zh-CN"/>
                    </w:rPr>
                    <w:t>，西面长约6m，东面长约7.15m，有效面积约为48.21m</w:t>
                  </w:r>
                  <w:r>
                    <w:rPr>
                      <w:rFonts w:hint="default" w:ascii="Times New Roman" w:hAnsi="Times New Roman" w:eastAsia="宋体" w:cs="Times New Roman"/>
                      <w:color w:val="auto"/>
                      <w:spacing w:val="0"/>
                      <w:position w:val="0"/>
                      <w:sz w:val="21"/>
                      <w:szCs w:val="21"/>
                      <w:highlight w:val="none"/>
                      <w:vertAlign w:val="superscript"/>
                      <w:lang w:val="en-US" w:eastAsia="zh-CN"/>
                    </w:rPr>
                    <w:t>2</w:t>
                  </w:r>
                  <w:r>
                    <w:rPr>
                      <w:rFonts w:hint="default" w:ascii="Times New Roman" w:hAnsi="Times New Roman" w:eastAsia="宋体" w:cs="Times New Roman"/>
                      <w:color w:val="auto"/>
                      <w:spacing w:val="0"/>
                      <w:position w:val="0"/>
                      <w:sz w:val="21"/>
                      <w:szCs w:val="21"/>
                    </w:rPr>
                    <w:t>。</w:t>
                  </w:r>
                  <w:r>
                    <w:rPr>
                      <w:rFonts w:hint="default" w:ascii="Times New Roman" w:hAnsi="Times New Roman" w:eastAsia="宋体" w:cs="Times New Roman"/>
                      <w:color w:val="auto"/>
                      <w:spacing w:val="0"/>
                      <w:position w:val="0"/>
                      <w:sz w:val="21"/>
                      <w:szCs w:val="21"/>
                      <w:lang w:val="en-US" w:eastAsia="zh-CN"/>
                    </w:rPr>
                    <w:t>满足最小有效使用面积、最小单边长度要求</w:t>
                  </w:r>
                </w:p>
              </w:tc>
              <w:tc>
                <w:tcPr>
                  <w:tcW w:w="658" w:type="dxa"/>
                  <w:noWrap w:val="0"/>
                  <w:vAlign w:val="center"/>
                </w:tcPr>
                <w:p w14:paraId="280832A3">
                  <w:pPr>
                    <w:pStyle w:val="8"/>
                    <w:bidi w:val="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满足</w:t>
                  </w:r>
                </w:p>
              </w:tc>
            </w:tr>
          </w:tbl>
          <w:p w14:paraId="4D5D409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综上所述，本项目总布局满足</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诊治工作要求、有利于辐射防护和环境保护以及各组分布功能分区明确，既能有机联系，又不相互干扰</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的原则，该项目平面、纵面布局可行。</w:t>
            </w:r>
          </w:p>
          <w:p w14:paraId="4979B9CC">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五、实践正当性分析</w:t>
            </w:r>
          </w:p>
          <w:p w14:paraId="61CF946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按照《电离辐射防护与辐射源安全基本标准》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中</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4.3辐射防护要求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4.3.1实践的正当性4.3.1.1对于一项实践，只有在考虑了社会、经济和其他有关因素之后，其对受照个人或社会所带来的效益足以弥补其可能引起的辐射危害时，该实践性才是正当的。</w:t>
            </w:r>
            <w:r>
              <w:rPr>
                <w:rFonts w:hint="default" w:ascii="Times New Roman" w:hAnsi="Times New Roman" w:eastAsia="宋体" w:cs="Times New Roman"/>
                <w:color w:val="auto"/>
                <w:spacing w:val="0"/>
                <w:position w:val="0"/>
                <w:lang w:eastAsia="zh-CN"/>
              </w:rPr>
              <w:t>”</w:t>
            </w:r>
          </w:p>
          <w:p w14:paraId="64FAEEF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曲靖市第二人民医院住院楼5楼</w:t>
            </w:r>
            <w:r>
              <w:rPr>
                <w:rFonts w:hint="default" w:ascii="Times New Roman" w:hAnsi="Times New Roman" w:eastAsia="宋体" w:cs="Times New Roman"/>
                <w:color w:val="auto"/>
                <w:spacing w:val="0"/>
                <w:position w:val="0"/>
              </w:rPr>
              <w:t>拟设置的</w:t>
            </w:r>
            <w:r>
              <w:rPr>
                <w:rFonts w:hint="default" w:ascii="Times New Roman" w:hAnsi="Times New Roman" w:eastAsia="宋体" w:cs="Times New Roman"/>
                <w:color w:val="auto"/>
                <w:spacing w:val="0"/>
                <w:position w:val="0"/>
                <w:lang w:val="en-US" w:eastAsia="zh-CN"/>
              </w:rPr>
              <w:t>1</w:t>
            </w:r>
            <w:r>
              <w:rPr>
                <w:rFonts w:hint="default" w:ascii="Times New Roman" w:hAnsi="Times New Roman" w:eastAsia="宋体" w:cs="Times New Roman"/>
                <w:color w:val="auto"/>
                <w:spacing w:val="0"/>
                <w:position w:val="0"/>
              </w:rPr>
              <w:t>台DSA设备用于</w:t>
            </w:r>
            <w:r>
              <w:rPr>
                <w:rFonts w:hint="default" w:ascii="Times New Roman" w:hAnsi="Times New Roman" w:eastAsia="宋体" w:cs="Times New Roman"/>
                <w:color w:val="auto"/>
                <w:spacing w:val="0"/>
                <w:position w:val="0"/>
                <w:lang w:val="en-US" w:eastAsia="zh-CN"/>
              </w:rPr>
              <w:t>医院</w:t>
            </w:r>
            <w:r>
              <w:rPr>
                <w:rFonts w:hint="default" w:ascii="Times New Roman" w:hAnsi="Times New Roman" w:eastAsia="宋体" w:cs="Times New Roman"/>
                <w:color w:val="auto"/>
                <w:spacing w:val="0"/>
                <w:position w:val="0"/>
              </w:rPr>
              <w:t>医学诊断和治疗，可提高医院的放射治疗水平，具有良好的社会效益和经济效益，DSA机房的辐射屏蔽防护设计、拟采取的防护设施、措施符合国家有关标准要求。预计本项目DSA设备运行过程中带来的辐射环境影响符合国家有关标准要求，因此本项目符合《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辐射防护</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实践正当性</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的要求。</w:t>
            </w:r>
          </w:p>
          <w:p w14:paraId="276A9AF5">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六、</w:t>
            </w:r>
            <w:r>
              <w:rPr>
                <w:rFonts w:hint="default" w:ascii="Times New Roman" w:hAnsi="Times New Roman" w:eastAsia="宋体" w:cs="Times New Roman"/>
                <w:b/>
                <w:bCs/>
                <w:color w:val="auto"/>
                <w:spacing w:val="0"/>
                <w:position w:val="0"/>
                <w:lang w:val="en-US" w:eastAsia="zh-CN"/>
              </w:rPr>
              <w:t>依托</w:t>
            </w:r>
            <w:r>
              <w:rPr>
                <w:rFonts w:hint="default" w:ascii="Times New Roman" w:hAnsi="Times New Roman" w:eastAsia="宋体" w:cs="Times New Roman"/>
                <w:b/>
                <w:bCs/>
                <w:color w:val="auto"/>
                <w:spacing w:val="0"/>
                <w:position w:val="0"/>
              </w:rPr>
              <w:t>现有环保措施概况</w:t>
            </w:r>
          </w:p>
          <w:p w14:paraId="7CDCF2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本项目位于住院楼5楼，住院楼环评手续办理情况为2008年曲靖市第二人民医院委托资质单位编制了《曲靖市第二人民医院住院大楼建设项目环境影响报告书》，项目投资9998万元，建设1栋28层住院综合大楼，建筑面积49360平方米，设计病床数1200张。后经曲靖市发改委批准追加投资（曲发改投资〔2010〕37号）及建材价格上涨，项目实际投资15000万元，实际建筑面积53734.9平方米。项目环境影响报告书于2008年取得曲靖市环保局“曲环然许准〔2008〕57号”的环评批复。2012年12月11日，《曲靖市第二人民医院住院大楼建设项目》取得《曲靖市环境保护局关于曲靖市第二人民医院住院楼竣工环境保护验收的批复》“曲环审〔2012〕247号”。曲靖市第二人民医院已取得了排污许可证，证书编号：125303004317167992001V，有效期限：自2023年6月28日至2028年6月27日止，目前曲靖市第二人民医院各科室正常运行，本项目DSA为住院楼各科室进行介入手术使用，因此可依托使用曲靖市第二人民医院住院楼已有环保设施。</w:t>
            </w:r>
          </w:p>
          <w:p w14:paraId="6EE1A78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曲靖市第二人民医院已正常运行，相关环保设施正常运行。本项目产生的生活污水、医疗废水、生活垃圾、医疗废物依托医院已有设施处理，配电、供电、供水和通讯系统等依托医院设施。院区南侧设置有1个污水处理站，</w:t>
            </w:r>
            <w:r>
              <w:rPr>
                <w:rFonts w:hint="eastAsia" w:cs="Times New Roman"/>
                <w:color w:val="auto"/>
                <w:spacing w:val="0"/>
                <w:position w:val="0"/>
                <w:highlight w:val="none"/>
                <w:lang w:val="en-US" w:eastAsia="zh-CN"/>
              </w:rPr>
              <w:t>已建成投运多年，</w:t>
            </w:r>
            <w:r>
              <w:rPr>
                <w:rFonts w:hint="default" w:ascii="Times New Roman" w:hAnsi="Times New Roman" w:eastAsia="宋体" w:cs="Times New Roman"/>
                <w:color w:val="auto"/>
                <w:spacing w:val="0"/>
                <w:position w:val="0"/>
                <w:highlight w:val="none"/>
                <w:lang w:val="en-US" w:eastAsia="zh-CN"/>
              </w:rPr>
              <w:t>处理规模为800m</w:t>
            </w:r>
            <w:r>
              <w:rPr>
                <w:rFonts w:hint="default" w:ascii="Times New Roman" w:hAnsi="Times New Roman" w:eastAsia="宋体" w:cs="Times New Roman"/>
                <w:color w:val="auto"/>
                <w:spacing w:val="0"/>
                <w:position w:val="0"/>
                <w:highlight w:val="none"/>
                <w:vertAlign w:val="superscript"/>
                <w:lang w:val="en-US" w:eastAsia="zh-CN"/>
              </w:rPr>
              <w:t>3</w:t>
            </w:r>
            <w:r>
              <w:rPr>
                <w:rFonts w:hint="default" w:ascii="Times New Roman" w:hAnsi="Times New Roman" w:eastAsia="宋体" w:cs="Times New Roman"/>
                <w:color w:val="auto"/>
                <w:spacing w:val="0"/>
                <w:position w:val="0"/>
                <w:highlight w:val="none"/>
                <w:lang w:val="en-US" w:eastAsia="zh-CN"/>
              </w:rPr>
              <w:t>/d，污水处理站处理工艺为“格栅池-调节池-二级厌氧池-三级好氧池-沉淀池-消毒池”。院区运营过程中产生的废水其中食堂含油废水先经隔油池隔油处理后汇同其余废水一起进入化粪池进行预处理后统一排入污水处理站统一处理，经处理达标后排至市政污水管网最终进入曲靖市污水处理厂。院区已单独设置一间的医疗废物暂存间，环评设计阶段，已考虑全院满住院和最大就诊人数情况下的医疗废物产生量，设计的医疗废物暂存间规模和空间能够接纳院区产生的医疗废物。医疗废物暂时储存间完全封闭、并防渗防漏，由专人管理，定期消毒，医疗废物暂存间按照《危险废物贮存污染控制标准》（GB18597-2023）中6.1.4条要求进行了防渗建设。目前医院医疗废物经分类收集，感染性废物、损伤性废物经安全损毁后与病理性废物、药物性废物及化学性废物暂存于医疗废物暂存间内，医院已经与曲靖银发危险废物集中处置中心有限公司签订了医疗废物处置协议，目前由有资质单位按时清运处置。</w:t>
            </w:r>
          </w:p>
          <w:p w14:paraId="7345AC2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firstLine="48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highlight w:val="none"/>
              </w:rPr>
              <w:t>本项目射线装置采用数字成像，不使用显影液和定影液，无洗片过程，无废显、定影液产生</w:t>
            </w:r>
            <w:r>
              <w:rPr>
                <w:rFonts w:hint="default" w:ascii="Times New Roman" w:hAnsi="Times New Roman" w:eastAsia="宋体" w:cs="Times New Roman"/>
                <w:color w:val="auto"/>
                <w:spacing w:val="0"/>
                <w:position w:val="0"/>
                <w:lang w:val="zh-CN"/>
              </w:rPr>
              <w:t>。医务工作人员工作时产生少量生活污水，介入手术、清洗器械产生少量医疗废水</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本项目产生的医疗废水经过</w:t>
            </w:r>
            <w:r>
              <w:rPr>
                <w:rFonts w:hint="default" w:ascii="Times New Roman" w:hAnsi="Times New Roman" w:eastAsia="宋体" w:cs="Times New Roman"/>
                <w:color w:val="auto"/>
                <w:spacing w:val="0"/>
                <w:position w:val="0"/>
                <w:highlight w:val="none"/>
                <w:lang w:val="en-US" w:eastAsia="zh-CN"/>
              </w:rPr>
              <w:t>收集</w:t>
            </w:r>
            <w:r>
              <w:rPr>
                <w:rFonts w:hint="default" w:ascii="Times New Roman" w:hAnsi="Times New Roman" w:eastAsia="宋体" w:cs="Times New Roman"/>
                <w:color w:val="auto"/>
                <w:spacing w:val="0"/>
                <w:position w:val="0"/>
                <w:highlight w:val="none"/>
              </w:rPr>
              <w:t>后，同</w:t>
            </w:r>
            <w:r>
              <w:rPr>
                <w:rFonts w:hint="default" w:ascii="Times New Roman" w:hAnsi="Times New Roman" w:eastAsia="宋体" w:cs="Times New Roman"/>
                <w:color w:val="auto"/>
                <w:spacing w:val="0"/>
                <w:position w:val="0"/>
                <w:highlight w:val="none"/>
                <w:lang w:val="en-US" w:eastAsia="zh-CN"/>
              </w:rPr>
              <w:t>院内其他废水</w:t>
            </w:r>
            <w:r>
              <w:rPr>
                <w:rFonts w:hint="default" w:ascii="Times New Roman" w:hAnsi="Times New Roman" w:eastAsia="宋体" w:cs="Times New Roman"/>
                <w:color w:val="auto"/>
                <w:spacing w:val="0"/>
                <w:position w:val="0"/>
                <w:highlight w:val="none"/>
              </w:rPr>
              <w:t>一并排入</w:t>
            </w:r>
            <w:r>
              <w:rPr>
                <w:rFonts w:hint="default" w:ascii="Times New Roman" w:hAnsi="Times New Roman" w:eastAsia="宋体" w:cs="Times New Roman"/>
                <w:color w:val="auto"/>
                <w:spacing w:val="0"/>
                <w:position w:val="0"/>
                <w:highlight w:val="none"/>
                <w:lang w:val="en-US" w:eastAsia="zh-CN"/>
              </w:rPr>
              <w:t>院区已</w:t>
            </w:r>
            <w:r>
              <w:rPr>
                <w:rFonts w:hint="default" w:ascii="Times New Roman" w:hAnsi="Times New Roman" w:eastAsia="宋体" w:cs="Times New Roman"/>
                <w:color w:val="auto"/>
                <w:spacing w:val="0"/>
                <w:position w:val="0"/>
                <w:highlight w:val="none"/>
              </w:rPr>
              <w:t>建的污水处理站进行处理</w:t>
            </w:r>
            <w:r>
              <w:rPr>
                <w:rFonts w:hint="default" w:ascii="Times New Roman" w:hAnsi="Times New Roman" w:eastAsia="宋体" w:cs="Times New Roman"/>
                <w:color w:val="auto"/>
                <w:spacing w:val="0"/>
                <w:position w:val="0"/>
                <w:highlight w:val="none"/>
                <w:lang w:val="en-US" w:eastAsia="zh-CN"/>
              </w:rPr>
              <w:t>达标</w:t>
            </w:r>
            <w:r>
              <w:rPr>
                <w:rFonts w:hint="default" w:ascii="Times New Roman" w:hAnsi="Times New Roman" w:eastAsia="宋体" w:cs="Times New Roman"/>
                <w:color w:val="auto"/>
                <w:spacing w:val="0"/>
                <w:position w:val="0"/>
                <w:lang w:val="zh-CN"/>
              </w:rPr>
              <w:t>后进入</w:t>
            </w:r>
            <w:r>
              <w:rPr>
                <w:rFonts w:hint="default" w:ascii="Times New Roman" w:hAnsi="Times New Roman" w:eastAsia="宋体" w:cs="Times New Roman"/>
                <w:color w:val="auto"/>
                <w:spacing w:val="0"/>
                <w:position w:val="0"/>
                <w:lang w:val="en-US" w:eastAsia="zh-CN"/>
              </w:rPr>
              <w:t>市政污水管网</w:t>
            </w:r>
            <w:r>
              <w:rPr>
                <w:rFonts w:hint="default" w:ascii="Times New Roman" w:hAnsi="Times New Roman" w:eastAsia="宋体" w:cs="Times New Roman"/>
                <w:color w:val="auto"/>
                <w:spacing w:val="0"/>
                <w:position w:val="0"/>
                <w:lang w:val="zh-CN"/>
              </w:rPr>
              <w:t>。本项目工作人员均为现有职工，不新增工作人员，不新增生活污水，</w:t>
            </w:r>
            <w:r>
              <w:rPr>
                <w:rFonts w:hint="default" w:ascii="Times New Roman" w:hAnsi="Times New Roman" w:eastAsia="宋体" w:cs="Times New Roman"/>
                <w:color w:val="auto"/>
                <w:spacing w:val="0"/>
                <w:position w:val="0"/>
                <w:lang w:val="en-US" w:eastAsia="zh-CN"/>
              </w:rPr>
              <w:t>病患进行手术产生的废水较少，根据医院提供资料，目前医院实际废水产生量约为500m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/d，已建的800m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/d污水处理站剩余处理能力能够接纳处理本项目产生的少量废水，</w:t>
            </w:r>
            <w:r>
              <w:rPr>
                <w:rFonts w:hint="default" w:ascii="Times New Roman" w:hAnsi="Times New Roman" w:eastAsia="宋体" w:cs="Times New Roman"/>
                <w:color w:val="auto"/>
                <w:spacing w:val="0"/>
                <w:position w:val="0"/>
                <w:lang w:val="zh-CN"/>
              </w:rPr>
              <w:t>因此本项目产生的少量废水依托现有污水处理设施处理可行。</w:t>
            </w:r>
          </w:p>
          <w:p w14:paraId="02984DF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leftChars="0" w:right="0" w:firstLine="480"/>
              <w:textAlignment w:val="auto"/>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color w:val="auto"/>
                <w:spacing w:val="0"/>
                <w:position w:val="0"/>
                <w:highlight w:val="none"/>
              </w:rPr>
              <w:t>生活垃圾由生活垃圾桶集中收集后，运送至</w:t>
            </w:r>
            <w:r>
              <w:rPr>
                <w:rFonts w:hint="default" w:ascii="Times New Roman" w:hAnsi="Times New Roman" w:eastAsia="宋体" w:cs="Times New Roman"/>
                <w:color w:val="auto"/>
                <w:spacing w:val="0"/>
                <w:position w:val="0"/>
                <w:highlight w:val="none"/>
                <w:lang w:val="en-US" w:eastAsia="zh-CN"/>
              </w:rPr>
              <w:t>医院建设</w:t>
            </w:r>
            <w:r>
              <w:rPr>
                <w:rFonts w:hint="default" w:ascii="Times New Roman" w:hAnsi="Times New Roman" w:eastAsia="宋体" w:cs="Times New Roman"/>
                <w:color w:val="auto"/>
                <w:spacing w:val="0"/>
                <w:position w:val="0"/>
                <w:highlight w:val="none"/>
              </w:rPr>
              <w:t>的垃圾收集房暂存后委托环卫部门定期清运，项目工作人员均为现有职工，不新增工作人员，不新增生活垃圾，因此本项目产生的少量生活垃圾依托现有垃圾处理设施措施可行</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产生的少量医疗废物（棉纱、手套等废医用辅料）依托</w:t>
            </w:r>
            <w:r>
              <w:rPr>
                <w:rFonts w:hint="default" w:ascii="Times New Roman" w:hAnsi="Times New Roman" w:eastAsia="宋体" w:cs="Times New Roman"/>
                <w:color w:val="auto"/>
                <w:spacing w:val="0"/>
                <w:position w:val="0"/>
                <w:highlight w:val="none"/>
                <w:lang w:val="en-US" w:eastAsia="zh-CN"/>
              </w:rPr>
              <w:t>院区</w:t>
            </w:r>
            <w:r>
              <w:rPr>
                <w:rFonts w:hint="default" w:ascii="Times New Roman" w:hAnsi="Times New Roman" w:eastAsia="宋体" w:cs="Times New Roman"/>
                <w:color w:val="auto"/>
                <w:spacing w:val="0"/>
                <w:position w:val="0"/>
                <w:highlight w:val="none"/>
              </w:rPr>
              <w:t>医疗废物收集系统收集暂存处置</w:t>
            </w:r>
            <w:r>
              <w:rPr>
                <w:rFonts w:hint="default" w:ascii="Times New Roman" w:hAnsi="Times New Roman" w:eastAsia="宋体" w:cs="Times New Roman"/>
                <w:color w:val="auto"/>
                <w:spacing w:val="0"/>
                <w:position w:val="0"/>
              </w:rPr>
              <w:t>。</w:t>
            </w:r>
          </w:p>
          <w:p w14:paraId="07978C67">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七、原有核技术利用项目许可情况</w:t>
            </w:r>
          </w:p>
          <w:p w14:paraId="164540D5">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医院原有核技术利用项目许可情况</w:t>
            </w:r>
          </w:p>
          <w:p w14:paraId="60BA4022">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曲靖市第二人民医院于2015年11月30日首次申领了辐射安全许可证，期间经过重新申请、延续、变更，最新一次辐射安全许可证申领、变更和延续记录为2026年4月4日办理了重新申请，目前医院持有的辐射安全许可证书编号为云环辐证[01269]，许可种类和范围：医疗使用Ⅱ类、Ⅲ类射线装置，有效期为：2026年4月9日至2028年4月13日。使用地址包括：云南省曲靖市麒麟区麒麟北路502号曲靖市第二人民医院分院、云南省曲靖市麒麟区麒麟西路287号曲靖市第二人民医院，两个院区法定代表人均为同一人。</w:t>
            </w:r>
          </w:p>
          <w:p w14:paraId="55A91D8F">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根据现场踏勘及辐射安全许可证副本材料，医院现有射线装置25台，医院现有射线装置均履行了相关环保手续，均已上证，其中Ⅱ类射线装置3台，Ⅲ类射线装置22台</w:t>
            </w:r>
            <w:r>
              <w:rPr>
                <w:rFonts w:hint="eastAsia" w:cs="Times New Roman"/>
                <w:color w:val="auto"/>
                <w:spacing w:val="0"/>
                <w:position w:val="0"/>
                <w:lang w:val="en-US" w:eastAsia="zh-CN"/>
              </w:rPr>
              <w:t>，Ⅱ类射线装置均编制了生态环境影响报告表并进行了竣工环境保护验收，</w:t>
            </w:r>
            <w:r>
              <w:rPr>
                <w:rFonts w:hint="default" w:ascii="Times New Roman" w:hAnsi="Times New Roman" w:eastAsia="宋体" w:cs="Times New Roman"/>
                <w:color w:val="auto"/>
                <w:spacing w:val="0"/>
                <w:position w:val="0"/>
                <w:lang w:val="en-US" w:eastAsia="zh-CN"/>
              </w:rPr>
              <w:t>Ⅲ类射线装置均按照规定办理了环境影响登记表。本项目配置的DSA具备独立机房，且机房单独进行防护，医院内原有射线装置与本项目DSA射线装置独立运行，互不干扰。</w:t>
            </w:r>
          </w:p>
          <w:p w14:paraId="0F674DEA">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医院现有Ⅱ类</w:t>
            </w:r>
            <w:r>
              <w:rPr>
                <w:rFonts w:hint="eastAsia" w:cs="Times New Roman"/>
                <w:color w:val="auto"/>
                <w:spacing w:val="0"/>
                <w:position w:val="0"/>
                <w:lang w:val="en-US" w:eastAsia="zh-CN"/>
              </w:rPr>
              <w:t>射线装置</w:t>
            </w:r>
            <w:r>
              <w:rPr>
                <w:rFonts w:hint="default" w:ascii="Times New Roman" w:hAnsi="Times New Roman" w:eastAsia="宋体" w:cs="Times New Roman"/>
                <w:color w:val="auto"/>
                <w:spacing w:val="0"/>
                <w:position w:val="0"/>
                <w:lang w:val="en-US" w:eastAsia="zh-CN"/>
              </w:rPr>
              <w:t>总共三台，具体为：</w:t>
            </w:r>
          </w:p>
          <w:p w14:paraId="031905EF">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①1台Artis zee Ⅲceiling DSA，位于门诊楼负1楼</w:t>
            </w:r>
            <w:r>
              <w:rPr>
                <w:rFonts w:hint="eastAsia" w:cs="Times New Roman"/>
                <w:color w:val="auto"/>
                <w:spacing w:val="0"/>
                <w:position w:val="0"/>
                <w:lang w:val="en-US" w:eastAsia="zh-CN"/>
              </w:rPr>
              <w:t>介入室1号机房</w:t>
            </w:r>
            <w:r>
              <w:rPr>
                <w:rFonts w:hint="default" w:ascii="Times New Roman" w:hAnsi="Times New Roman" w:eastAsia="宋体" w:cs="Times New Roman"/>
                <w:color w:val="auto"/>
                <w:spacing w:val="0"/>
                <w:position w:val="0"/>
                <w:lang w:val="en-US" w:eastAsia="zh-CN"/>
              </w:rPr>
              <w:t>，2015年8月编制了</w:t>
            </w:r>
            <w:r>
              <w:rPr>
                <w:rFonts w:hint="eastAsia" w:cs="Times New Roman"/>
                <w:color w:val="auto"/>
                <w:spacing w:val="0"/>
                <w:position w:val="0"/>
                <w:lang w:val="en-US" w:eastAsia="zh-CN"/>
              </w:rPr>
              <w:t>生态环境影响报告表</w:t>
            </w:r>
            <w:r>
              <w:rPr>
                <w:rFonts w:hint="default" w:ascii="Times New Roman" w:hAnsi="Times New Roman" w:eastAsia="宋体" w:cs="Times New Roman"/>
                <w:color w:val="auto"/>
                <w:spacing w:val="0"/>
                <w:position w:val="0"/>
                <w:lang w:val="en-US" w:eastAsia="zh-CN"/>
              </w:rPr>
              <w:t>，取得了环评批复：云环辐评审〔2015〕27号，2016年取得了竣工环境保护验收批复：云环辐验〔2016〕13号</w:t>
            </w:r>
            <w:r>
              <w:rPr>
                <w:rFonts w:hint="eastAsia" w:cs="Times New Roman"/>
                <w:color w:val="auto"/>
                <w:spacing w:val="0"/>
                <w:position w:val="0"/>
                <w:lang w:val="en-US" w:eastAsia="zh-CN"/>
              </w:rPr>
              <w:t>。使用科室为介入科和心内科，每年手术量350台。</w:t>
            </w:r>
          </w:p>
          <w:p w14:paraId="723A9AAA">
            <w:pPr>
              <w:keepNext w:val="0"/>
              <w:keepLines w:val="0"/>
              <w:suppressLineNumbers w:val="0"/>
              <w:bidi w:val="0"/>
              <w:spacing w:before="0" w:beforeAutospacing="0" w:after="0" w:afterAutospacing="0"/>
              <w:ind w:left="0" w:right="0"/>
              <w:rPr>
                <w:rFonts w:hint="eastAsia"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②1台Azurion7M20 DSA，位于门诊楼负1楼介入室</w:t>
            </w:r>
            <w:r>
              <w:rPr>
                <w:rFonts w:hint="eastAsia" w:cs="Times New Roman"/>
                <w:color w:val="auto"/>
                <w:spacing w:val="0"/>
                <w:position w:val="0"/>
                <w:lang w:val="en-US" w:eastAsia="zh-CN"/>
              </w:rPr>
              <w:t>2</w:t>
            </w:r>
            <w:r>
              <w:rPr>
                <w:rFonts w:hint="default" w:ascii="Times New Roman" w:hAnsi="Times New Roman" w:eastAsia="宋体" w:cs="Times New Roman"/>
                <w:color w:val="auto"/>
                <w:spacing w:val="0"/>
                <w:position w:val="0"/>
                <w:lang w:val="en-US" w:eastAsia="zh-CN"/>
              </w:rPr>
              <w:t>号机房，2022年8月编制了</w:t>
            </w:r>
            <w:r>
              <w:rPr>
                <w:rFonts w:hint="eastAsia" w:cs="Times New Roman"/>
                <w:color w:val="auto"/>
                <w:spacing w:val="0"/>
                <w:position w:val="0"/>
                <w:lang w:val="en-US" w:eastAsia="zh-CN"/>
              </w:rPr>
              <w:t>生态环境影响报告表</w:t>
            </w:r>
            <w:r>
              <w:rPr>
                <w:rFonts w:hint="default" w:ascii="Times New Roman" w:hAnsi="Times New Roman" w:eastAsia="宋体" w:cs="Times New Roman"/>
                <w:color w:val="auto"/>
                <w:spacing w:val="0"/>
                <w:position w:val="0"/>
                <w:lang w:val="en-US" w:eastAsia="zh-CN"/>
              </w:rPr>
              <w:t>，取得了环评批复：曲环审〔2022〕43号，于2023年3月完成自主验收</w:t>
            </w:r>
            <w:r>
              <w:rPr>
                <w:rFonts w:hint="eastAsia" w:cs="Times New Roman"/>
                <w:color w:val="auto"/>
                <w:spacing w:val="0"/>
                <w:position w:val="0"/>
                <w:lang w:val="en-US" w:eastAsia="zh-CN"/>
              </w:rPr>
              <w:t>，使用科室为介入科和心内科，每年介入科手术量200台，心内科手术量200台。</w:t>
            </w:r>
          </w:p>
          <w:p w14:paraId="1B63BCD4">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eastAsia" w:cs="Times New Roman"/>
                <w:color w:val="auto"/>
                <w:spacing w:val="0"/>
                <w:position w:val="0"/>
                <w:lang w:val="en-US" w:eastAsia="zh-CN"/>
              </w:rPr>
              <w:t>介入科和心内科辐射工作人员共同使用医院介入室1号机房和介入室2号机房的设备进行操作，两间机房配置医师13名，护士5人，操作技师1人。</w:t>
            </w:r>
          </w:p>
          <w:p w14:paraId="495E0611">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③1台移动式C形臂X射线机Cios Alpha，位于门诊4号楼3楼消化内镜科C臂机房，2022年4月编制了</w:t>
            </w:r>
            <w:r>
              <w:rPr>
                <w:rFonts w:hint="eastAsia" w:cs="Times New Roman"/>
                <w:color w:val="auto"/>
                <w:spacing w:val="0"/>
                <w:position w:val="0"/>
                <w:lang w:val="en-US" w:eastAsia="zh-CN"/>
              </w:rPr>
              <w:t>生态环境影响报告表</w:t>
            </w:r>
            <w:r>
              <w:rPr>
                <w:rFonts w:hint="default" w:ascii="Times New Roman" w:hAnsi="Times New Roman" w:eastAsia="宋体" w:cs="Times New Roman"/>
                <w:color w:val="auto"/>
                <w:spacing w:val="0"/>
                <w:position w:val="0"/>
                <w:lang w:val="en-US" w:eastAsia="zh-CN"/>
              </w:rPr>
              <w:t>，取得了环评批复：曲环审〔2022〕8号，于2022年11月完成自主验收</w:t>
            </w:r>
            <w:r>
              <w:rPr>
                <w:rFonts w:hint="eastAsia" w:cs="Times New Roman"/>
                <w:color w:val="auto"/>
                <w:spacing w:val="0"/>
                <w:position w:val="0"/>
                <w:lang w:val="en-US" w:eastAsia="zh-CN"/>
              </w:rPr>
              <w:t>。使用科室为肝胆二外科、消化内镜科，每年肝胆二外科手术量300台，消化内镜科手术量300台</w:t>
            </w:r>
            <w:r>
              <w:rPr>
                <w:rFonts w:hint="default" w:ascii="Times New Roman" w:hAnsi="Times New Roman" w:eastAsia="宋体" w:cs="Times New Roman"/>
                <w:color w:val="auto"/>
                <w:spacing w:val="0"/>
                <w:position w:val="0"/>
                <w:lang w:val="en-US" w:eastAsia="zh-CN"/>
              </w:rPr>
              <w:t>。肝胆二外科新增2名手术医生和2名护士</w:t>
            </w:r>
            <w:r>
              <w:rPr>
                <w:rFonts w:hint="eastAsia" w:cs="Times New Roman"/>
                <w:color w:val="auto"/>
                <w:spacing w:val="0"/>
                <w:position w:val="0"/>
                <w:lang w:val="en-US" w:eastAsia="zh-CN"/>
              </w:rPr>
              <w:t>，消化内镜科配置1名操作技师，2名医师和3名护士，该台设备</w:t>
            </w:r>
            <w:r>
              <w:rPr>
                <w:rFonts w:hint="default" w:ascii="Times New Roman" w:hAnsi="Times New Roman" w:eastAsia="宋体" w:cs="Times New Roman"/>
                <w:color w:val="auto"/>
                <w:spacing w:val="0"/>
                <w:position w:val="0"/>
                <w:lang w:val="en-US" w:eastAsia="zh-CN"/>
              </w:rPr>
              <w:t>辐射工作人员只负责肝胆二外科、消化内镜科2个科室的介入手术，不参与其他辐射工作</w:t>
            </w:r>
            <w:r>
              <w:rPr>
                <w:rFonts w:hint="eastAsia" w:cs="Times New Roman"/>
                <w:color w:val="auto"/>
                <w:spacing w:val="0"/>
                <w:position w:val="0"/>
                <w:lang w:val="en-US" w:eastAsia="zh-CN"/>
              </w:rPr>
              <w:t>。</w:t>
            </w:r>
          </w:p>
          <w:p w14:paraId="4CC46352">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医院现有核技术利用项目环保履行情况见表1-10</w:t>
            </w:r>
            <w:r>
              <w:rPr>
                <w:rFonts w:hint="default" w:ascii="Times New Roman" w:hAnsi="Times New Roman" w:eastAsia="宋体" w:cs="Times New Roman"/>
                <w:color w:val="auto"/>
                <w:spacing w:val="0"/>
                <w:position w:val="0"/>
              </w:rPr>
              <w:t>。</w:t>
            </w:r>
          </w:p>
          <w:p w14:paraId="70213EF9">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bookmarkStart w:id="10" w:name="_Toc30511"/>
            <w:bookmarkStart w:id="11" w:name="_Toc22771"/>
            <w:r>
              <w:rPr>
                <w:rFonts w:hint="default" w:ascii="Times New Roman" w:hAnsi="Times New Roman" w:eastAsia="宋体" w:cs="Times New Roman"/>
                <w:color w:val="auto"/>
                <w:spacing w:val="0"/>
                <w:position w:val="0"/>
                <w:sz w:val="21"/>
                <w:szCs w:val="21"/>
              </w:rPr>
              <w:t>表1-</w:t>
            </w:r>
            <w:r>
              <w:rPr>
                <w:rFonts w:hint="default" w:ascii="Times New Roman" w:hAnsi="Times New Roman" w:eastAsia="宋体" w:cs="Times New Roman"/>
                <w:color w:val="auto"/>
                <w:spacing w:val="0"/>
                <w:position w:val="0"/>
                <w:sz w:val="21"/>
                <w:szCs w:val="21"/>
                <w:lang w:val="en-US" w:eastAsia="zh-CN"/>
              </w:rPr>
              <w:t>10</w:t>
            </w:r>
            <w:r>
              <w:rPr>
                <w:rFonts w:hint="default" w:ascii="Times New Roman" w:hAnsi="Times New Roman" w:eastAsia="宋体" w:cs="Times New Roman"/>
                <w:color w:val="auto"/>
                <w:spacing w:val="0"/>
                <w:position w:val="0"/>
                <w:sz w:val="21"/>
                <w:szCs w:val="21"/>
              </w:rPr>
              <w:t>院现有核技术利用项目环保履行情况一览表</w:t>
            </w:r>
            <w:bookmarkEnd w:id="10"/>
            <w:bookmarkEnd w:id="11"/>
          </w:p>
          <w:tbl>
            <w:tblPr>
              <w:tblStyle w:val="20"/>
              <w:tblW w:w="4991"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08"/>
              <w:gridCol w:w="1236"/>
              <w:gridCol w:w="1825"/>
              <w:gridCol w:w="563"/>
              <w:gridCol w:w="460"/>
              <w:gridCol w:w="668"/>
              <w:gridCol w:w="1956"/>
              <w:gridCol w:w="1234"/>
              <w:gridCol w:w="383"/>
            </w:tblGrid>
            <w:tr w14:paraId="7B42C8DA">
              <w:tblPrEx>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24F6A89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序号</w:t>
                  </w:r>
                </w:p>
              </w:tc>
              <w:tc>
                <w:tcPr>
                  <w:tcW w:w="707" w:type="pct"/>
                  <w:tcBorders>
                    <w:tl2br w:val="nil"/>
                    <w:tr2bl w:val="nil"/>
                  </w:tcBorders>
                  <w:noWrap w:val="0"/>
                  <w:vAlign w:val="center"/>
                </w:tcPr>
                <w:p w14:paraId="2FADEEA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辐射活动场所名称</w:t>
                  </w:r>
                </w:p>
              </w:tc>
              <w:tc>
                <w:tcPr>
                  <w:tcW w:w="1044" w:type="pct"/>
                  <w:tcBorders>
                    <w:tl2br w:val="nil"/>
                    <w:tr2bl w:val="nil"/>
                  </w:tcBorders>
                  <w:noWrap w:val="0"/>
                  <w:vAlign w:val="center"/>
                </w:tcPr>
                <w:p w14:paraId="07CEDF6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装置分类名称</w:t>
                  </w:r>
                </w:p>
              </w:tc>
              <w:tc>
                <w:tcPr>
                  <w:tcW w:w="322" w:type="pct"/>
                  <w:tcBorders>
                    <w:tl2br w:val="nil"/>
                    <w:tr2bl w:val="nil"/>
                  </w:tcBorders>
                  <w:noWrap w:val="0"/>
                  <w:vAlign w:val="center"/>
                </w:tcPr>
                <w:p w14:paraId="2D9BCDD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类别</w:t>
                  </w:r>
                </w:p>
              </w:tc>
              <w:tc>
                <w:tcPr>
                  <w:tcW w:w="263" w:type="pct"/>
                  <w:tcBorders>
                    <w:tl2br w:val="nil"/>
                    <w:tr2bl w:val="nil"/>
                  </w:tcBorders>
                  <w:noWrap w:val="0"/>
                  <w:vAlign w:val="center"/>
                </w:tcPr>
                <w:p w14:paraId="002C290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活动种类</w:t>
                  </w:r>
                </w:p>
              </w:tc>
              <w:tc>
                <w:tcPr>
                  <w:tcW w:w="382" w:type="pct"/>
                  <w:tcBorders>
                    <w:tl2br w:val="nil"/>
                    <w:tr2bl w:val="nil"/>
                  </w:tcBorders>
                  <w:noWrap w:val="0"/>
                  <w:vAlign w:val="center"/>
                </w:tcPr>
                <w:p w14:paraId="45D92D6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数量/台（套）</w:t>
                  </w:r>
                </w:p>
              </w:tc>
              <w:tc>
                <w:tcPr>
                  <w:tcW w:w="1119" w:type="pct"/>
                  <w:tcBorders>
                    <w:tl2br w:val="nil"/>
                    <w:tr2bl w:val="nil"/>
                  </w:tcBorders>
                  <w:noWrap w:val="0"/>
                  <w:vAlign w:val="center"/>
                </w:tcPr>
                <w:p w14:paraId="612388A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装置名称</w:t>
                  </w:r>
                </w:p>
              </w:tc>
              <w:tc>
                <w:tcPr>
                  <w:tcW w:w="706" w:type="pct"/>
                  <w:tcBorders>
                    <w:tl2br w:val="nil"/>
                    <w:tr2bl w:val="nil"/>
                  </w:tcBorders>
                  <w:noWrap w:val="0"/>
                  <w:vAlign w:val="center"/>
                </w:tcPr>
                <w:p w14:paraId="7258717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规格型号</w:t>
                  </w:r>
                </w:p>
              </w:tc>
              <w:tc>
                <w:tcPr>
                  <w:tcW w:w="219" w:type="pct"/>
                  <w:tcBorders>
                    <w:tl2br w:val="nil"/>
                    <w:tr2bl w:val="nil"/>
                  </w:tcBorders>
                  <w:noWrap w:val="0"/>
                  <w:vAlign w:val="center"/>
                </w:tcPr>
                <w:p w14:paraId="08F8B48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许可情况</w:t>
                  </w:r>
                </w:p>
              </w:tc>
            </w:tr>
            <w:tr w14:paraId="40346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63418DEE">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rPr>
                  </w:pPr>
                </w:p>
              </w:tc>
              <w:tc>
                <w:tcPr>
                  <w:tcW w:w="707" w:type="pct"/>
                  <w:tcBorders>
                    <w:tl2br w:val="nil"/>
                    <w:tr2bl w:val="nil"/>
                  </w:tcBorders>
                  <w:noWrap w:val="0"/>
                  <w:vAlign w:val="center"/>
                </w:tcPr>
                <w:p w14:paraId="464F2744">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分院医学影像科CT室</w:t>
                  </w:r>
                </w:p>
              </w:tc>
              <w:tc>
                <w:tcPr>
                  <w:tcW w:w="1044" w:type="pct"/>
                  <w:tcBorders>
                    <w:tl2br w:val="nil"/>
                    <w:tr2bl w:val="nil"/>
                  </w:tcBorders>
                  <w:noWrap w:val="0"/>
                  <w:vAlign w:val="center"/>
                </w:tcPr>
                <w:p w14:paraId="27DB3ED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医用X射线计算机断层扫描</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CT</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装置</w:t>
                  </w:r>
                </w:p>
              </w:tc>
              <w:tc>
                <w:tcPr>
                  <w:tcW w:w="322" w:type="pct"/>
                  <w:tcBorders>
                    <w:tl2br w:val="nil"/>
                    <w:tr2bl w:val="nil"/>
                  </w:tcBorders>
                  <w:noWrap w:val="0"/>
                  <w:vAlign w:val="center"/>
                </w:tcPr>
                <w:p w14:paraId="4BBE6E0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0846A1E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70D848E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6A95690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X射线计算机体层摄影系统</w:t>
                  </w:r>
                </w:p>
              </w:tc>
              <w:tc>
                <w:tcPr>
                  <w:tcW w:w="706" w:type="pct"/>
                  <w:tcBorders>
                    <w:tl2br w:val="nil"/>
                    <w:tr2bl w:val="nil"/>
                  </w:tcBorders>
                  <w:noWrap w:val="0"/>
                  <w:vAlign w:val="center"/>
                </w:tcPr>
                <w:p w14:paraId="3B65B9F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ANATOM64Clarity</w:t>
                  </w:r>
                </w:p>
              </w:tc>
              <w:tc>
                <w:tcPr>
                  <w:tcW w:w="219" w:type="pct"/>
                  <w:vMerge w:val="restart"/>
                  <w:tcBorders>
                    <w:tl2br w:val="nil"/>
                    <w:tr2bl w:val="nil"/>
                  </w:tcBorders>
                  <w:noWrap w:val="0"/>
                  <w:vAlign w:val="center"/>
                </w:tcPr>
                <w:p w14:paraId="78EE483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已登记</w:t>
                  </w:r>
                  <w:r>
                    <w:rPr>
                      <w:rFonts w:hint="default" w:ascii="Times New Roman" w:hAnsi="Times New Roman" w:eastAsia="宋体" w:cs="Times New Roman"/>
                      <w:color w:val="auto"/>
                    </w:rPr>
                    <w:t>辐射安全许可证正常使用</w:t>
                  </w:r>
                </w:p>
              </w:tc>
            </w:tr>
            <w:tr w14:paraId="3FA7D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37263711">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rPr>
                  </w:pPr>
                </w:p>
              </w:tc>
              <w:tc>
                <w:tcPr>
                  <w:tcW w:w="707" w:type="pct"/>
                  <w:tcBorders>
                    <w:tl2br w:val="nil"/>
                    <w:tr2bl w:val="nil"/>
                  </w:tcBorders>
                  <w:noWrap w:val="0"/>
                  <w:vAlign w:val="center"/>
                </w:tcPr>
                <w:p w14:paraId="69A2ABE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分院医学影像科设备间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移动DR</w:t>
                  </w:r>
                  <w:r>
                    <w:rPr>
                      <w:rFonts w:hint="default" w:ascii="Times New Roman" w:hAnsi="Times New Roman" w:eastAsia="宋体" w:cs="Times New Roman"/>
                      <w:color w:val="auto"/>
                      <w:lang w:eastAsia="zh-CN"/>
                    </w:rPr>
                    <w:t>）</w:t>
                  </w:r>
                </w:p>
              </w:tc>
              <w:tc>
                <w:tcPr>
                  <w:tcW w:w="1044" w:type="pct"/>
                  <w:tcBorders>
                    <w:tl2br w:val="nil"/>
                    <w:tr2bl w:val="nil"/>
                  </w:tcBorders>
                  <w:noWrap w:val="0"/>
                  <w:vAlign w:val="center"/>
                </w:tcPr>
                <w:p w14:paraId="1F19986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567BDCF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7BB1439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01AB892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2A13948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数字化移动式摄影X射线机</w:t>
                  </w:r>
                </w:p>
              </w:tc>
              <w:tc>
                <w:tcPr>
                  <w:tcW w:w="706" w:type="pct"/>
                  <w:tcBorders>
                    <w:tl2br w:val="nil"/>
                    <w:tr2bl w:val="nil"/>
                  </w:tcBorders>
                  <w:noWrap w:val="0"/>
                  <w:vAlign w:val="center"/>
                </w:tcPr>
                <w:p w14:paraId="228245E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DRXR-1</w:t>
                  </w:r>
                </w:p>
              </w:tc>
              <w:tc>
                <w:tcPr>
                  <w:tcW w:w="219" w:type="pct"/>
                  <w:vMerge w:val="continue"/>
                  <w:tcBorders>
                    <w:tl2br w:val="nil"/>
                    <w:tr2bl w:val="nil"/>
                  </w:tcBorders>
                  <w:noWrap w:val="0"/>
                  <w:vAlign w:val="center"/>
                </w:tcPr>
                <w:p w14:paraId="58673C2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50902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22C0417A">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rPr>
                  </w:pPr>
                </w:p>
              </w:tc>
              <w:tc>
                <w:tcPr>
                  <w:tcW w:w="707" w:type="pct"/>
                  <w:tcBorders>
                    <w:tl2br w:val="nil"/>
                    <w:tr2bl w:val="nil"/>
                  </w:tcBorders>
                  <w:noWrap w:val="0"/>
                  <w:vAlign w:val="center"/>
                </w:tcPr>
                <w:p w14:paraId="37D1799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介入室1号</w:t>
                  </w:r>
                </w:p>
              </w:tc>
              <w:tc>
                <w:tcPr>
                  <w:tcW w:w="1044" w:type="pct"/>
                  <w:tcBorders>
                    <w:tl2br w:val="nil"/>
                    <w:tr2bl w:val="nil"/>
                  </w:tcBorders>
                  <w:noWrap w:val="0"/>
                  <w:vAlign w:val="center"/>
                </w:tcPr>
                <w:p w14:paraId="79CCBCA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血管造影用X射线装置</w:t>
                  </w:r>
                </w:p>
              </w:tc>
              <w:tc>
                <w:tcPr>
                  <w:tcW w:w="322" w:type="pct"/>
                  <w:tcBorders>
                    <w:tl2br w:val="nil"/>
                    <w:tr2bl w:val="nil"/>
                  </w:tcBorders>
                  <w:noWrap w:val="0"/>
                  <w:vAlign w:val="center"/>
                </w:tcPr>
                <w:p w14:paraId="34F1930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Ⅱ</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576CBC7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441014E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3479D46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数字减影血管造影机</w:t>
                  </w:r>
                </w:p>
              </w:tc>
              <w:tc>
                <w:tcPr>
                  <w:tcW w:w="706" w:type="pct"/>
                  <w:tcBorders>
                    <w:tl2br w:val="nil"/>
                    <w:tr2bl w:val="nil"/>
                  </w:tcBorders>
                  <w:noWrap w:val="0"/>
                  <w:vAlign w:val="center"/>
                </w:tcPr>
                <w:p w14:paraId="38B79C4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Artis-zeeceiling</w:t>
                  </w:r>
                </w:p>
              </w:tc>
              <w:tc>
                <w:tcPr>
                  <w:tcW w:w="219" w:type="pct"/>
                  <w:vMerge w:val="continue"/>
                  <w:tcBorders>
                    <w:tl2br w:val="nil"/>
                    <w:tr2bl w:val="nil"/>
                  </w:tcBorders>
                  <w:noWrap w:val="0"/>
                  <w:vAlign w:val="center"/>
                </w:tcPr>
                <w:p w14:paraId="4E68D57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65176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F1041EB">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rPr>
                  </w:pPr>
                </w:p>
              </w:tc>
              <w:tc>
                <w:tcPr>
                  <w:tcW w:w="707" w:type="pct"/>
                  <w:tcBorders>
                    <w:tl2br w:val="nil"/>
                    <w:tr2bl w:val="nil"/>
                  </w:tcBorders>
                  <w:noWrap w:val="0"/>
                  <w:vAlign w:val="center"/>
                </w:tcPr>
                <w:p w14:paraId="23C2315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介入室2号</w:t>
                  </w:r>
                </w:p>
              </w:tc>
              <w:tc>
                <w:tcPr>
                  <w:tcW w:w="1044" w:type="pct"/>
                  <w:tcBorders>
                    <w:tl2br w:val="nil"/>
                    <w:tr2bl w:val="nil"/>
                  </w:tcBorders>
                  <w:noWrap w:val="0"/>
                  <w:vAlign w:val="center"/>
                </w:tcPr>
                <w:p w14:paraId="574996D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血管造影用X射线装置</w:t>
                  </w:r>
                </w:p>
              </w:tc>
              <w:tc>
                <w:tcPr>
                  <w:tcW w:w="322" w:type="pct"/>
                  <w:tcBorders>
                    <w:tl2br w:val="nil"/>
                    <w:tr2bl w:val="nil"/>
                  </w:tcBorders>
                  <w:noWrap w:val="0"/>
                  <w:vAlign w:val="center"/>
                </w:tcPr>
                <w:p w14:paraId="0010C83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Ⅱ</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16B9469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4098A5D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52E1C12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医用血管造影X射线系统</w:t>
                  </w:r>
                </w:p>
              </w:tc>
              <w:tc>
                <w:tcPr>
                  <w:tcW w:w="706" w:type="pct"/>
                  <w:tcBorders>
                    <w:tl2br w:val="nil"/>
                    <w:tr2bl w:val="nil"/>
                  </w:tcBorders>
                  <w:noWrap w:val="0"/>
                  <w:vAlign w:val="center"/>
                </w:tcPr>
                <w:p w14:paraId="089A6BD4">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Azurion7M20</w:t>
                  </w:r>
                </w:p>
              </w:tc>
              <w:tc>
                <w:tcPr>
                  <w:tcW w:w="219" w:type="pct"/>
                  <w:vMerge w:val="continue"/>
                  <w:tcBorders>
                    <w:tl2br w:val="nil"/>
                    <w:tr2bl w:val="nil"/>
                  </w:tcBorders>
                  <w:noWrap w:val="0"/>
                  <w:vAlign w:val="center"/>
                </w:tcPr>
                <w:p w14:paraId="07901D2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1ECBB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0B70D19C">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rPr>
                  </w:pPr>
                </w:p>
              </w:tc>
              <w:tc>
                <w:tcPr>
                  <w:tcW w:w="707" w:type="pct"/>
                  <w:tcBorders>
                    <w:tl2br w:val="nil"/>
                    <w:tr2bl w:val="nil"/>
                  </w:tcBorders>
                  <w:noWrap w:val="0"/>
                  <w:vAlign w:val="center"/>
                </w:tcPr>
                <w:p w14:paraId="0BFBC1D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口腔CBCT室</w:t>
                  </w:r>
                </w:p>
              </w:tc>
              <w:tc>
                <w:tcPr>
                  <w:tcW w:w="1044" w:type="pct"/>
                  <w:tcBorders>
                    <w:tl2br w:val="nil"/>
                    <w:tr2bl w:val="nil"/>
                  </w:tcBorders>
                  <w:noWrap w:val="0"/>
                  <w:vAlign w:val="center"/>
                </w:tcPr>
                <w:p w14:paraId="18F4C15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口腔</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牙科</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X射线装置</w:t>
                  </w:r>
                </w:p>
              </w:tc>
              <w:tc>
                <w:tcPr>
                  <w:tcW w:w="322" w:type="pct"/>
                  <w:tcBorders>
                    <w:tl2br w:val="nil"/>
                    <w:tr2bl w:val="nil"/>
                  </w:tcBorders>
                  <w:noWrap w:val="0"/>
                  <w:vAlign w:val="center"/>
                </w:tcPr>
                <w:p w14:paraId="6E74DCB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1B5ED0C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74BACE3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7DB3BC1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口腔颌面锥形束计算机体层摄影设备</w:t>
                  </w:r>
                </w:p>
              </w:tc>
              <w:tc>
                <w:tcPr>
                  <w:tcW w:w="706" w:type="pct"/>
                  <w:tcBorders>
                    <w:tl2br w:val="nil"/>
                    <w:tr2bl w:val="nil"/>
                  </w:tcBorders>
                  <w:noWrap w:val="0"/>
                  <w:vAlign w:val="center"/>
                </w:tcPr>
                <w:p w14:paraId="4053A53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mDX-15Pro-Y30</w:t>
                  </w:r>
                </w:p>
              </w:tc>
              <w:tc>
                <w:tcPr>
                  <w:tcW w:w="219" w:type="pct"/>
                  <w:vMerge w:val="continue"/>
                  <w:tcBorders>
                    <w:tl2br w:val="nil"/>
                    <w:tr2bl w:val="nil"/>
                  </w:tcBorders>
                  <w:noWrap w:val="0"/>
                  <w:vAlign w:val="center"/>
                </w:tcPr>
                <w:p w14:paraId="7750C7F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5349C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086FE5C5">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rPr>
                  </w:pPr>
                </w:p>
              </w:tc>
              <w:tc>
                <w:tcPr>
                  <w:tcW w:w="707" w:type="pct"/>
                  <w:tcBorders>
                    <w:tl2br w:val="nil"/>
                    <w:tr2bl w:val="nil"/>
                  </w:tcBorders>
                  <w:noWrap w:val="0"/>
                  <w:vAlign w:val="center"/>
                </w:tcPr>
                <w:p w14:paraId="5E7AE3A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口腔科1号机房</w:t>
                  </w:r>
                </w:p>
              </w:tc>
              <w:tc>
                <w:tcPr>
                  <w:tcW w:w="1044" w:type="pct"/>
                  <w:tcBorders>
                    <w:tl2br w:val="nil"/>
                    <w:tr2bl w:val="nil"/>
                  </w:tcBorders>
                  <w:noWrap w:val="0"/>
                  <w:vAlign w:val="center"/>
                </w:tcPr>
                <w:p w14:paraId="0722086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口腔</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牙科</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X射线装置</w:t>
                  </w:r>
                </w:p>
              </w:tc>
              <w:tc>
                <w:tcPr>
                  <w:tcW w:w="322" w:type="pct"/>
                  <w:tcBorders>
                    <w:tl2br w:val="nil"/>
                    <w:tr2bl w:val="nil"/>
                  </w:tcBorders>
                  <w:noWrap w:val="0"/>
                  <w:vAlign w:val="center"/>
                </w:tcPr>
                <w:p w14:paraId="4E39A77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IⅡ类</w:t>
                  </w:r>
                </w:p>
              </w:tc>
              <w:tc>
                <w:tcPr>
                  <w:tcW w:w="263" w:type="pct"/>
                  <w:tcBorders>
                    <w:tl2br w:val="nil"/>
                    <w:tr2bl w:val="nil"/>
                  </w:tcBorders>
                  <w:noWrap w:val="0"/>
                  <w:vAlign w:val="center"/>
                </w:tcPr>
                <w:p w14:paraId="3E85D6A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2F4D64A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2541224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牙科X射线机</w:t>
                  </w:r>
                </w:p>
              </w:tc>
              <w:tc>
                <w:tcPr>
                  <w:tcW w:w="706" w:type="pct"/>
                  <w:tcBorders>
                    <w:tl2br w:val="nil"/>
                    <w:tr2bl w:val="nil"/>
                  </w:tcBorders>
                  <w:noWrap w:val="0"/>
                  <w:vAlign w:val="center"/>
                </w:tcPr>
                <w:p w14:paraId="02624AE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RAY98(W)</w:t>
                  </w:r>
                </w:p>
              </w:tc>
              <w:tc>
                <w:tcPr>
                  <w:tcW w:w="219" w:type="pct"/>
                  <w:vMerge w:val="continue"/>
                  <w:tcBorders>
                    <w:tl2br w:val="nil"/>
                    <w:tr2bl w:val="nil"/>
                  </w:tcBorders>
                  <w:noWrap w:val="0"/>
                  <w:vAlign w:val="center"/>
                </w:tcPr>
                <w:p w14:paraId="1C6E2DE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50A87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527039C1">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rPr>
                  </w:pPr>
                </w:p>
              </w:tc>
              <w:tc>
                <w:tcPr>
                  <w:tcW w:w="707" w:type="pct"/>
                  <w:tcBorders>
                    <w:tl2br w:val="nil"/>
                    <w:tr2bl w:val="nil"/>
                  </w:tcBorders>
                  <w:noWrap w:val="0"/>
                  <w:vAlign w:val="center"/>
                </w:tcPr>
                <w:p w14:paraId="443EC43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口腔科3号机房</w:t>
                  </w:r>
                </w:p>
              </w:tc>
              <w:tc>
                <w:tcPr>
                  <w:tcW w:w="1044" w:type="pct"/>
                  <w:tcBorders>
                    <w:tl2br w:val="nil"/>
                    <w:tr2bl w:val="nil"/>
                  </w:tcBorders>
                  <w:noWrap w:val="0"/>
                  <w:vAlign w:val="center"/>
                </w:tcPr>
                <w:p w14:paraId="7312D4A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口腔</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牙科</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X射线装置</w:t>
                  </w:r>
                </w:p>
              </w:tc>
              <w:tc>
                <w:tcPr>
                  <w:tcW w:w="322" w:type="pct"/>
                  <w:tcBorders>
                    <w:tl2br w:val="nil"/>
                    <w:tr2bl w:val="nil"/>
                  </w:tcBorders>
                  <w:noWrap w:val="0"/>
                  <w:vAlign w:val="center"/>
                </w:tcPr>
                <w:p w14:paraId="3F4290F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79E48A4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20F6764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4235B54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口腔颌面锥形束计算机体层摄影设备</w:t>
                  </w:r>
                </w:p>
              </w:tc>
              <w:tc>
                <w:tcPr>
                  <w:tcW w:w="706" w:type="pct"/>
                  <w:tcBorders>
                    <w:tl2br w:val="nil"/>
                    <w:tr2bl w:val="nil"/>
                  </w:tcBorders>
                  <w:noWrap w:val="0"/>
                  <w:vAlign w:val="center"/>
                </w:tcPr>
                <w:p w14:paraId="6483EC7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RCT700-SC</w:t>
                  </w:r>
                </w:p>
              </w:tc>
              <w:tc>
                <w:tcPr>
                  <w:tcW w:w="219" w:type="pct"/>
                  <w:vMerge w:val="continue"/>
                  <w:tcBorders>
                    <w:tl2br w:val="nil"/>
                    <w:tr2bl w:val="nil"/>
                  </w:tcBorders>
                  <w:noWrap w:val="0"/>
                  <w:vAlign w:val="center"/>
                </w:tcPr>
                <w:p w14:paraId="1BE06B04">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5C2E4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3E8AD26C">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7F42978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口腔牙片机房</w:t>
                  </w:r>
                </w:p>
              </w:tc>
              <w:tc>
                <w:tcPr>
                  <w:tcW w:w="1044" w:type="pct"/>
                  <w:tcBorders>
                    <w:tl2br w:val="nil"/>
                    <w:tr2bl w:val="nil"/>
                  </w:tcBorders>
                  <w:noWrap w:val="0"/>
                  <w:vAlign w:val="center"/>
                </w:tcPr>
                <w:p w14:paraId="12FAB3F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口腔</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牙科</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X射线装置</w:t>
                  </w:r>
                </w:p>
              </w:tc>
              <w:tc>
                <w:tcPr>
                  <w:tcW w:w="322" w:type="pct"/>
                  <w:tcBorders>
                    <w:tl2br w:val="nil"/>
                    <w:tr2bl w:val="nil"/>
                  </w:tcBorders>
                  <w:noWrap w:val="0"/>
                  <w:vAlign w:val="center"/>
                </w:tcPr>
                <w:p w14:paraId="5048E03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3ED3C13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2FED5F2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18ED261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牙科X射线机</w:t>
                  </w:r>
                </w:p>
              </w:tc>
              <w:tc>
                <w:tcPr>
                  <w:tcW w:w="706" w:type="pct"/>
                  <w:tcBorders>
                    <w:tl2br w:val="nil"/>
                    <w:tr2bl w:val="nil"/>
                  </w:tcBorders>
                  <w:noWrap w:val="0"/>
                  <w:vAlign w:val="center"/>
                </w:tcPr>
                <w:p w14:paraId="4476F95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RAY98(W)</w:t>
                  </w:r>
                </w:p>
              </w:tc>
              <w:tc>
                <w:tcPr>
                  <w:tcW w:w="219" w:type="pct"/>
                  <w:vMerge w:val="continue"/>
                  <w:tcBorders>
                    <w:tl2br w:val="nil"/>
                    <w:tr2bl w:val="nil"/>
                  </w:tcBorders>
                  <w:noWrap w:val="0"/>
                  <w:vAlign w:val="center"/>
                </w:tcPr>
                <w:p w14:paraId="1EDA38B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2EE9B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27472A17">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4C7C3C2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麻醉科10号手术室</w:t>
                  </w:r>
                </w:p>
              </w:tc>
              <w:tc>
                <w:tcPr>
                  <w:tcW w:w="1044" w:type="pct"/>
                  <w:tcBorders>
                    <w:tl2br w:val="nil"/>
                    <w:tr2bl w:val="nil"/>
                  </w:tcBorders>
                  <w:noWrap w:val="0"/>
                  <w:vAlign w:val="center"/>
                </w:tcPr>
                <w:p w14:paraId="167D07A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18CE5CF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76FD257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55BBB24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007FBC2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移动式C型臂X线系统</w:t>
                  </w:r>
                </w:p>
              </w:tc>
              <w:tc>
                <w:tcPr>
                  <w:tcW w:w="706" w:type="pct"/>
                  <w:tcBorders>
                    <w:tl2br w:val="nil"/>
                    <w:tr2bl w:val="nil"/>
                  </w:tcBorders>
                  <w:noWrap w:val="0"/>
                  <w:vAlign w:val="center"/>
                </w:tcPr>
                <w:p w14:paraId="769677D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BV</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Libra</w:t>
                  </w:r>
                </w:p>
              </w:tc>
              <w:tc>
                <w:tcPr>
                  <w:tcW w:w="219" w:type="pct"/>
                  <w:vMerge w:val="continue"/>
                  <w:tcBorders>
                    <w:tl2br w:val="nil"/>
                    <w:tr2bl w:val="nil"/>
                  </w:tcBorders>
                  <w:noWrap w:val="0"/>
                  <w:vAlign w:val="center"/>
                </w:tcPr>
                <w:p w14:paraId="6F49EB9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46EE9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4E55BDBA">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31C5F1B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麻醉科8号手术室</w:t>
                  </w:r>
                </w:p>
              </w:tc>
              <w:tc>
                <w:tcPr>
                  <w:tcW w:w="1044" w:type="pct"/>
                  <w:tcBorders>
                    <w:tl2br w:val="nil"/>
                    <w:tr2bl w:val="nil"/>
                  </w:tcBorders>
                  <w:noWrap w:val="0"/>
                  <w:vAlign w:val="center"/>
                </w:tcPr>
                <w:p w14:paraId="0BFEA2D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1402FC1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56C7A5B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3B0C487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22378AF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移动式，C形臂X射线机</w:t>
                  </w:r>
                </w:p>
              </w:tc>
              <w:tc>
                <w:tcPr>
                  <w:tcW w:w="706" w:type="pct"/>
                  <w:tcBorders>
                    <w:tl2br w:val="nil"/>
                    <w:tr2bl w:val="nil"/>
                  </w:tcBorders>
                  <w:noWrap w:val="0"/>
                  <w:vAlign w:val="center"/>
                </w:tcPr>
                <w:p w14:paraId="367D174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ZiehmSolo</w:t>
                  </w:r>
                </w:p>
              </w:tc>
              <w:tc>
                <w:tcPr>
                  <w:tcW w:w="219" w:type="pct"/>
                  <w:vMerge w:val="continue"/>
                  <w:tcBorders>
                    <w:tl2br w:val="nil"/>
                    <w:tr2bl w:val="nil"/>
                  </w:tcBorders>
                  <w:noWrap w:val="0"/>
                  <w:vAlign w:val="center"/>
                </w:tcPr>
                <w:p w14:paraId="372CF64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06241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2122D215">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35EA2D3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麻醉科9号手术室</w:t>
                  </w:r>
                </w:p>
              </w:tc>
              <w:tc>
                <w:tcPr>
                  <w:tcW w:w="1044" w:type="pct"/>
                  <w:tcBorders>
                    <w:tl2br w:val="nil"/>
                    <w:tr2bl w:val="nil"/>
                  </w:tcBorders>
                  <w:noWrap w:val="0"/>
                  <w:vAlign w:val="center"/>
                </w:tcPr>
                <w:p w14:paraId="6795C73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1E432FD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0CA4857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3ACDAE1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7FDCF39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移动式C形臂X射线机</w:t>
                  </w:r>
                </w:p>
              </w:tc>
              <w:tc>
                <w:tcPr>
                  <w:tcW w:w="706" w:type="pct"/>
                  <w:tcBorders>
                    <w:tl2br w:val="nil"/>
                    <w:tr2bl w:val="nil"/>
                  </w:tcBorders>
                  <w:noWrap w:val="0"/>
                  <w:vAlign w:val="center"/>
                </w:tcPr>
                <w:p w14:paraId="74221A9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ZiehmSolo</w:t>
                  </w:r>
                </w:p>
              </w:tc>
              <w:tc>
                <w:tcPr>
                  <w:tcW w:w="219" w:type="pct"/>
                  <w:vMerge w:val="continue"/>
                  <w:tcBorders>
                    <w:tl2br w:val="nil"/>
                    <w:tr2bl w:val="nil"/>
                  </w:tcBorders>
                  <w:noWrap w:val="0"/>
                  <w:vAlign w:val="center"/>
                </w:tcPr>
                <w:p w14:paraId="420408E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7249E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3829B7B">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26BA430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泌尿外科碎石机房</w:t>
                  </w:r>
                </w:p>
              </w:tc>
              <w:tc>
                <w:tcPr>
                  <w:tcW w:w="1044" w:type="pct"/>
                  <w:tcBorders>
                    <w:tl2br w:val="nil"/>
                    <w:tr2bl w:val="nil"/>
                  </w:tcBorders>
                  <w:noWrap w:val="0"/>
                  <w:vAlign w:val="center"/>
                </w:tcPr>
                <w:p w14:paraId="69B4F92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577B570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6CAA0B6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296E26E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2CAA5D0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体外冲击波碎石机</w:t>
                  </w:r>
                </w:p>
              </w:tc>
              <w:tc>
                <w:tcPr>
                  <w:tcW w:w="706" w:type="pct"/>
                  <w:tcBorders>
                    <w:tl2br w:val="nil"/>
                    <w:tr2bl w:val="nil"/>
                  </w:tcBorders>
                  <w:noWrap w:val="0"/>
                  <w:vAlign w:val="center"/>
                </w:tcPr>
                <w:p w14:paraId="35F7018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HK.ESWL-V</w:t>
                  </w:r>
                </w:p>
              </w:tc>
              <w:tc>
                <w:tcPr>
                  <w:tcW w:w="219" w:type="pct"/>
                  <w:vMerge w:val="continue"/>
                  <w:tcBorders>
                    <w:tl2br w:val="nil"/>
                    <w:tr2bl w:val="nil"/>
                  </w:tcBorders>
                  <w:noWrap w:val="0"/>
                  <w:vAlign w:val="center"/>
                </w:tcPr>
                <w:p w14:paraId="0602886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4D3E9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4CD9E70D">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3FBEB23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体检中心CT机房</w:t>
                  </w:r>
                </w:p>
              </w:tc>
              <w:tc>
                <w:tcPr>
                  <w:tcW w:w="1044" w:type="pct"/>
                  <w:tcBorders>
                    <w:tl2br w:val="nil"/>
                    <w:tr2bl w:val="nil"/>
                  </w:tcBorders>
                  <w:noWrap w:val="0"/>
                  <w:vAlign w:val="center"/>
                </w:tcPr>
                <w:p w14:paraId="350E130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医用X射线计算机断层扫描</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CT</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装置</w:t>
                  </w:r>
                </w:p>
              </w:tc>
              <w:tc>
                <w:tcPr>
                  <w:tcW w:w="322" w:type="pct"/>
                  <w:tcBorders>
                    <w:tl2br w:val="nil"/>
                    <w:tr2bl w:val="nil"/>
                  </w:tcBorders>
                  <w:noWrap w:val="0"/>
                  <w:vAlign w:val="center"/>
                </w:tcPr>
                <w:p w14:paraId="3361E55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48E1599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3305857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287F171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X射线计算机体层摄影设备</w:t>
                  </w:r>
                </w:p>
              </w:tc>
              <w:tc>
                <w:tcPr>
                  <w:tcW w:w="706" w:type="pct"/>
                  <w:tcBorders>
                    <w:tl2br w:val="nil"/>
                    <w:tr2bl w:val="nil"/>
                  </w:tcBorders>
                  <w:noWrap w:val="0"/>
                  <w:vAlign w:val="center"/>
                </w:tcPr>
                <w:p w14:paraId="225D736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Neu</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Viz</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64In</w:t>
                  </w:r>
                </w:p>
              </w:tc>
              <w:tc>
                <w:tcPr>
                  <w:tcW w:w="219" w:type="pct"/>
                  <w:vMerge w:val="continue"/>
                  <w:tcBorders>
                    <w:tl2br w:val="nil"/>
                    <w:tr2bl w:val="nil"/>
                  </w:tcBorders>
                  <w:noWrap w:val="0"/>
                  <w:vAlign w:val="center"/>
                </w:tcPr>
                <w:p w14:paraId="2CE6EF7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31C72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E412EFE">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48F6FCC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体检中心DR机房</w:t>
                  </w:r>
                </w:p>
              </w:tc>
              <w:tc>
                <w:tcPr>
                  <w:tcW w:w="1044" w:type="pct"/>
                  <w:tcBorders>
                    <w:tl2br w:val="nil"/>
                    <w:tr2bl w:val="nil"/>
                  </w:tcBorders>
                  <w:noWrap w:val="0"/>
                  <w:vAlign w:val="center"/>
                </w:tcPr>
                <w:p w14:paraId="6D8FA37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764C2E0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2DF2131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0D6C5BB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44877DA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医用X射线摄影系统</w:t>
                  </w:r>
                </w:p>
              </w:tc>
              <w:tc>
                <w:tcPr>
                  <w:tcW w:w="706" w:type="pct"/>
                  <w:tcBorders>
                    <w:tl2br w:val="nil"/>
                    <w:tr2bl w:val="nil"/>
                  </w:tcBorders>
                  <w:noWrap w:val="0"/>
                  <w:vAlign w:val="center"/>
                </w:tcPr>
                <w:p w14:paraId="5C77BE6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新东方1000ND</w:t>
                  </w:r>
                </w:p>
              </w:tc>
              <w:tc>
                <w:tcPr>
                  <w:tcW w:w="219" w:type="pct"/>
                  <w:vMerge w:val="continue"/>
                  <w:tcBorders>
                    <w:tl2br w:val="nil"/>
                    <w:tr2bl w:val="nil"/>
                  </w:tcBorders>
                  <w:noWrap w:val="0"/>
                  <w:vAlign w:val="center"/>
                </w:tcPr>
                <w:p w14:paraId="0DC6D58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2F780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652F40D3">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55B7897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消化内镜科C臂机房</w:t>
                  </w:r>
                </w:p>
              </w:tc>
              <w:tc>
                <w:tcPr>
                  <w:tcW w:w="1044" w:type="pct"/>
                  <w:tcBorders>
                    <w:tl2br w:val="nil"/>
                    <w:tr2bl w:val="nil"/>
                  </w:tcBorders>
                  <w:noWrap w:val="0"/>
                  <w:vAlign w:val="center"/>
                </w:tcPr>
                <w:p w14:paraId="628F022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血管造影用X射线装置</w:t>
                  </w:r>
                </w:p>
              </w:tc>
              <w:tc>
                <w:tcPr>
                  <w:tcW w:w="322" w:type="pct"/>
                  <w:tcBorders>
                    <w:tl2br w:val="nil"/>
                    <w:tr2bl w:val="nil"/>
                  </w:tcBorders>
                  <w:noWrap w:val="0"/>
                  <w:vAlign w:val="center"/>
                </w:tcPr>
                <w:p w14:paraId="1B09253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Ⅱ</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44ADB49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29298F1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26CEAE5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移动式C形臂X射线机</w:t>
                  </w:r>
                </w:p>
              </w:tc>
              <w:tc>
                <w:tcPr>
                  <w:tcW w:w="706" w:type="pct"/>
                  <w:tcBorders>
                    <w:tl2br w:val="nil"/>
                    <w:tr2bl w:val="nil"/>
                  </w:tcBorders>
                  <w:noWrap w:val="0"/>
                  <w:vAlign w:val="center"/>
                </w:tcPr>
                <w:p w14:paraId="20BBEEE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CiosAlpha</w:t>
                  </w:r>
                </w:p>
              </w:tc>
              <w:tc>
                <w:tcPr>
                  <w:tcW w:w="219" w:type="pct"/>
                  <w:vMerge w:val="continue"/>
                  <w:tcBorders>
                    <w:tl2br w:val="nil"/>
                    <w:tr2bl w:val="nil"/>
                  </w:tcBorders>
                  <w:noWrap w:val="0"/>
                  <w:vAlign w:val="center"/>
                </w:tcPr>
                <w:p w14:paraId="4D61B62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1108E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33F2819E">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3D23544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医学影像科1号机房</w:t>
                  </w:r>
                </w:p>
              </w:tc>
              <w:tc>
                <w:tcPr>
                  <w:tcW w:w="1044" w:type="pct"/>
                  <w:tcBorders>
                    <w:tl2br w:val="nil"/>
                    <w:tr2bl w:val="nil"/>
                  </w:tcBorders>
                  <w:noWrap w:val="0"/>
                  <w:vAlign w:val="center"/>
                </w:tcPr>
                <w:p w14:paraId="010CE18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3ACD69D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726B00C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62EEBDB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4831D1C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数字化透视摄影X射线机</w:t>
                  </w:r>
                </w:p>
              </w:tc>
              <w:tc>
                <w:tcPr>
                  <w:tcW w:w="706" w:type="pct"/>
                  <w:tcBorders>
                    <w:tl2br w:val="nil"/>
                    <w:tr2bl w:val="nil"/>
                  </w:tcBorders>
                  <w:noWrap w:val="0"/>
                  <w:vAlign w:val="center"/>
                </w:tcPr>
                <w:p w14:paraId="462278A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PLD9600.F</w:t>
                  </w:r>
                </w:p>
              </w:tc>
              <w:tc>
                <w:tcPr>
                  <w:tcW w:w="219" w:type="pct"/>
                  <w:vMerge w:val="continue"/>
                  <w:tcBorders>
                    <w:tl2br w:val="nil"/>
                    <w:tr2bl w:val="nil"/>
                  </w:tcBorders>
                  <w:noWrap w:val="0"/>
                  <w:vAlign w:val="center"/>
                </w:tcPr>
                <w:p w14:paraId="4B6F0DF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38F7E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0ED8DCD6">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2FCC2CD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医学影像科2号机房</w:t>
                  </w:r>
                </w:p>
              </w:tc>
              <w:tc>
                <w:tcPr>
                  <w:tcW w:w="1044" w:type="pct"/>
                  <w:tcBorders>
                    <w:tl2br w:val="nil"/>
                    <w:tr2bl w:val="nil"/>
                  </w:tcBorders>
                  <w:noWrap w:val="0"/>
                  <w:vAlign w:val="center"/>
                </w:tcPr>
                <w:p w14:paraId="012B6CB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0AE9584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5A01C48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475EF6C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1</w:t>
                  </w:r>
                </w:p>
              </w:tc>
              <w:tc>
                <w:tcPr>
                  <w:tcW w:w="1119" w:type="pct"/>
                  <w:tcBorders>
                    <w:tl2br w:val="nil"/>
                    <w:tr2bl w:val="nil"/>
                  </w:tcBorders>
                  <w:noWrap w:val="0"/>
                  <w:vAlign w:val="center"/>
                </w:tcPr>
                <w:p w14:paraId="1E423B4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骨密度仪</w:t>
                  </w:r>
                </w:p>
              </w:tc>
              <w:tc>
                <w:tcPr>
                  <w:tcW w:w="706" w:type="pct"/>
                  <w:tcBorders>
                    <w:tl2br w:val="nil"/>
                    <w:tr2bl w:val="nil"/>
                  </w:tcBorders>
                  <w:noWrap w:val="0"/>
                  <w:vAlign w:val="center"/>
                </w:tcPr>
                <w:p w14:paraId="7D41A5A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DiscoveryWI</w:t>
                  </w:r>
                </w:p>
              </w:tc>
              <w:tc>
                <w:tcPr>
                  <w:tcW w:w="219" w:type="pct"/>
                  <w:vMerge w:val="continue"/>
                  <w:tcBorders>
                    <w:tl2br w:val="nil"/>
                    <w:tr2bl w:val="nil"/>
                  </w:tcBorders>
                  <w:noWrap w:val="0"/>
                  <w:vAlign w:val="center"/>
                </w:tcPr>
                <w:p w14:paraId="59D3B3B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3CB92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63B2718A">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790930F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医学影像科3号机房</w:t>
                  </w:r>
                </w:p>
              </w:tc>
              <w:tc>
                <w:tcPr>
                  <w:tcW w:w="1044" w:type="pct"/>
                  <w:tcBorders>
                    <w:tl2br w:val="nil"/>
                    <w:tr2bl w:val="nil"/>
                  </w:tcBorders>
                  <w:noWrap w:val="0"/>
                  <w:vAlign w:val="center"/>
                </w:tcPr>
                <w:p w14:paraId="293B10E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5B95CF7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62DCA78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179A4C94">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32E5662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直接数字化拍片系统</w:t>
                  </w:r>
                </w:p>
              </w:tc>
              <w:tc>
                <w:tcPr>
                  <w:tcW w:w="706" w:type="pct"/>
                  <w:tcBorders>
                    <w:tl2br w:val="nil"/>
                    <w:tr2bl w:val="nil"/>
                  </w:tcBorders>
                  <w:noWrap w:val="0"/>
                  <w:vAlign w:val="center"/>
                </w:tcPr>
                <w:p w14:paraId="2DFB57B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Digital Diagnostics</w:t>
                  </w:r>
                </w:p>
              </w:tc>
              <w:tc>
                <w:tcPr>
                  <w:tcW w:w="219" w:type="pct"/>
                  <w:vMerge w:val="continue"/>
                  <w:tcBorders>
                    <w:tl2br w:val="nil"/>
                    <w:tr2bl w:val="nil"/>
                  </w:tcBorders>
                  <w:noWrap w:val="0"/>
                  <w:vAlign w:val="center"/>
                </w:tcPr>
                <w:p w14:paraId="03B34F4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0AC01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C5B850C">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192FEA5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医学影像科4号机房</w:t>
                  </w:r>
                </w:p>
              </w:tc>
              <w:tc>
                <w:tcPr>
                  <w:tcW w:w="1044" w:type="pct"/>
                  <w:tcBorders>
                    <w:tl2br w:val="nil"/>
                    <w:tr2bl w:val="nil"/>
                  </w:tcBorders>
                  <w:noWrap w:val="0"/>
                  <w:vAlign w:val="center"/>
                </w:tcPr>
                <w:p w14:paraId="2795CA1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7701EFD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73B58D1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1383024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1</w:t>
                  </w:r>
                </w:p>
              </w:tc>
              <w:tc>
                <w:tcPr>
                  <w:tcW w:w="1119" w:type="pct"/>
                  <w:tcBorders>
                    <w:tl2br w:val="nil"/>
                    <w:tr2bl w:val="nil"/>
                  </w:tcBorders>
                  <w:noWrap w:val="0"/>
                  <w:vAlign w:val="center"/>
                </w:tcPr>
                <w:p w14:paraId="62C017C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数字化医用X射线摄影系统</w:t>
                  </w:r>
                </w:p>
              </w:tc>
              <w:tc>
                <w:tcPr>
                  <w:tcW w:w="706" w:type="pct"/>
                  <w:tcBorders>
                    <w:tl2br w:val="nil"/>
                    <w:tr2bl w:val="nil"/>
                  </w:tcBorders>
                  <w:noWrap w:val="0"/>
                  <w:vAlign w:val="center"/>
                </w:tcPr>
                <w:p w14:paraId="6E6F056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lang w:eastAsia="zh-CN"/>
                    </w:rPr>
                    <w:t>MultiSelectDR</w:t>
                  </w:r>
                </w:p>
              </w:tc>
              <w:tc>
                <w:tcPr>
                  <w:tcW w:w="219" w:type="pct"/>
                  <w:vMerge w:val="continue"/>
                  <w:tcBorders>
                    <w:tl2br w:val="nil"/>
                    <w:tr2bl w:val="nil"/>
                  </w:tcBorders>
                  <w:noWrap w:val="0"/>
                  <w:vAlign w:val="center"/>
                </w:tcPr>
                <w:p w14:paraId="79C3F05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598D0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02DE35AA">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6D1FEAC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医学影像科5号机房</w:t>
                  </w:r>
                </w:p>
              </w:tc>
              <w:tc>
                <w:tcPr>
                  <w:tcW w:w="1044" w:type="pct"/>
                  <w:tcBorders>
                    <w:tl2br w:val="nil"/>
                    <w:tr2bl w:val="nil"/>
                  </w:tcBorders>
                  <w:noWrap w:val="0"/>
                  <w:vAlign w:val="center"/>
                </w:tcPr>
                <w:p w14:paraId="39ACEA4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10462F2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35E1B6F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7991810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w:t>
                  </w:r>
                </w:p>
              </w:tc>
              <w:tc>
                <w:tcPr>
                  <w:tcW w:w="1119" w:type="pct"/>
                  <w:tcBorders>
                    <w:tl2br w:val="nil"/>
                    <w:tr2bl w:val="nil"/>
                  </w:tcBorders>
                  <w:noWrap w:val="0"/>
                  <w:vAlign w:val="center"/>
                </w:tcPr>
                <w:p w14:paraId="24D4D34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数字化乳腺X射线诊断系统</w:t>
                  </w:r>
                </w:p>
              </w:tc>
              <w:tc>
                <w:tcPr>
                  <w:tcW w:w="706" w:type="pct"/>
                  <w:tcBorders>
                    <w:tl2br w:val="nil"/>
                    <w:tr2bl w:val="nil"/>
                  </w:tcBorders>
                  <w:noWrap w:val="0"/>
                  <w:vAlign w:val="center"/>
                </w:tcPr>
                <w:p w14:paraId="058B821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FDR</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MS-3500</w:t>
                  </w:r>
                </w:p>
              </w:tc>
              <w:tc>
                <w:tcPr>
                  <w:tcW w:w="219" w:type="pct"/>
                  <w:vMerge w:val="continue"/>
                  <w:tcBorders>
                    <w:tl2br w:val="nil"/>
                    <w:tr2bl w:val="nil"/>
                  </w:tcBorders>
                  <w:noWrap w:val="0"/>
                  <w:vAlign w:val="center"/>
                </w:tcPr>
                <w:p w14:paraId="49AD219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0634B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20BE653">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195C42D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医学影像科CT室1号</w:t>
                  </w:r>
                </w:p>
              </w:tc>
              <w:tc>
                <w:tcPr>
                  <w:tcW w:w="1044" w:type="pct"/>
                  <w:tcBorders>
                    <w:tl2br w:val="nil"/>
                    <w:tr2bl w:val="nil"/>
                  </w:tcBorders>
                  <w:noWrap w:val="0"/>
                  <w:vAlign w:val="center"/>
                </w:tcPr>
                <w:p w14:paraId="02CBAD2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医用X射线计算机断层扫描</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CT</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装置</w:t>
                  </w:r>
                </w:p>
              </w:tc>
              <w:tc>
                <w:tcPr>
                  <w:tcW w:w="322" w:type="pct"/>
                  <w:tcBorders>
                    <w:tl2br w:val="nil"/>
                    <w:tr2bl w:val="nil"/>
                  </w:tcBorders>
                  <w:noWrap w:val="0"/>
                  <w:vAlign w:val="center"/>
                </w:tcPr>
                <w:p w14:paraId="592D8EFD">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394699F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2E8A4B66">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1</w:t>
                  </w:r>
                </w:p>
              </w:tc>
              <w:tc>
                <w:tcPr>
                  <w:tcW w:w="1119" w:type="pct"/>
                  <w:tcBorders>
                    <w:tl2br w:val="nil"/>
                    <w:tr2bl w:val="nil"/>
                  </w:tcBorders>
                  <w:noWrap w:val="0"/>
                  <w:vAlign w:val="center"/>
                </w:tcPr>
                <w:p w14:paraId="099678E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X射线计算机体层摄影设备</w:t>
                  </w:r>
                </w:p>
              </w:tc>
              <w:tc>
                <w:tcPr>
                  <w:tcW w:w="706" w:type="pct"/>
                  <w:tcBorders>
                    <w:tl2br w:val="nil"/>
                    <w:tr2bl w:val="nil"/>
                  </w:tcBorders>
                  <w:noWrap w:val="0"/>
                  <w:vAlign w:val="center"/>
                </w:tcPr>
                <w:p w14:paraId="514E95D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SOMATOMDrive</w:t>
                  </w:r>
                </w:p>
              </w:tc>
              <w:tc>
                <w:tcPr>
                  <w:tcW w:w="219" w:type="pct"/>
                  <w:vMerge w:val="continue"/>
                  <w:tcBorders>
                    <w:tl2br w:val="nil"/>
                    <w:tr2bl w:val="nil"/>
                  </w:tcBorders>
                  <w:noWrap w:val="0"/>
                  <w:vAlign w:val="center"/>
                </w:tcPr>
                <w:p w14:paraId="21805AB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74A40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B74538F">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307306F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医学影像科CT室2号</w:t>
                  </w:r>
                </w:p>
              </w:tc>
              <w:tc>
                <w:tcPr>
                  <w:tcW w:w="1044" w:type="pct"/>
                  <w:tcBorders>
                    <w:tl2br w:val="nil"/>
                    <w:tr2bl w:val="nil"/>
                  </w:tcBorders>
                  <w:noWrap w:val="0"/>
                  <w:vAlign w:val="center"/>
                </w:tcPr>
                <w:p w14:paraId="1CD8D5C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医用X射线计算机断层扫描</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CT</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装置</w:t>
                  </w:r>
                </w:p>
              </w:tc>
              <w:tc>
                <w:tcPr>
                  <w:tcW w:w="322" w:type="pct"/>
                  <w:tcBorders>
                    <w:tl2br w:val="nil"/>
                    <w:tr2bl w:val="nil"/>
                  </w:tcBorders>
                  <w:noWrap w:val="0"/>
                  <w:vAlign w:val="center"/>
                </w:tcPr>
                <w:p w14:paraId="335D47EA">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Ⅲ</w:t>
                  </w:r>
                  <w:r>
                    <w:rPr>
                      <w:rFonts w:hint="default" w:ascii="Times New Roman" w:hAnsi="Times New Roman" w:eastAsia="宋体" w:cs="Times New Roman"/>
                      <w:color w:val="auto"/>
                    </w:rPr>
                    <w:t>类</w:t>
                  </w:r>
                </w:p>
              </w:tc>
              <w:tc>
                <w:tcPr>
                  <w:tcW w:w="263" w:type="pct"/>
                  <w:tcBorders>
                    <w:tl2br w:val="nil"/>
                    <w:tr2bl w:val="nil"/>
                  </w:tcBorders>
                  <w:noWrap w:val="0"/>
                  <w:vAlign w:val="center"/>
                </w:tcPr>
                <w:p w14:paraId="0538E1D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17A2F62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1</w:t>
                  </w:r>
                </w:p>
              </w:tc>
              <w:tc>
                <w:tcPr>
                  <w:tcW w:w="1119" w:type="pct"/>
                  <w:tcBorders>
                    <w:tl2br w:val="nil"/>
                    <w:tr2bl w:val="nil"/>
                  </w:tcBorders>
                  <w:noWrap w:val="0"/>
                  <w:vAlign w:val="center"/>
                </w:tcPr>
                <w:p w14:paraId="1DCFF54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X射线计算机体层摄影设备</w:t>
                  </w:r>
                </w:p>
              </w:tc>
              <w:tc>
                <w:tcPr>
                  <w:tcW w:w="706" w:type="pct"/>
                  <w:tcBorders>
                    <w:tl2br w:val="nil"/>
                    <w:tr2bl w:val="nil"/>
                  </w:tcBorders>
                  <w:noWrap w:val="0"/>
                  <w:vAlign w:val="center"/>
                </w:tcPr>
                <w:p w14:paraId="6503E714">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Optima</w:t>
                  </w:r>
                  <w:r>
                    <w:rPr>
                      <w:rFonts w:hint="default"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CT660</w:t>
                  </w:r>
                </w:p>
              </w:tc>
              <w:tc>
                <w:tcPr>
                  <w:tcW w:w="219" w:type="pct"/>
                  <w:vMerge w:val="continue"/>
                  <w:tcBorders>
                    <w:tl2br w:val="nil"/>
                    <w:tr2bl w:val="nil"/>
                  </w:tcBorders>
                  <w:noWrap w:val="0"/>
                  <w:vAlign w:val="center"/>
                </w:tcPr>
                <w:p w14:paraId="698DC75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39910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36E0322">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17EC89A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医学影像科设备间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移动DR1</w:t>
                  </w:r>
                  <w:r>
                    <w:rPr>
                      <w:rFonts w:hint="default" w:ascii="Times New Roman" w:hAnsi="Times New Roman" w:eastAsia="宋体" w:cs="Times New Roman"/>
                      <w:color w:val="auto"/>
                      <w:lang w:eastAsia="zh-CN"/>
                    </w:rPr>
                    <w:t>）</w:t>
                  </w:r>
                </w:p>
              </w:tc>
              <w:tc>
                <w:tcPr>
                  <w:tcW w:w="1044" w:type="pct"/>
                  <w:tcBorders>
                    <w:tl2br w:val="nil"/>
                    <w:tr2bl w:val="nil"/>
                  </w:tcBorders>
                  <w:noWrap w:val="0"/>
                  <w:vAlign w:val="center"/>
                </w:tcPr>
                <w:p w14:paraId="413DF93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6AD8DA8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2A8419F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2F0BEB7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1</w:t>
                  </w:r>
                </w:p>
              </w:tc>
              <w:tc>
                <w:tcPr>
                  <w:tcW w:w="1119" w:type="pct"/>
                  <w:tcBorders>
                    <w:tl2br w:val="nil"/>
                    <w:tr2bl w:val="nil"/>
                  </w:tcBorders>
                  <w:noWrap w:val="0"/>
                  <w:vAlign w:val="center"/>
                </w:tcPr>
                <w:p w14:paraId="1AA3064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移动式X射线机</w:t>
                  </w:r>
                </w:p>
              </w:tc>
              <w:tc>
                <w:tcPr>
                  <w:tcW w:w="706" w:type="pct"/>
                  <w:tcBorders>
                    <w:tl2br w:val="nil"/>
                    <w:tr2bl w:val="nil"/>
                  </w:tcBorders>
                  <w:noWrap w:val="0"/>
                  <w:vAlign w:val="center"/>
                </w:tcPr>
                <w:p w14:paraId="6EE234C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MobiEye700T</w:t>
                  </w:r>
                </w:p>
              </w:tc>
              <w:tc>
                <w:tcPr>
                  <w:tcW w:w="219" w:type="pct"/>
                  <w:vMerge w:val="continue"/>
                  <w:tcBorders>
                    <w:tl2br w:val="nil"/>
                    <w:tr2bl w:val="nil"/>
                  </w:tcBorders>
                  <w:noWrap w:val="0"/>
                  <w:vAlign w:val="center"/>
                </w:tcPr>
                <w:p w14:paraId="36A0501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3260D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17D21062">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5136BE0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医学影像科设备间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移动DR2</w:t>
                  </w:r>
                  <w:r>
                    <w:rPr>
                      <w:rFonts w:hint="default" w:ascii="Times New Roman" w:hAnsi="Times New Roman" w:eastAsia="宋体" w:cs="Times New Roman"/>
                      <w:color w:val="auto"/>
                      <w:lang w:eastAsia="zh-CN"/>
                    </w:rPr>
                    <w:t>）</w:t>
                  </w:r>
                </w:p>
              </w:tc>
              <w:tc>
                <w:tcPr>
                  <w:tcW w:w="1044" w:type="pct"/>
                  <w:tcBorders>
                    <w:tl2br w:val="nil"/>
                    <w:tr2bl w:val="nil"/>
                  </w:tcBorders>
                  <w:noWrap w:val="0"/>
                  <w:vAlign w:val="center"/>
                </w:tcPr>
                <w:p w14:paraId="2BF265FE">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医用诊断X射线装置</w:t>
                  </w:r>
                </w:p>
              </w:tc>
              <w:tc>
                <w:tcPr>
                  <w:tcW w:w="322" w:type="pct"/>
                  <w:tcBorders>
                    <w:tl2br w:val="nil"/>
                    <w:tr2bl w:val="nil"/>
                  </w:tcBorders>
                  <w:noWrap w:val="0"/>
                  <w:vAlign w:val="center"/>
                </w:tcPr>
                <w:p w14:paraId="66D9FE51">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0A42FCA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6A56C5E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1</w:t>
                  </w:r>
                </w:p>
              </w:tc>
              <w:tc>
                <w:tcPr>
                  <w:tcW w:w="1119" w:type="pct"/>
                  <w:tcBorders>
                    <w:tl2br w:val="nil"/>
                    <w:tr2bl w:val="nil"/>
                  </w:tcBorders>
                  <w:noWrap w:val="0"/>
                  <w:vAlign w:val="center"/>
                </w:tcPr>
                <w:p w14:paraId="6394BA60">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数字化移动式摄影X射线机</w:t>
                  </w:r>
                </w:p>
              </w:tc>
              <w:tc>
                <w:tcPr>
                  <w:tcW w:w="706" w:type="pct"/>
                  <w:tcBorders>
                    <w:tl2br w:val="nil"/>
                    <w:tr2bl w:val="nil"/>
                  </w:tcBorders>
                  <w:noWrap w:val="0"/>
                  <w:vAlign w:val="center"/>
                </w:tcPr>
                <w:p w14:paraId="11FB53CF">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OptimaXR240amX</w:t>
                  </w:r>
                </w:p>
              </w:tc>
              <w:tc>
                <w:tcPr>
                  <w:tcW w:w="219" w:type="pct"/>
                  <w:vMerge w:val="continue"/>
                  <w:tcBorders>
                    <w:tl2br w:val="nil"/>
                    <w:tr2bl w:val="nil"/>
                  </w:tcBorders>
                  <w:noWrap w:val="0"/>
                  <w:vAlign w:val="center"/>
                </w:tcPr>
                <w:p w14:paraId="79F95CAB">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r w14:paraId="03714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34" w:type="pct"/>
                  <w:tcBorders>
                    <w:tl2br w:val="nil"/>
                    <w:tr2bl w:val="nil"/>
                  </w:tcBorders>
                  <w:noWrap w:val="0"/>
                  <w:vAlign w:val="center"/>
                </w:tcPr>
                <w:p w14:paraId="24973CCD">
                  <w:pPr>
                    <w:pStyle w:val="36"/>
                    <w:keepNext w:val="0"/>
                    <w:keepLines w:val="0"/>
                    <w:numPr>
                      <w:ilvl w:val="0"/>
                      <w:numId w:val="3"/>
                    </w:numPr>
                    <w:suppressLineNumbers w:val="0"/>
                    <w:bidi w:val="0"/>
                    <w:spacing w:before="0" w:beforeAutospacing="0" w:after="0" w:afterAutospacing="0"/>
                    <w:ind w:left="425" w:leftChars="0" w:right="0" w:hanging="425" w:firstLineChars="0"/>
                    <w:jc w:val="center"/>
                    <w:rPr>
                      <w:rFonts w:hint="default" w:ascii="Times New Roman" w:hAnsi="Times New Roman" w:eastAsia="宋体" w:cs="Times New Roman"/>
                      <w:color w:val="auto"/>
                      <w:lang w:val="en-US" w:eastAsia="zh-CN"/>
                    </w:rPr>
                  </w:pPr>
                </w:p>
              </w:tc>
              <w:tc>
                <w:tcPr>
                  <w:tcW w:w="707" w:type="pct"/>
                  <w:tcBorders>
                    <w:tl2br w:val="nil"/>
                    <w:tr2bl w:val="nil"/>
                  </w:tcBorders>
                  <w:noWrap w:val="0"/>
                  <w:vAlign w:val="center"/>
                </w:tcPr>
                <w:p w14:paraId="2941157C">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医学影像科移动车云D·A3802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车载CT</w:t>
                  </w:r>
                  <w:r>
                    <w:rPr>
                      <w:rFonts w:hint="default" w:ascii="Times New Roman" w:hAnsi="Times New Roman" w:eastAsia="宋体" w:cs="Times New Roman"/>
                      <w:color w:val="auto"/>
                      <w:lang w:eastAsia="zh-CN"/>
                    </w:rPr>
                    <w:t>）</w:t>
                  </w:r>
                </w:p>
              </w:tc>
              <w:tc>
                <w:tcPr>
                  <w:tcW w:w="1044" w:type="pct"/>
                  <w:tcBorders>
                    <w:tl2br w:val="nil"/>
                    <w:tr2bl w:val="nil"/>
                  </w:tcBorders>
                  <w:noWrap w:val="0"/>
                  <w:vAlign w:val="center"/>
                </w:tcPr>
                <w:p w14:paraId="7BA567A8">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医用X射线计算机断层扫描</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CT</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装置</w:t>
                  </w:r>
                </w:p>
              </w:tc>
              <w:tc>
                <w:tcPr>
                  <w:tcW w:w="322" w:type="pct"/>
                  <w:tcBorders>
                    <w:tl2br w:val="nil"/>
                    <w:tr2bl w:val="nil"/>
                  </w:tcBorders>
                  <w:noWrap w:val="0"/>
                  <w:vAlign w:val="center"/>
                </w:tcPr>
                <w:p w14:paraId="225F8FF9">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Ⅲ类</w:t>
                  </w:r>
                </w:p>
              </w:tc>
              <w:tc>
                <w:tcPr>
                  <w:tcW w:w="263" w:type="pct"/>
                  <w:tcBorders>
                    <w:tl2br w:val="nil"/>
                    <w:tr2bl w:val="nil"/>
                  </w:tcBorders>
                  <w:noWrap w:val="0"/>
                  <w:vAlign w:val="center"/>
                </w:tcPr>
                <w:p w14:paraId="018C5EA3">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使用</w:t>
                  </w:r>
                </w:p>
              </w:tc>
              <w:tc>
                <w:tcPr>
                  <w:tcW w:w="382" w:type="pct"/>
                  <w:tcBorders>
                    <w:tl2br w:val="nil"/>
                    <w:tr2bl w:val="nil"/>
                  </w:tcBorders>
                  <w:noWrap w:val="0"/>
                  <w:vAlign w:val="center"/>
                </w:tcPr>
                <w:p w14:paraId="63231AA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1</w:t>
                  </w:r>
                </w:p>
              </w:tc>
              <w:tc>
                <w:tcPr>
                  <w:tcW w:w="1119" w:type="pct"/>
                  <w:tcBorders>
                    <w:tl2br w:val="nil"/>
                    <w:tr2bl w:val="nil"/>
                  </w:tcBorders>
                  <w:noWrap w:val="0"/>
                  <w:vAlign w:val="center"/>
                </w:tcPr>
                <w:p w14:paraId="460C2F72">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X射线计算机体层摄影设备</w:t>
                  </w:r>
                </w:p>
              </w:tc>
              <w:tc>
                <w:tcPr>
                  <w:tcW w:w="706" w:type="pct"/>
                  <w:tcBorders>
                    <w:tl2br w:val="nil"/>
                    <w:tr2bl w:val="nil"/>
                  </w:tcBorders>
                  <w:noWrap w:val="0"/>
                  <w:vAlign w:val="center"/>
                </w:tcPr>
                <w:p w14:paraId="4519D425">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lang w:val="en-US" w:eastAsia="en-US"/>
                    </w:rPr>
                  </w:pPr>
                  <w:r>
                    <w:rPr>
                      <w:rFonts w:hint="default" w:ascii="Times New Roman" w:hAnsi="Times New Roman" w:eastAsia="宋体" w:cs="Times New Roman"/>
                      <w:color w:val="auto"/>
                    </w:rPr>
                    <w:t>NeuVizExtra</w:t>
                  </w:r>
                </w:p>
              </w:tc>
              <w:tc>
                <w:tcPr>
                  <w:tcW w:w="219" w:type="pct"/>
                  <w:vMerge w:val="continue"/>
                  <w:tcBorders>
                    <w:tl2br w:val="nil"/>
                    <w:tr2bl w:val="nil"/>
                  </w:tcBorders>
                  <w:noWrap w:val="0"/>
                  <w:vAlign w:val="center"/>
                </w:tcPr>
                <w:p w14:paraId="61436FA7">
                  <w:pPr>
                    <w:pStyle w:val="36"/>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rPr>
                  </w:pPr>
                </w:p>
              </w:tc>
            </w:tr>
          </w:tbl>
          <w:p w14:paraId="2B05B6A0">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szCs w:val="28"/>
              </w:rPr>
            </w:pPr>
            <w:r>
              <w:rPr>
                <w:rFonts w:hint="default" w:ascii="Times New Roman" w:hAnsi="Times New Roman" w:eastAsia="宋体" w:cs="Times New Roman"/>
                <w:color w:val="auto"/>
                <w:spacing w:val="0"/>
                <w:position w:val="0"/>
                <w:szCs w:val="28"/>
              </w:rPr>
              <w:t>目前医院现有的辐射设备装置与本项目的辐射安全许可证上所允许的类型、数量、放置位置一致</w:t>
            </w:r>
            <w:r>
              <w:rPr>
                <w:rFonts w:hint="default" w:ascii="Times New Roman" w:hAnsi="Times New Roman" w:eastAsia="宋体" w:cs="Times New Roman"/>
                <w:color w:val="auto"/>
                <w:spacing w:val="0"/>
                <w:position w:val="0"/>
                <w:szCs w:val="28"/>
                <w:lang w:eastAsia="zh-CN"/>
              </w:rPr>
              <w:t>，</w:t>
            </w:r>
            <w:r>
              <w:rPr>
                <w:rFonts w:hint="default" w:ascii="Times New Roman" w:hAnsi="Times New Roman" w:eastAsia="宋体" w:cs="Times New Roman"/>
                <w:color w:val="auto"/>
                <w:spacing w:val="0"/>
                <w:position w:val="0"/>
                <w:szCs w:val="28"/>
              </w:rPr>
              <w:t>辐射安全许可证所规定的活动种类未发生改变。现有射线装置与台账明细一致。</w:t>
            </w:r>
          </w:p>
          <w:p w14:paraId="03254422">
            <w:pPr>
              <w:keepNext w:val="0"/>
              <w:keepLines w:val="0"/>
              <w:suppressLineNumbers w:val="0"/>
              <w:adjustRightInd w:val="0"/>
              <w:snapToGrid w:val="0"/>
              <w:spacing w:before="0" w:beforeAutospacing="0" w:after="0" w:afterAutospacing="0"/>
              <w:ind w:left="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lang w:eastAsia="zh-CN"/>
              </w:rPr>
              <w:t>2.</w:t>
            </w:r>
            <w:r>
              <w:rPr>
                <w:rFonts w:hint="default" w:ascii="Times New Roman" w:hAnsi="Times New Roman" w:eastAsia="宋体" w:cs="Times New Roman"/>
                <w:b/>
                <w:color w:val="auto"/>
                <w:spacing w:val="0"/>
                <w:position w:val="0"/>
              </w:rPr>
              <w:t>医院原有辐射安全管理情况</w:t>
            </w:r>
          </w:p>
          <w:p w14:paraId="3C016B84">
            <w:pPr>
              <w:keepNext w:val="0"/>
              <w:keepLines w:val="0"/>
              <w:suppressLineNumbers w:val="0"/>
              <w:tabs>
                <w:tab w:val="left" w:pos="1017"/>
              </w:tabs>
              <w:adjustRightInd w:val="0"/>
              <w:snapToGrid w:val="0"/>
              <w:spacing w:before="0" w:beforeAutospacing="0" w:after="0" w:afterAutospacing="0"/>
              <w:ind w:left="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（1）辐射安全与环境保护管理机构</w:t>
            </w:r>
          </w:p>
          <w:p w14:paraId="7B965C47">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szCs w:val="28"/>
              </w:rPr>
            </w:pP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于</w:t>
            </w:r>
            <w:r>
              <w:rPr>
                <w:rFonts w:hint="default" w:ascii="Times New Roman" w:hAnsi="Times New Roman" w:eastAsia="宋体" w:cs="Times New Roman"/>
                <w:color w:val="auto"/>
                <w:spacing w:val="0"/>
                <w:position w:val="0"/>
                <w:lang w:val="en-US" w:eastAsia="zh-CN"/>
              </w:rPr>
              <w:t>2022</w:t>
            </w:r>
            <w:r>
              <w:rPr>
                <w:rFonts w:hint="default" w:ascii="Times New Roman" w:hAnsi="Times New Roman" w:eastAsia="宋体" w:cs="Times New Roman"/>
                <w:color w:val="auto"/>
                <w:spacing w:val="0"/>
                <w:position w:val="0"/>
              </w:rPr>
              <w:t>年</w:t>
            </w:r>
            <w:r>
              <w:rPr>
                <w:rFonts w:hint="default" w:ascii="Times New Roman" w:hAnsi="Times New Roman" w:eastAsia="宋体" w:cs="Times New Roman"/>
                <w:color w:val="auto"/>
                <w:spacing w:val="0"/>
                <w:position w:val="0"/>
                <w:lang w:val="en-US" w:eastAsia="zh-CN"/>
              </w:rPr>
              <w:t>3</w:t>
            </w:r>
            <w:r>
              <w:rPr>
                <w:rFonts w:hint="default" w:ascii="Times New Roman" w:hAnsi="Times New Roman" w:eastAsia="宋体" w:cs="Times New Roman"/>
                <w:color w:val="auto"/>
                <w:spacing w:val="0"/>
                <w:position w:val="0"/>
              </w:rPr>
              <w:t>月</w:t>
            </w:r>
            <w:r>
              <w:rPr>
                <w:rFonts w:hint="default" w:ascii="Times New Roman" w:hAnsi="Times New Roman" w:eastAsia="宋体" w:cs="Times New Roman"/>
                <w:color w:val="auto"/>
                <w:spacing w:val="0"/>
                <w:position w:val="0"/>
                <w:lang w:val="en-US" w:eastAsia="zh-CN"/>
              </w:rPr>
              <w:t>1</w:t>
            </w:r>
            <w:r>
              <w:rPr>
                <w:rFonts w:hint="default" w:ascii="Times New Roman" w:hAnsi="Times New Roman" w:eastAsia="宋体" w:cs="Times New Roman"/>
                <w:color w:val="auto"/>
                <w:spacing w:val="0"/>
                <w:position w:val="0"/>
              </w:rPr>
              <w:t>日</w:t>
            </w:r>
            <w:r>
              <w:rPr>
                <w:rFonts w:hint="default" w:ascii="Times New Roman" w:hAnsi="Times New Roman" w:eastAsia="宋体" w:cs="Times New Roman"/>
                <w:color w:val="auto"/>
                <w:spacing w:val="0"/>
                <w:position w:val="0"/>
                <w:lang w:val="en-US" w:eastAsia="zh-CN"/>
              </w:rPr>
              <w:t>发布</w:t>
            </w:r>
            <w:r>
              <w:rPr>
                <w:rFonts w:hint="default" w:ascii="Times New Roman" w:hAnsi="Times New Roman" w:eastAsia="宋体" w:cs="Times New Roman"/>
                <w:color w:val="auto"/>
                <w:spacing w:val="0"/>
                <w:position w:val="0"/>
              </w:rPr>
              <w:t>了</w:t>
            </w:r>
            <w:r>
              <w:rPr>
                <w:rFonts w:hint="default" w:ascii="Times New Roman" w:hAnsi="Times New Roman" w:eastAsia="宋体" w:cs="Times New Roman"/>
                <w:color w:val="auto"/>
                <w:spacing w:val="0"/>
                <w:position w:val="0"/>
                <w:lang w:eastAsia="zh-CN"/>
              </w:rPr>
              <w:t>《曲靖市第二人民医院关于调整医院辐射安全管理委员会的通知》</w:t>
            </w:r>
            <w:r>
              <w:rPr>
                <w:rFonts w:hint="default" w:ascii="Times New Roman" w:hAnsi="Times New Roman" w:eastAsia="宋体" w:cs="Times New Roman"/>
                <w:color w:val="auto"/>
                <w:spacing w:val="0"/>
                <w:position w:val="0"/>
              </w:rPr>
              <w:t>，并明确了</w:t>
            </w:r>
            <w:r>
              <w:rPr>
                <w:rFonts w:hint="default" w:ascii="Times New Roman" w:hAnsi="Times New Roman" w:eastAsia="宋体" w:cs="Times New Roman"/>
                <w:color w:val="auto"/>
                <w:spacing w:val="0"/>
                <w:position w:val="0"/>
                <w:lang w:val="en-US" w:eastAsia="zh-CN"/>
              </w:rPr>
              <w:t>委员会</w:t>
            </w:r>
            <w:r>
              <w:rPr>
                <w:rFonts w:hint="default" w:ascii="Times New Roman" w:hAnsi="Times New Roman" w:eastAsia="宋体" w:cs="Times New Roman"/>
                <w:color w:val="auto"/>
                <w:spacing w:val="0"/>
                <w:position w:val="0"/>
              </w:rPr>
              <w:t>的成员</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职责</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工作制度</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highlight w:val="none"/>
              </w:rPr>
              <w:t>见附件。</w:t>
            </w:r>
          </w:p>
          <w:p w14:paraId="283C3977">
            <w:pPr>
              <w:keepNext w:val="0"/>
              <w:keepLines w:val="0"/>
              <w:suppressLineNumbers w:val="0"/>
              <w:tabs>
                <w:tab w:val="left" w:pos="1017"/>
              </w:tabs>
              <w:adjustRightInd w:val="0"/>
              <w:snapToGrid w:val="0"/>
              <w:spacing w:before="0" w:beforeAutospacing="0" w:after="0" w:afterAutospacing="0"/>
              <w:ind w:left="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（2）辐射安全管理规章制度</w:t>
            </w:r>
          </w:p>
          <w:p w14:paraId="66E82D69">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szCs w:val="28"/>
              </w:rPr>
              <w:t>医院</w:t>
            </w:r>
            <w:r>
              <w:rPr>
                <w:rFonts w:hint="default" w:ascii="Times New Roman" w:hAnsi="Times New Roman" w:eastAsia="宋体" w:cs="Times New Roman"/>
                <w:color w:val="auto"/>
                <w:spacing w:val="0"/>
                <w:position w:val="0"/>
              </w:rPr>
              <w:t>已根据《放射性同位素与射线装置安全许可管理办法</w:t>
            </w:r>
            <w:r>
              <w:rPr>
                <w:rFonts w:hint="default" w:ascii="Times New Roman" w:hAnsi="Times New Roman" w:eastAsia="宋体" w:cs="Times New Roman"/>
                <w:color w:val="auto"/>
                <w:spacing w:val="0"/>
                <w:position w:val="0"/>
                <w:lang w:eastAsia="zh-CN"/>
              </w:rPr>
              <w:t>》等</w:t>
            </w:r>
            <w:r>
              <w:rPr>
                <w:rFonts w:hint="default" w:ascii="Times New Roman" w:hAnsi="Times New Roman" w:eastAsia="宋体" w:cs="Times New Roman"/>
                <w:color w:val="auto"/>
                <w:spacing w:val="0"/>
                <w:position w:val="0"/>
              </w:rPr>
              <w:t>规定制定了相关的管理制度，包括：</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辐射工作人员岗位职责》《</w:t>
            </w:r>
            <w:r>
              <w:rPr>
                <w:rFonts w:hint="default" w:ascii="Times New Roman" w:hAnsi="Times New Roman" w:eastAsia="宋体" w:cs="Times New Roman"/>
                <w:color w:val="auto"/>
                <w:spacing w:val="0"/>
                <w:position w:val="0"/>
                <w:lang w:eastAsia="zh-CN"/>
              </w:rPr>
              <w:t>辐射防护与安全保卫制度》《</w:t>
            </w:r>
            <w:r>
              <w:rPr>
                <w:rFonts w:hint="default" w:ascii="Times New Roman" w:hAnsi="Times New Roman" w:eastAsia="宋体" w:cs="Times New Roman"/>
                <w:color w:val="auto"/>
                <w:spacing w:val="0"/>
                <w:position w:val="0"/>
                <w:lang w:val="en-US" w:eastAsia="zh-CN"/>
              </w:rPr>
              <w:t>辐射装置检修维护制度》《</w:t>
            </w:r>
            <w:r>
              <w:rPr>
                <w:rFonts w:hint="default" w:ascii="Times New Roman" w:hAnsi="Times New Roman" w:eastAsia="宋体" w:cs="Times New Roman"/>
                <w:color w:val="auto"/>
                <w:spacing w:val="0"/>
                <w:position w:val="0"/>
                <w:lang w:eastAsia="zh-CN"/>
              </w:rPr>
              <w:t>辐射工作人员培训制度》《辐射工作场所监测制度、方案》《辐射工作人员健康及个人剂量管理制度》《质量保证大纲和质量控制计划》《DSA射线装置操作规程》《</w:t>
            </w:r>
            <w:r>
              <w:rPr>
                <w:rFonts w:hint="default" w:ascii="Times New Roman" w:hAnsi="Times New Roman" w:eastAsia="宋体" w:cs="Times New Roman"/>
                <w:color w:val="auto"/>
                <w:spacing w:val="0"/>
                <w:position w:val="0"/>
                <w:lang w:val="en-US" w:eastAsia="zh-CN"/>
              </w:rPr>
              <w:t>射线装置管理制度》《</w:t>
            </w:r>
            <w:r>
              <w:rPr>
                <w:rFonts w:hint="default" w:ascii="Times New Roman" w:hAnsi="Times New Roman" w:eastAsia="宋体" w:cs="Times New Roman"/>
                <w:color w:val="auto"/>
                <w:spacing w:val="0"/>
                <w:position w:val="0"/>
                <w:lang w:eastAsia="zh-CN"/>
              </w:rPr>
              <w:t>受检者防护管理制度》《辐射事故应急预案》</w:t>
            </w:r>
            <w:r>
              <w:rPr>
                <w:rFonts w:hint="default" w:ascii="Times New Roman" w:hAnsi="Times New Roman" w:eastAsia="宋体" w:cs="Times New Roman"/>
                <w:color w:val="auto"/>
                <w:spacing w:val="0"/>
                <w:position w:val="0"/>
              </w:rPr>
              <w:t>。医院制定的辐射安全管理规章制度较完备且具有一定的可行性，医院能够按照规章制度对医院的辐射工作进行管理，辐射工作人员也能够严格按照各项规章制度开展放射诊疗工作。</w:t>
            </w:r>
            <w:r>
              <w:rPr>
                <w:rFonts w:hint="default" w:ascii="Times New Roman" w:hAnsi="Times New Roman" w:eastAsia="宋体" w:cs="Times New Roman"/>
                <w:color w:val="auto"/>
                <w:spacing w:val="0"/>
                <w:position w:val="0"/>
                <w:lang w:val="en-US" w:eastAsia="zh-CN"/>
              </w:rPr>
              <w:t>相关操作制度均已上墙，本项目建设完成后也将按照规范将相关操作制度上墙。相关制度见附件。</w:t>
            </w:r>
          </w:p>
          <w:p w14:paraId="3F77E85E">
            <w:pPr>
              <w:keepNext w:val="0"/>
              <w:keepLines w:val="0"/>
              <w:suppressLineNumbers w:val="0"/>
              <w:tabs>
                <w:tab w:val="left" w:pos="1017"/>
              </w:tabs>
              <w:adjustRightInd w:val="0"/>
              <w:snapToGrid w:val="0"/>
              <w:spacing w:before="0" w:beforeAutospacing="0" w:after="0" w:afterAutospacing="0"/>
              <w:ind w:left="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（3）现有设备辐射环境情况</w:t>
            </w:r>
          </w:p>
          <w:p w14:paraId="1C48B3BE">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医院</w:t>
            </w:r>
            <w:r>
              <w:rPr>
                <w:rFonts w:hint="default" w:ascii="Times New Roman" w:hAnsi="Times New Roman" w:eastAsia="宋体" w:cs="Times New Roman"/>
                <w:color w:val="auto"/>
                <w:spacing w:val="0"/>
                <w:position w:val="0"/>
                <w:lang w:val="en-US" w:eastAsia="zh-CN"/>
              </w:rPr>
              <w:t>每年均</w:t>
            </w:r>
            <w:r>
              <w:rPr>
                <w:rFonts w:hint="default" w:ascii="Times New Roman" w:hAnsi="Times New Roman" w:eastAsia="宋体" w:cs="Times New Roman"/>
                <w:color w:val="auto"/>
                <w:spacing w:val="0"/>
                <w:position w:val="0"/>
              </w:rPr>
              <w:t>定期开展</w:t>
            </w:r>
            <w:r>
              <w:rPr>
                <w:rFonts w:hint="default" w:ascii="Times New Roman" w:hAnsi="Times New Roman" w:eastAsia="宋体" w:cs="Times New Roman"/>
                <w:color w:val="auto"/>
                <w:spacing w:val="0"/>
                <w:position w:val="0"/>
                <w:lang w:val="en-US" w:eastAsia="zh-CN"/>
              </w:rPr>
              <w:t>辐射环境</w:t>
            </w:r>
            <w:r>
              <w:rPr>
                <w:rFonts w:hint="default" w:ascii="Times New Roman" w:hAnsi="Times New Roman" w:eastAsia="宋体" w:cs="Times New Roman"/>
                <w:color w:val="auto"/>
                <w:spacing w:val="0"/>
                <w:position w:val="0"/>
              </w:rPr>
              <w:t>监测，</w:t>
            </w:r>
            <w:r>
              <w:rPr>
                <w:rFonts w:hint="default" w:ascii="Times New Roman" w:hAnsi="Times New Roman" w:eastAsia="宋体" w:cs="Times New Roman"/>
                <w:color w:val="auto"/>
                <w:spacing w:val="0"/>
                <w:position w:val="0"/>
                <w:lang w:val="en-US" w:eastAsia="zh-CN"/>
              </w:rPr>
              <w:t>2025年医院委托</w:t>
            </w:r>
            <w:r>
              <w:rPr>
                <w:rFonts w:hint="eastAsia" w:cs="Times New Roman"/>
                <w:color w:val="auto"/>
                <w:spacing w:val="0"/>
                <w:position w:val="0"/>
                <w:lang w:val="en-US" w:eastAsia="zh-CN"/>
              </w:rPr>
              <w:t>资质单位</w:t>
            </w:r>
            <w:r>
              <w:rPr>
                <w:rFonts w:hint="default" w:ascii="Times New Roman" w:hAnsi="Times New Roman" w:eastAsia="宋体" w:cs="Times New Roman"/>
                <w:color w:val="auto"/>
                <w:spacing w:val="0"/>
                <w:position w:val="0"/>
                <w:lang w:val="en-US" w:eastAsia="zh-CN"/>
              </w:rPr>
              <w:t>对医院射线装置进行了辐射环境监测，医院2026年新增加了3台Ⅲ类射线装置，分别为口腔CBCT室的mDX-15Pro-Y30型口腔颌面锥形束计算机体层摄影设备，口腔科1号机房的RAY98(W）型牙科X射线机，医学影像科1号机房的PLD9600.F型数字化透视摄影X射线机，</w:t>
            </w:r>
            <w:r>
              <w:rPr>
                <w:rFonts w:hint="eastAsia" w:cs="Times New Roman"/>
                <w:color w:val="auto"/>
                <w:spacing w:val="0"/>
                <w:position w:val="0"/>
                <w:lang w:val="en-US" w:eastAsia="zh-CN"/>
              </w:rPr>
              <w:t>均已进行了检测，</w:t>
            </w:r>
            <w:r>
              <w:rPr>
                <w:rFonts w:hint="default" w:ascii="Times New Roman" w:hAnsi="Times New Roman" w:eastAsia="宋体" w:cs="Times New Roman"/>
                <w:color w:val="auto"/>
                <w:spacing w:val="0"/>
                <w:position w:val="0"/>
                <w:lang w:val="en-US" w:eastAsia="zh-CN"/>
              </w:rPr>
              <w:t>数据统计如下：</w:t>
            </w:r>
          </w:p>
          <w:p w14:paraId="13BFE2E1">
            <w:pPr>
              <w:keepNext w:val="0"/>
              <w:keepLines w:val="0"/>
              <w:pageBreakBefore w:val="0"/>
              <w:widowControl w:val="0"/>
              <w:suppressLineNumbers w:val="0"/>
              <w:tabs>
                <w:tab w:val="left" w:pos="1017"/>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表1-11 医院射线机辐射环境监测情况</w:t>
            </w:r>
          </w:p>
          <w:tbl>
            <w:tblPr>
              <w:tblStyle w:val="21"/>
              <w:tblW w:w="8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2064"/>
              <w:gridCol w:w="736"/>
              <w:gridCol w:w="2223"/>
              <w:gridCol w:w="1759"/>
              <w:gridCol w:w="1483"/>
            </w:tblGrid>
            <w:tr w14:paraId="373B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7763EBF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序号</w:t>
                  </w:r>
                </w:p>
              </w:tc>
              <w:tc>
                <w:tcPr>
                  <w:tcW w:w="2064" w:type="dxa"/>
                  <w:noWrap w:val="0"/>
                  <w:vAlign w:val="center"/>
                </w:tcPr>
                <w:p w14:paraId="17DB125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辐射活动场所名称</w:t>
                  </w:r>
                </w:p>
              </w:tc>
              <w:tc>
                <w:tcPr>
                  <w:tcW w:w="736" w:type="dxa"/>
                  <w:noWrap w:val="0"/>
                  <w:vAlign w:val="center"/>
                </w:tcPr>
                <w:p w14:paraId="296C3CC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类别</w:t>
                  </w:r>
                </w:p>
              </w:tc>
              <w:tc>
                <w:tcPr>
                  <w:tcW w:w="2223" w:type="dxa"/>
                  <w:noWrap w:val="0"/>
                  <w:vAlign w:val="center"/>
                </w:tcPr>
                <w:p w14:paraId="45157C1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设备类型</w:t>
                  </w:r>
                </w:p>
              </w:tc>
              <w:tc>
                <w:tcPr>
                  <w:tcW w:w="1759" w:type="dxa"/>
                  <w:noWrap w:val="0"/>
                  <w:vAlign w:val="center"/>
                </w:tcPr>
                <w:p w14:paraId="62EB31A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设备型号</w:t>
                  </w:r>
                </w:p>
              </w:tc>
              <w:tc>
                <w:tcPr>
                  <w:tcW w:w="1483" w:type="dxa"/>
                  <w:noWrap w:val="0"/>
                  <w:vAlign w:val="center"/>
                </w:tcPr>
                <w:p w14:paraId="4B27649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检测</w:t>
                  </w:r>
                  <w:r>
                    <w:rPr>
                      <w:rFonts w:hint="default" w:ascii="Times New Roman" w:hAnsi="Times New Roman" w:eastAsia="宋体" w:cs="Times New Roman"/>
                      <w:color w:val="auto"/>
                      <w:spacing w:val="0"/>
                      <w:position w:val="0"/>
                      <w:sz w:val="21"/>
                      <w:szCs w:val="21"/>
                      <w:lang w:val="en-US" w:eastAsia="zh-CN"/>
                    </w:rPr>
                    <w:t>剂量率平均值（μSv/h）</w:t>
                  </w:r>
                </w:p>
              </w:tc>
            </w:tr>
            <w:tr w14:paraId="378E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65B27B3C">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064" w:type="dxa"/>
                  <w:noWrap w:val="0"/>
                  <w:vAlign w:val="center"/>
                </w:tcPr>
                <w:p w14:paraId="5DAB6797">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分院医学影像科CT室</w:t>
                  </w:r>
                </w:p>
              </w:tc>
              <w:tc>
                <w:tcPr>
                  <w:tcW w:w="736" w:type="dxa"/>
                  <w:noWrap w:val="0"/>
                  <w:vAlign w:val="center"/>
                </w:tcPr>
                <w:p w14:paraId="02CCEFEB">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34467ADF">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X射线计算机体层摄影系统</w:t>
                  </w:r>
                </w:p>
              </w:tc>
              <w:tc>
                <w:tcPr>
                  <w:tcW w:w="1759" w:type="dxa"/>
                  <w:noWrap w:val="0"/>
                  <w:vAlign w:val="center"/>
                </w:tcPr>
                <w:p w14:paraId="08BB1D3F">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ANATOM64Clarity</w:t>
                  </w:r>
                </w:p>
              </w:tc>
              <w:tc>
                <w:tcPr>
                  <w:tcW w:w="1483" w:type="dxa"/>
                  <w:noWrap w:val="0"/>
                  <w:vAlign w:val="center"/>
                </w:tcPr>
                <w:p w14:paraId="5B4EE2A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0.105~0.4</w:t>
                  </w:r>
                </w:p>
              </w:tc>
            </w:tr>
            <w:tr w14:paraId="6C9D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2B5F7806">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33C90833">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分院医学影像科设备间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移动DR</w:t>
                  </w:r>
                  <w:r>
                    <w:rPr>
                      <w:rFonts w:hint="default" w:ascii="Times New Roman" w:hAnsi="Times New Roman" w:eastAsia="宋体" w:cs="Times New Roman"/>
                      <w:color w:val="auto"/>
                      <w:lang w:eastAsia="zh-CN"/>
                    </w:rPr>
                    <w:t>）</w:t>
                  </w:r>
                </w:p>
              </w:tc>
              <w:tc>
                <w:tcPr>
                  <w:tcW w:w="736" w:type="dxa"/>
                  <w:noWrap w:val="0"/>
                  <w:vAlign w:val="center"/>
                </w:tcPr>
                <w:p w14:paraId="635A8A0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Ⅲ类</w:t>
                  </w:r>
                </w:p>
              </w:tc>
              <w:tc>
                <w:tcPr>
                  <w:tcW w:w="2223" w:type="dxa"/>
                  <w:noWrap w:val="0"/>
                  <w:vAlign w:val="center"/>
                </w:tcPr>
                <w:p w14:paraId="62A5DC81">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数字化移动式摄影X射线机</w:t>
                  </w:r>
                </w:p>
              </w:tc>
              <w:tc>
                <w:tcPr>
                  <w:tcW w:w="1759" w:type="dxa"/>
                  <w:noWrap w:val="0"/>
                  <w:vAlign w:val="center"/>
                </w:tcPr>
                <w:p w14:paraId="67B02F74">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DRXR-1</w:t>
                  </w:r>
                </w:p>
              </w:tc>
              <w:tc>
                <w:tcPr>
                  <w:tcW w:w="1483" w:type="dxa"/>
                  <w:noWrap w:val="0"/>
                  <w:vAlign w:val="center"/>
                </w:tcPr>
                <w:p w14:paraId="103D424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0.107~0.15</w:t>
                  </w:r>
                </w:p>
              </w:tc>
            </w:tr>
            <w:tr w14:paraId="31BF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6A91B115">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1AC71D3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介入室1号</w:t>
                  </w:r>
                </w:p>
              </w:tc>
              <w:tc>
                <w:tcPr>
                  <w:tcW w:w="736" w:type="dxa"/>
                  <w:noWrap w:val="0"/>
                  <w:vAlign w:val="center"/>
                </w:tcPr>
                <w:p w14:paraId="248B87D3">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Ⅱ</w:t>
                  </w:r>
                  <w:r>
                    <w:rPr>
                      <w:rFonts w:hint="default" w:ascii="Times New Roman" w:hAnsi="Times New Roman" w:eastAsia="宋体" w:cs="Times New Roman"/>
                      <w:color w:val="auto"/>
                      <w:sz w:val="21"/>
                      <w:szCs w:val="21"/>
                    </w:rPr>
                    <w:t>类</w:t>
                  </w:r>
                </w:p>
              </w:tc>
              <w:tc>
                <w:tcPr>
                  <w:tcW w:w="2223" w:type="dxa"/>
                  <w:noWrap w:val="0"/>
                  <w:vAlign w:val="center"/>
                </w:tcPr>
                <w:p w14:paraId="1AFF800A">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数字减影血管造影机</w:t>
                  </w:r>
                </w:p>
              </w:tc>
              <w:tc>
                <w:tcPr>
                  <w:tcW w:w="1759" w:type="dxa"/>
                  <w:noWrap w:val="0"/>
                  <w:vAlign w:val="center"/>
                </w:tcPr>
                <w:p w14:paraId="2176BC7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Artis-zeeceiling</w:t>
                  </w:r>
                </w:p>
              </w:tc>
              <w:tc>
                <w:tcPr>
                  <w:tcW w:w="1483" w:type="dxa"/>
                  <w:noWrap w:val="0"/>
                  <w:vAlign w:val="center"/>
                </w:tcPr>
                <w:p w14:paraId="0D8A7FE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0.106~0.236</w:t>
                  </w:r>
                </w:p>
              </w:tc>
            </w:tr>
            <w:tr w14:paraId="4EF8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035DFD87">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449C7784">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介入室2号</w:t>
                  </w:r>
                </w:p>
              </w:tc>
              <w:tc>
                <w:tcPr>
                  <w:tcW w:w="736" w:type="dxa"/>
                  <w:noWrap w:val="0"/>
                  <w:vAlign w:val="center"/>
                </w:tcPr>
                <w:p w14:paraId="25B5A396">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Ⅱ</w:t>
                  </w:r>
                  <w:r>
                    <w:rPr>
                      <w:rFonts w:hint="default" w:ascii="Times New Roman" w:hAnsi="Times New Roman" w:eastAsia="宋体" w:cs="Times New Roman"/>
                      <w:color w:val="auto"/>
                      <w:sz w:val="21"/>
                      <w:szCs w:val="21"/>
                    </w:rPr>
                    <w:t>类</w:t>
                  </w:r>
                </w:p>
              </w:tc>
              <w:tc>
                <w:tcPr>
                  <w:tcW w:w="2223" w:type="dxa"/>
                  <w:noWrap w:val="0"/>
                  <w:vAlign w:val="center"/>
                </w:tcPr>
                <w:p w14:paraId="17DB227B">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医用血管造影X射线系统</w:t>
                  </w:r>
                </w:p>
              </w:tc>
              <w:tc>
                <w:tcPr>
                  <w:tcW w:w="1759" w:type="dxa"/>
                  <w:noWrap w:val="0"/>
                  <w:vAlign w:val="center"/>
                </w:tcPr>
                <w:p w14:paraId="4F1A4DC3">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Azurion7M20</w:t>
                  </w:r>
                </w:p>
              </w:tc>
              <w:tc>
                <w:tcPr>
                  <w:tcW w:w="1483" w:type="dxa"/>
                  <w:noWrap w:val="0"/>
                  <w:vAlign w:val="center"/>
                </w:tcPr>
                <w:p w14:paraId="28E3497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0.103~0.184</w:t>
                  </w:r>
                </w:p>
              </w:tc>
            </w:tr>
            <w:tr w14:paraId="3118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10BFF2AF">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4EA51FE6">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口腔CBCT室</w:t>
                  </w:r>
                </w:p>
              </w:tc>
              <w:tc>
                <w:tcPr>
                  <w:tcW w:w="736" w:type="dxa"/>
                  <w:noWrap w:val="0"/>
                  <w:vAlign w:val="center"/>
                </w:tcPr>
                <w:p w14:paraId="44067E70">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Ⅲ类</w:t>
                  </w:r>
                </w:p>
              </w:tc>
              <w:tc>
                <w:tcPr>
                  <w:tcW w:w="2223" w:type="dxa"/>
                  <w:noWrap w:val="0"/>
                  <w:vAlign w:val="center"/>
                </w:tcPr>
                <w:p w14:paraId="72E329C4">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口腔颌面锥形束计算机体层摄影设备</w:t>
                  </w:r>
                </w:p>
              </w:tc>
              <w:tc>
                <w:tcPr>
                  <w:tcW w:w="1759" w:type="dxa"/>
                  <w:noWrap w:val="0"/>
                  <w:vAlign w:val="center"/>
                </w:tcPr>
                <w:p w14:paraId="75FFF016">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mDX-15Pro-Y30</w:t>
                  </w:r>
                </w:p>
              </w:tc>
              <w:tc>
                <w:tcPr>
                  <w:tcW w:w="1483" w:type="dxa"/>
                  <w:noWrap w:val="0"/>
                  <w:vAlign w:val="center"/>
                </w:tcPr>
                <w:p w14:paraId="4A0E118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0.111~0.42</w:t>
                  </w:r>
                </w:p>
              </w:tc>
            </w:tr>
            <w:tr w14:paraId="2EC2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0022A002">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57AA328C">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rPr>
                    <w:t>口腔科1号机房</w:t>
                  </w:r>
                </w:p>
              </w:tc>
              <w:tc>
                <w:tcPr>
                  <w:tcW w:w="736" w:type="dxa"/>
                  <w:noWrap w:val="0"/>
                  <w:vAlign w:val="center"/>
                </w:tcPr>
                <w:p w14:paraId="35B1A2BC">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Ⅲ类</w:t>
                  </w:r>
                </w:p>
              </w:tc>
              <w:tc>
                <w:tcPr>
                  <w:tcW w:w="2223" w:type="dxa"/>
                  <w:noWrap w:val="0"/>
                  <w:vAlign w:val="center"/>
                </w:tcPr>
                <w:p w14:paraId="10283C69">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en-US" w:bidi="ar-SA"/>
                    </w:rPr>
                  </w:pPr>
                  <w:r>
                    <w:rPr>
                      <w:rFonts w:hint="default" w:ascii="Times New Roman" w:hAnsi="Times New Roman" w:eastAsia="宋体" w:cs="Times New Roman"/>
                      <w:color w:val="auto"/>
                      <w:highlight w:val="none"/>
                    </w:rPr>
                    <w:t>牙科X射线机</w:t>
                  </w:r>
                </w:p>
              </w:tc>
              <w:tc>
                <w:tcPr>
                  <w:tcW w:w="1759" w:type="dxa"/>
                  <w:noWrap w:val="0"/>
                  <w:vAlign w:val="center"/>
                </w:tcPr>
                <w:p w14:paraId="4000BCA8">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rPr>
                    <w:t>RAY98(W)</w:t>
                  </w:r>
                </w:p>
              </w:tc>
              <w:tc>
                <w:tcPr>
                  <w:tcW w:w="1483" w:type="dxa"/>
                  <w:noWrap w:val="0"/>
                  <w:vAlign w:val="center"/>
                </w:tcPr>
                <w:p w14:paraId="60EC96C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highlight w:val="yellow"/>
                      <w:lang w:val="en-US" w:eastAsia="zh-CN"/>
                    </w:rPr>
                  </w:pPr>
                  <w:r>
                    <w:rPr>
                      <w:rFonts w:hint="eastAsia" w:cs="Times New Roman"/>
                      <w:color w:val="auto"/>
                      <w:spacing w:val="0"/>
                      <w:position w:val="0"/>
                      <w:sz w:val="21"/>
                      <w:szCs w:val="21"/>
                      <w:highlight w:val="none"/>
                      <w:lang w:val="en-US" w:eastAsia="zh-CN"/>
                    </w:rPr>
                    <w:t>0.106~0.178</w:t>
                  </w:r>
                </w:p>
              </w:tc>
            </w:tr>
            <w:tr w14:paraId="327D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11F9F853">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6DA2B5F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口腔科3号机房</w:t>
                  </w:r>
                </w:p>
              </w:tc>
              <w:tc>
                <w:tcPr>
                  <w:tcW w:w="736" w:type="dxa"/>
                  <w:noWrap w:val="0"/>
                  <w:vAlign w:val="center"/>
                </w:tcPr>
                <w:p w14:paraId="37854618">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72480A66">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口腔颌面锥形束计算机体层摄影设备</w:t>
                  </w:r>
                </w:p>
              </w:tc>
              <w:tc>
                <w:tcPr>
                  <w:tcW w:w="1759" w:type="dxa"/>
                  <w:noWrap w:val="0"/>
                  <w:vAlign w:val="center"/>
                </w:tcPr>
                <w:p w14:paraId="133C4297">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RCT700-SC</w:t>
                  </w:r>
                </w:p>
              </w:tc>
              <w:tc>
                <w:tcPr>
                  <w:tcW w:w="1483" w:type="dxa"/>
                  <w:noWrap w:val="0"/>
                  <w:vAlign w:val="center"/>
                </w:tcPr>
                <w:p w14:paraId="5AB0457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0.111~0.52</w:t>
                  </w:r>
                </w:p>
              </w:tc>
            </w:tr>
            <w:tr w14:paraId="57DC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21D761CE">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4BF839E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口腔牙片机房</w:t>
                  </w:r>
                </w:p>
              </w:tc>
              <w:tc>
                <w:tcPr>
                  <w:tcW w:w="736" w:type="dxa"/>
                  <w:noWrap w:val="0"/>
                  <w:vAlign w:val="center"/>
                </w:tcPr>
                <w:p w14:paraId="43885348">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00A861E0">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牙科X射线机</w:t>
                  </w:r>
                </w:p>
              </w:tc>
              <w:tc>
                <w:tcPr>
                  <w:tcW w:w="1759" w:type="dxa"/>
                  <w:noWrap w:val="0"/>
                  <w:vAlign w:val="center"/>
                </w:tcPr>
                <w:p w14:paraId="218FB40B">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RAY98(W)</w:t>
                  </w:r>
                </w:p>
              </w:tc>
              <w:tc>
                <w:tcPr>
                  <w:tcW w:w="1483" w:type="dxa"/>
                  <w:noWrap w:val="0"/>
                  <w:vAlign w:val="center"/>
                </w:tcPr>
                <w:p w14:paraId="7D69FD8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0.089~0.149</w:t>
                  </w:r>
                </w:p>
              </w:tc>
            </w:tr>
            <w:tr w14:paraId="5592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7688BE8D">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71AE2EBF">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麻醉科10号手术室</w:t>
                  </w:r>
                </w:p>
              </w:tc>
              <w:tc>
                <w:tcPr>
                  <w:tcW w:w="736" w:type="dxa"/>
                  <w:noWrap w:val="0"/>
                  <w:vAlign w:val="center"/>
                </w:tcPr>
                <w:p w14:paraId="2AB34494">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72B775FC">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移动式C型臂X线系统</w:t>
                  </w:r>
                </w:p>
              </w:tc>
              <w:tc>
                <w:tcPr>
                  <w:tcW w:w="1759" w:type="dxa"/>
                  <w:noWrap w:val="0"/>
                  <w:vAlign w:val="center"/>
                </w:tcPr>
                <w:p w14:paraId="1AE73D69">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BV</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Libra</w:t>
                  </w:r>
                </w:p>
              </w:tc>
              <w:tc>
                <w:tcPr>
                  <w:tcW w:w="1483" w:type="dxa"/>
                  <w:noWrap w:val="0"/>
                  <w:vAlign w:val="center"/>
                </w:tcPr>
                <w:p w14:paraId="25CA79C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0.116~0.94</w:t>
                  </w:r>
                </w:p>
              </w:tc>
            </w:tr>
            <w:tr w14:paraId="34B2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76F3FDEA">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6C07D41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麻醉科8号手术室</w:t>
                  </w:r>
                </w:p>
              </w:tc>
              <w:tc>
                <w:tcPr>
                  <w:tcW w:w="736" w:type="dxa"/>
                  <w:noWrap w:val="0"/>
                  <w:vAlign w:val="center"/>
                </w:tcPr>
                <w:p w14:paraId="5067365C">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40C6CEF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移动式，C形臂X射线机</w:t>
                  </w:r>
                </w:p>
              </w:tc>
              <w:tc>
                <w:tcPr>
                  <w:tcW w:w="1759" w:type="dxa"/>
                  <w:noWrap w:val="0"/>
                  <w:vAlign w:val="center"/>
                </w:tcPr>
                <w:p w14:paraId="0B0FF138">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ZiehmSolo</w:t>
                  </w:r>
                </w:p>
              </w:tc>
              <w:tc>
                <w:tcPr>
                  <w:tcW w:w="1483" w:type="dxa"/>
                  <w:noWrap w:val="0"/>
                  <w:vAlign w:val="center"/>
                </w:tcPr>
                <w:p w14:paraId="30AA636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0.113~0.84</w:t>
                  </w:r>
                </w:p>
              </w:tc>
            </w:tr>
            <w:tr w14:paraId="538E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6A36155F">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1E126778">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麻醉科9号手术室</w:t>
                  </w:r>
                </w:p>
              </w:tc>
              <w:tc>
                <w:tcPr>
                  <w:tcW w:w="736" w:type="dxa"/>
                  <w:noWrap w:val="0"/>
                  <w:vAlign w:val="center"/>
                </w:tcPr>
                <w:p w14:paraId="2A517608">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49AD6E5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移动式C形臂X射线机</w:t>
                  </w:r>
                </w:p>
              </w:tc>
              <w:tc>
                <w:tcPr>
                  <w:tcW w:w="1759" w:type="dxa"/>
                  <w:noWrap w:val="0"/>
                  <w:vAlign w:val="center"/>
                </w:tcPr>
                <w:p w14:paraId="00CB92D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ZiehmSolo</w:t>
                  </w:r>
                </w:p>
              </w:tc>
              <w:tc>
                <w:tcPr>
                  <w:tcW w:w="1483" w:type="dxa"/>
                  <w:noWrap w:val="0"/>
                  <w:vAlign w:val="center"/>
                </w:tcPr>
                <w:p w14:paraId="48FF4ED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0.124~1.08</w:t>
                  </w:r>
                </w:p>
              </w:tc>
            </w:tr>
            <w:tr w14:paraId="2BFC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7D06B60B">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26D5271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泌尿外科碎石机房</w:t>
                  </w:r>
                </w:p>
              </w:tc>
              <w:tc>
                <w:tcPr>
                  <w:tcW w:w="736" w:type="dxa"/>
                  <w:noWrap w:val="0"/>
                  <w:vAlign w:val="center"/>
                </w:tcPr>
                <w:p w14:paraId="1B48A08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Ⅲ类</w:t>
                  </w:r>
                </w:p>
              </w:tc>
              <w:tc>
                <w:tcPr>
                  <w:tcW w:w="2223" w:type="dxa"/>
                  <w:noWrap w:val="0"/>
                  <w:vAlign w:val="center"/>
                </w:tcPr>
                <w:p w14:paraId="429028A2">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体外冲击波碎石机</w:t>
                  </w:r>
                </w:p>
              </w:tc>
              <w:tc>
                <w:tcPr>
                  <w:tcW w:w="1759" w:type="dxa"/>
                  <w:noWrap w:val="0"/>
                  <w:vAlign w:val="center"/>
                </w:tcPr>
                <w:p w14:paraId="72B35CBB">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HK.ESWL-V</w:t>
                  </w:r>
                </w:p>
              </w:tc>
              <w:tc>
                <w:tcPr>
                  <w:tcW w:w="1483" w:type="dxa"/>
                  <w:noWrap w:val="0"/>
                  <w:vAlign w:val="center"/>
                </w:tcPr>
                <w:p w14:paraId="6A50558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0.106~0.149</w:t>
                  </w:r>
                </w:p>
              </w:tc>
            </w:tr>
            <w:tr w14:paraId="3CC7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4686C2B1">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2253E069">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体检中心CT机房</w:t>
                  </w:r>
                </w:p>
              </w:tc>
              <w:tc>
                <w:tcPr>
                  <w:tcW w:w="736" w:type="dxa"/>
                  <w:noWrap w:val="0"/>
                  <w:vAlign w:val="center"/>
                </w:tcPr>
                <w:p w14:paraId="0948CFC1">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695408E2">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X射线计算机体层摄影设备</w:t>
                  </w:r>
                </w:p>
              </w:tc>
              <w:tc>
                <w:tcPr>
                  <w:tcW w:w="1759" w:type="dxa"/>
                  <w:noWrap w:val="0"/>
                  <w:vAlign w:val="center"/>
                </w:tcPr>
                <w:p w14:paraId="6FB4858A">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Neu</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Viz</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64In</w:t>
                  </w:r>
                </w:p>
              </w:tc>
              <w:tc>
                <w:tcPr>
                  <w:tcW w:w="1483" w:type="dxa"/>
                  <w:noWrap w:val="0"/>
                  <w:vAlign w:val="center"/>
                </w:tcPr>
                <w:p w14:paraId="3F089C0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0.118~0.56</w:t>
                  </w:r>
                </w:p>
              </w:tc>
            </w:tr>
            <w:tr w14:paraId="1CB0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49E70991">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71A142CA">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体检中心DR机房</w:t>
                  </w:r>
                </w:p>
              </w:tc>
              <w:tc>
                <w:tcPr>
                  <w:tcW w:w="736" w:type="dxa"/>
                  <w:noWrap w:val="0"/>
                  <w:vAlign w:val="center"/>
                </w:tcPr>
                <w:p w14:paraId="76BE51B6">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Ⅲ类</w:t>
                  </w:r>
                </w:p>
              </w:tc>
              <w:tc>
                <w:tcPr>
                  <w:tcW w:w="2223" w:type="dxa"/>
                  <w:noWrap w:val="0"/>
                  <w:vAlign w:val="center"/>
                </w:tcPr>
                <w:p w14:paraId="4BC6B84F">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医用X射线摄影系统</w:t>
                  </w:r>
                </w:p>
              </w:tc>
              <w:tc>
                <w:tcPr>
                  <w:tcW w:w="1759" w:type="dxa"/>
                  <w:noWrap w:val="0"/>
                  <w:vAlign w:val="center"/>
                </w:tcPr>
                <w:p w14:paraId="26FD1560">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新东方1000ND</w:t>
                  </w:r>
                </w:p>
              </w:tc>
              <w:tc>
                <w:tcPr>
                  <w:tcW w:w="1483" w:type="dxa"/>
                  <w:noWrap w:val="0"/>
                  <w:vAlign w:val="center"/>
                </w:tcPr>
                <w:p w14:paraId="2C1A0F0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0.116~0.56</w:t>
                  </w:r>
                </w:p>
              </w:tc>
            </w:tr>
            <w:tr w14:paraId="335A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47597260">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52322624">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消化内镜科C臂机房</w:t>
                  </w:r>
                </w:p>
              </w:tc>
              <w:tc>
                <w:tcPr>
                  <w:tcW w:w="736" w:type="dxa"/>
                  <w:noWrap w:val="0"/>
                  <w:vAlign w:val="center"/>
                </w:tcPr>
                <w:p w14:paraId="3613B0B4">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Ⅱ</w:t>
                  </w:r>
                  <w:r>
                    <w:rPr>
                      <w:rFonts w:hint="default" w:ascii="Times New Roman" w:hAnsi="Times New Roman" w:eastAsia="宋体" w:cs="Times New Roman"/>
                      <w:color w:val="auto"/>
                      <w:sz w:val="21"/>
                      <w:szCs w:val="21"/>
                    </w:rPr>
                    <w:t>类</w:t>
                  </w:r>
                </w:p>
              </w:tc>
              <w:tc>
                <w:tcPr>
                  <w:tcW w:w="2223" w:type="dxa"/>
                  <w:noWrap w:val="0"/>
                  <w:vAlign w:val="center"/>
                </w:tcPr>
                <w:p w14:paraId="7D13CDA7">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移动式C形臂X射线机</w:t>
                  </w:r>
                </w:p>
              </w:tc>
              <w:tc>
                <w:tcPr>
                  <w:tcW w:w="1759" w:type="dxa"/>
                  <w:noWrap w:val="0"/>
                  <w:vAlign w:val="center"/>
                </w:tcPr>
                <w:p w14:paraId="04A6F889">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CiosAlpha</w:t>
                  </w:r>
                </w:p>
              </w:tc>
              <w:tc>
                <w:tcPr>
                  <w:tcW w:w="1483" w:type="dxa"/>
                  <w:noWrap w:val="0"/>
                  <w:vAlign w:val="center"/>
                </w:tcPr>
                <w:p w14:paraId="2F7A956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0.114~0.160</w:t>
                  </w:r>
                </w:p>
              </w:tc>
            </w:tr>
            <w:tr w14:paraId="0D17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7CF6922D">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0264DA8F">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医学影像科</w:t>
                  </w:r>
                  <w:r>
                    <w:rPr>
                      <w:rFonts w:hint="eastAsia" w:cs="Times New Roman"/>
                      <w:color w:val="auto"/>
                      <w:lang w:val="en-US" w:eastAsia="zh-CN"/>
                    </w:rPr>
                    <w:t>1</w:t>
                  </w:r>
                  <w:r>
                    <w:rPr>
                      <w:rFonts w:hint="default" w:ascii="Times New Roman" w:hAnsi="Times New Roman" w:eastAsia="宋体" w:cs="Times New Roman"/>
                      <w:color w:val="auto"/>
                    </w:rPr>
                    <w:t>号机房</w:t>
                  </w:r>
                </w:p>
              </w:tc>
              <w:tc>
                <w:tcPr>
                  <w:tcW w:w="736" w:type="dxa"/>
                  <w:noWrap w:val="0"/>
                  <w:vAlign w:val="center"/>
                </w:tcPr>
                <w:p w14:paraId="3F9849A8">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Ⅲ类</w:t>
                  </w:r>
                </w:p>
              </w:tc>
              <w:tc>
                <w:tcPr>
                  <w:tcW w:w="2223" w:type="dxa"/>
                  <w:noWrap w:val="0"/>
                  <w:vAlign w:val="center"/>
                </w:tcPr>
                <w:p w14:paraId="2176CC52">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数字化透视摄影X射线机</w:t>
                  </w:r>
                </w:p>
              </w:tc>
              <w:tc>
                <w:tcPr>
                  <w:tcW w:w="1759" w:type="dxa"/>
                  <w:noWrap w:val="0"/>
                  <w:vAlign w:val="center"/>
                </w:tcPr>
                <w:p w14:paraId="445EC9EA">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PLD9600.F</w:t>
                  </w:r>
                </w:p>
              </w:tc>
              <w:tc>
                <w:tcPr>
                  <w:tcW w:w="1483" w:type="dxa"/>
                  <w:noWrap w:val="0"/>
                  <w:vAlign w:val="center"/>
                </w:tcPr>
                <w:p w14:paraId="057DBC7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0.123</w:t>
                  </w:r>
                  <w:r>
                    <w:rPr>
                      <w:rFonts w:hint="default" w:ascii="Times New Roman" w:hAnsi="Times New Roman" w:eastAsia="宋体" w:cs="Times New Roman"/>
                      <w:color w:val="auto"/>
                      <w:spacing w:val="0"/>
                      <w:position w:val="0"/>
                      <w:sz w:val="21"/>
                      <w:szCs w:val="21"/>
                      <w:lang w:val="en-US" w:eastAsia="zh-CN"/>
                    </w:rPr>
                    <w:t>~</w:t>
                  </w:r>
                  <w:r>
                    <w:rPr>
                      <w:rFonts w:hint="eastAsia" w:cs="Times New Roman"/>
                      <w:color w:val="auto"/>
                      <w:spacing w:val="0"/>
                      <w:position w:val="0"/>
                      <w:sz w:val="21"/>
                      <w:szCs w:val="21"/>
                      <w:lang w:val="en-US" w:eastAsia="zh-CN"/>
                    </w:rPr>
                    <w:t>0.43</w:t>
                  </w:r>
                </w:p>
              </w:tc>
            </w:tr>
            <w:tr w14:paraId="434B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3FBF957D">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637B6AF9">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医学影像科2号机房</w:t>
                  </w:r>
                </w:p>
              </w:tc>
              <w:tc>
                <w:tcPr>
                  <w:tcW w:w="736" w:type="dxa"/>
                  <w:noWrap w:val="0"/>
                  <w:vAlign w:val="center"/>
                </w:tcPr>
                <w:p w14:paraId="4B17CB0A">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70FC3499">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骨密度仪</w:t>
                  </w:r>
                </w:p>
              </w:tc>
              <w:tc>
                <w:tcPr>
                  <w:tcW w:w="1759" w:type="dxa"/>
                  <w:noWrap w:val="0"/>
                  <w:vAlign w:val="center"/>
                </w:tcPr>
                <w:p w14:paraId="35948873">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DiscoveryWI</w:t>
                  </w:r>
                </w:p>
              </w:tc>
              <w:tc>
                <w:tcPr>
                  <w:tcW w:w="1483" w:type="dxa"/>
                  <w:noWrap w:val="0"/>
                  <w:vAlign w:val="center"/>
                </w:tcPr>
                <w:p w14:paraId="1CD8D3E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0.096~0.140</w:t>
                  </w:r>
                </w:p>
              </w:tc>
            </w:tr>
            <w:tr w14:paraId="51B2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0EF95E78">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234F8664">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医学影像科3号机房</w:t>
                  </w:r>
                </w:p>
              </w:tc>
              <w:tc>
                <w:tcPr>
                  <w:tcW w:w="736" w:type="dxa"/>
                  <w:noWrap w:val="0"/>
                  <w:vAlign w:val="center"/>
                </w:tcPr>
                <w:p w14:paraId="7B261372">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Ⅲ类</w:t>
                  </w:r>
                </w:p>
              </w:tc>
              <w:tc>
                <w:tcPr>
                  <w:tcW w:w="2223" w:type="dxa"/>
                  <w:noWrap w:val="0"/>
                  <w:vAlign w:val="center"/>
                </w:tcPr>
                <w:p w14:paraId="581E6BF2">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直接数字化拍片系统</w:t>
                  </w:r>
                </w:p>
              </w:tc>
              <w:tc>
                <w:tcPr>
                  <w:tcW w:w="1759" w:type="dxa"/>
                  <w:noWrap w:val="0"/>
                  <w:vAlign w:val="center"/>
                </w:tcPr>
                <w:p w14:paraId="6842D47A">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DigitalDiagnost</w:t>
                  </w:r>
                </w:p>
              </w:tc>
              <w:tc>
                <w:tcPr>
                  <w:tcW w:w="1483" w:type="dxa"/>
                  <w:noWrap w:val="0"/>
                  <w:vAlign w:val="center"/>
                </w:tcPr>
                <w:p w14:paraId="51C5A34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0.110~0.81</w:t>
                  </w:r>
                </w:p>
              </w:tc>
            </w:tr>
            <w:tr w14:paraId="1C46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382A7F97">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77DDFF1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医学影像科4号机房</w:t>
                  </w:r>
                </w:p>
              </w:tc>
              <w:tc>
                <w:tcPr>
                  <w:tcW w:w="736" w:type="dxa"/>
                  <w:noWrap w:val="0"/>
                  <w:vAlign w:val="center"/>
                </w:tcPr>
                <w:p w14:paraId="448D9071">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67E01E72">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数字化医用X射线摄影系统</w:t>
                  </w:r>
                </w:p>
              </w:tc>
              <w:tc>
                <w:tcPr>
                  <w:tcW w:w="1759" w:type="dxa"/>
                  <w:noWrap w:val="0"/>
                  <w:vAlign w:val="center"/>
                </w:tcPr>
                <w:p w14:paraId="53C67BC7">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MultixSelectDR</w:t>
                  </w:r>
                </w:p>
              </w:tc>
              <w:tc>
                <w:tcPr>
                  <w:tcW w:w="1483" w:type="dxa"/>
                  <w:noWrap w:val="0"/>
                  <w:vAlign w:val="center"/>
                </w:tcPr>
                <w:p w14:paraId="43DD1CB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0.118~0.92</w:t>
                  </w:r>
                </w:p>
              </w:tc>
            </w:tr>
            <w:tr w14:paraId="4267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307CD223">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7C1CF273">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医学影像科5号机房</w:t>
                  </w:r>
                </w:p>
              </w:tc>
              <w:tc>
                <w:tcPr>
                  <w:tcW w:w="736" w:type="dxa"/>
                  <w:noWrap w:val="0"/>
                  <w:vAlign w:val="center"/>
                </w:tcPr>
                <w:p w14:paraId="7A78799B">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3A787507">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数字化乳腺X射线诊断系统</w:t>
                  </w:r>
                </w:p>
              </w:tc>
              <w:tc>
                <w:tcPr>
                  <w:tcW w:w="1759" w:type="dxa"/>
                  <w:noWrap w:val="0"/>
                  <w:vAlign w:val="center"/>
                </w:tcPr>
                <w:p w14:paraId="1CDA66F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FDR</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MS-3500</w:t>
                  </w:r>
                </w:p>
              </w:tc>
              <w:tc>
                <w:tcPr>
                  <w:tcW w:w="1483" w:type="dxa"/>
                  <w:noWrap w:val="0"/>
                  <w:vAlign w:val="center"/>
                </w:tcPr>
                <w:p w14:paraId="64C550D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0.094~0.126</w:t>
                  </w:r>
                </w:p>
              </w:tc>
            </w:tr>
            <w:tr w14:paraId="597F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509BAD15">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5EBEFEB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医学影像科CT室1号</w:t>
                  </w:r>
                </w:p>
              </w:tc>
              <w:tc>
                <w:tcPr>
                  <w:tcW w:w="736" w:type="dxa"/>
                  <w:noWrap w:val="0"/>
                  <w:vAlign w:val="center"/>
                </w:tcPr>
                <w:p w14:paraId="68243432">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Ⅲ类</w:t>
                  </w:r>
                </w:p>
              </w:tc>
              <w:tc>
                <w:tcPr>
                  <w:tcW w:w="2223" w:type="dxa"/>
                  <w:noWrap w:val="0"/>
                  <w:vAlign w:val="center"/>
                </w:tcPr>
                <w:p w14:paraId="37DABF7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X射线计算机体层摄影设备</w:t>
                  </w:r>
                </w:p>
              </w:tc>
              <w:tc>
                <w:tcPr>
                  <w:tcW w:w="1759" w:type="dxa"/>
                  <w:noWrap w:val="0"/>
                  <w:vAlign w:val="center"/>
                </w:tcPr>
                <w:p w14:paraId="161F32D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SOMATOMDrive</w:t>
                  </w:r>
                </w:p>
              </w:tc>
              <w:tc>
                <w:tcPr>
                  <w:tcW w:w="1483" w:type="dxa"/>
                  <w:noWrap w:val="0"/>
                  <w:vAlign w:val="center"/>
                </w:tcPr>
                <w:p w14:paraId="1DFAEA2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0.109~0.45</w:t>
                  </w:r>
                </w:p>
              </w:tc>
            </w:tr>
            <w:tr w14:paraId="0F09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0AC374DF">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361F36DB">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医学影像科CT室2号</w:t>
                  </w:r>
                </w:p>
              </w:tc>
              <w:tc>
                <w:tcPr>
                  <w:tcW w:w="736" w:type="dxa"/>
                  <w:noWrap w:val="0"/>
                  <w:vAlign w:val="center"/>
                </w:tcPr>
                <w:p w14:paraId="77A0CC3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lang w:eastAsia="zh-CN"/>
                    </w:rPr>
                    <w:t>Ⅲ</w:t>
                  </w:r>
                  <w:r>
                    <w:rPr>
                      <w:rFonts w:hint="default" w:ascii="Times New Roman" w:hAnsi="Times New Roman" w:eastAsia="宋体" w:cs="Times New Roman"/>
                      <w:color w:val="auto"/>
                      <w:sz w:val="21"/>
                      <w:szCs w:val="21"/>
                    </w:rPr>
                    <w:t>类</w:t>
                  </w:r>
                </w:p>
              </w:tc>
              <w:tc>
                <w:tcPr>
                  <w:tcW w:w="2223" w:type="dxa"/>
                  <w:noWrap w:val="0"/>
                  <w:vAlign w:val="center"/>
                </w:tcPr>
                <w:p w14:paraId="516FB30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X射线计算机体层摄影设备</w:t>
                  </w:r>
                </w:p>
              </w:tc>
              <w:tc>
                <w:tcPr>
                  <w:tcW w:w="1759" w:type="dxa"/>
                  <w:noWrap w:val="0"/>
                  <w:vAlign w:val="center"/>
                </w:tcPr>
                <w:p w14:paraId="53AE1AA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Optima</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CT660</w:t>
                  </w:r>
                </w:p>
              </w:tc>
              <w:tc>
                <w:tcPr>
                  <w:tcW w:w="1483" w:type="dxa"/>
                  <w:noWrap w:val="0"/>
                  <w:vAlign w:val="center"/>
                </w:tcPr>
                <w:p w14:paraId="1DC06E7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0.107~0.184</w:t>
                  </w:r>
                </w:p>
              </w:tc>
            </w:tr>
            <w:tr w14:paraId="67F7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0C1725FA">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7166E0CA">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医学影像科设备间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移动DR1</w:t>
                  </w:r>
                  <w:r>
                    <w:rPr>
                      <w:rFonts w:hint="default" w:ascii="Times New Roman" w:hAnsi="Times New Roman" w:eastAsia="宋体" w:cs="Times New Roman"/>
                      <w:color w:val="auto"/>
                      <w:lang w:eastAsia="zh-CN"/>
                    </w:rPr>
                    <w:t>）</w:t>
                  </w:r>
                </w:p>
              </w:tc>
              <w:tc>
                <w:tcPr>
                  <w:tcW w:w="736" w:type="dxa"/>
                  <w:noWrap w:val="0"/>
                  <w:vAlign w:val="center"/>
                </w:tcPr>
                <w:p w14:paraId="3CF4BA0D">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Ⅲ类</w:t>
                  </w:r>
                </w:p>
              </w:tc>
              <w:tc>
                <w:tcPr>
                  <w:tcW w:w="2223" w:type="dxa"/>
                  <w:noWrap w:val="0"/>
                  <w:vAlign w:val="center"/>
                </w:tcPr>
                <w:p w14:paraId="350EBE1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移动式X射线机</w:t>
                  </w:r>
                </w:p>
              </w:tc>
              <w:tc>
                <w:tcPr>
                  <w:tcW w:w="1759" w:type="dxa"/>
                  <w:noWrap w:val="0"/>
                  <w:vAlign w:val="center"/>
                </w:tcPr>
                <w:p w14:paraId="6967E5D7">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en-US" w:bidi="ar-SA"/>
                    </w:rPr>
                  </w:pPr>
                  <w:r>
                    <w:rPr>
                      <w:rFonts w:hint="default" w:ascii="Times New Roman" w:hAnsi="Times New Roman" w:eastAsia="宋体" w:cs="Times New Roman"/>
                      <w:color w:val="auto"/>
                      <w:sz w:val="21"/>
                      <w:szCs w:val="21"/>
                    </w:rPr>
                    <w:t>MobiEye700T</w:t>
                  </w:r>
                </w:p>
              </w:tc>
              <w:tc>
                <w:tcPr>
                  <w:tcW w:w="1483" w:type="dxa"/>
                  <w:noWrap w:val="0"/>
                  <w:vAlign w:val="center"/>
                </w:tcPr>
                <w:p w14:paraId="7A7A50E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2.48~5.0</w:t>
                  </w:r>
                </w:p>
              </w:tc>
            </w:tr>
            <w:tr w14:paraId="3080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4" w:type="dxa"/>
                  <w:noWrap w:val="0"/>
                  <w:vAlign w:val="center"/>
                </w:tcPr>
                <w:p w14:paraId="4C6CEE55">
                  <w:pPr>
                    <w:pStyle w:val="8"/>
                    <w:keepNext w:val="0"/>
                    <w:keepLines w:val="0"/>
                    <w:pageBreakBefore w:val="0"/>
                    <w:widowControl w:val="0"/>
                    <w:numPr>
                      <w:ilvl w:val="0"/>
                      <w:numId w:val="4"/>
                    </w:numPr>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sz w:val="21"/>
                      <w:szCs w:val="21"/>
                      <w:lang w:val="en-US" w:eastAsia="en-US"/>
                    </w:rPr>
                  </w:pPr>
                </w:p>
              </w:tc>
              <w:tc>
                <w:tcPr>
                  <w:tcW w:w="2064" w:type="dxa"/>
                  <w:noWrap w:val="0"/>
                  <w:vAlign w:val="center"/>
                </w:tcPr>
                <w:p w14:paraId="0212137E">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医学影像科移动车云D·A3802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车载CT</w:t>
                  </w:r>
                  <w:r>
                    <w:rPr>
                      <w:rFonts w:hint="default" w:ascii="Times New Roman" w:hAnsi="Times New Roman" w:eastAsia="宋体" w:cs="Times New Roman"/>
                      <w:color w:val="auto"/>
                      <w:lang w:eastAsia="zh-CN"/>
                    </w:rPr>
                    <w:t>）</w:t>
                  </w:r>
                </w:p>
              </w:tc>
              <w:tc>
                <w:tcPr>
                  <w:tcW w:w="736" w:type="dxa"/>
                  <w:noWrap w:val="0"/>
                  <w:vAlign w:val="center"/>
                </w:tcPr>
                <w:p w14:paraId="6D928B45">
                  <w:pPr>
                    <w:pStyle w:val="36"/>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Ⅲ类</w:t>
                  </w:r>
                </w:p>
              </w:tc>
              <w:tc>
                <w:tcPr>
                  <w:tcW w:w="2223" w:type="dxa"/>
                  <w:noWrap w:val="0"/>
                  <w:vAlign w:val="center"/>
                </w:tcPr>
                <w:p w14:paraId="692C22D4">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X射线计算机体层摄影设备</w:t>
                  </w:r>
                </w:p>
              </w:tc>
              <w:tc>
                <w:tcPr>
                  <w:tcW w:w="1759" w:type="dxa"/>
                  <w:noWrap w:val="0"/>
                  <w:vAlign w:val="center"/>
                </w:tcPr>
                <w:p w14:paraId="6CD60B56">
                  <w:pPr>
                    <w:pStyle w:val="36"/>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2"/>
                      <w:sz w:val="21"/>
                      <w:szCs w:val="24"/>
                      <w:lang w:val="en-US" w:eastAsia="en-US" w:bidi="ar-SA"/>
                    </w:rPr>
                  </w:pPr>
                  <w:r>
                    <w:rPr>
                      <w:rFonts w:hint="default" w:ascii="Times New Roman" w:hAnsi="Times New Roman" w:eastAsia="宋体" w:cs="Times New Roman"/>
                      <w:color w:val="auto"/>
                    </w:rPr>
                    <w:t>NeuVizExtra</w:t>
                  </w:r>
                </w:p>
              </w:tc>
              <w:tc>
                <w:tcPr>
                  <w:tcW w:w="1483" w:type="dxa"/>
                  <w:noWrap w:val="0"/>
                  <w:vAlign w:val="center"/>
                </w:tcPr>
                <w:p w14:paraId="7D2AA7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0.118</w:t>
                  </w:r>
                  <w:r>
                    <w:rPr>
                      <w:rFonts w:hint="default" w:ascii="Times New Roman" w:hAnsi="Times New Roman" w:eastAsia="宋体" w:cs="Times New Roman"/>
                      <w:color w:val="auto"/>
                      <w:spacing w:val="0"/>
                      <w:position w:val="0"/>
                      <w:sz w:val="21"/>
                      <w:szCs w:val="21"/>
                      <w:lang w:val="en-US" w:eastAsia="zh-CN"/>
                    </w:rPr>
                    <w:t>~</w:t>
                  </w:r>
                  <w:r>
                    <w:rPr>
                      <w:rFonts w:hint="eastAsia" w:cs="Times New Roman"/>
                      <w:color w:val="auto"/>
                      <w:spacing w:val="0"/>
                      <w:position w:val="0"/>
                      <w:sz w:val="21"/>
                      <w:szCs w:val="21"/>
                      <w:lang w:val="en-US" w:eastAsia="zh-CN"/>
                    </w:rPr>
                    <w:t>0.56</w:t>
                  </w:r>
                </w:p>
              </w:tc>
            </w:tr>
          </w:tbl>
          <w:p w14:paraId="2D87CE6F">
            <w:pPr>
              <w:keepNext w:val="0"/>
              <w:keepLines w:val="0"/>
              <w:suppressLineNumbers w:val="0"/>
              <w:tabs>
                <w:tab w:val="left" w:pos="1017"/>
              </w:tabs>
              <w:adjustRightInd w:val="0"/>
              <w:snapToGrid w:val="0"/>
              <w:spacing w:before="0" w:beforeAutospacing="0" w:after="0" w:afterAutospacing="0"/>
              <w:ind w:left="0" w:right="0"/>
              <w:rPr>
                <w:rFonts w:hint="eastAsia"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同时医院解释医学影像科设备间（移动DR2）的OptimaXR240amX型数字化移动式摄影X射线机</w:t>
            </w:r>
            <w:r>
              <w:rPr>
                <w:rFonts w:hint="eastAsia" w:cs="Times New Roman"/>
                <w:color w:val="auto"/>
                <w:spacing w:val="0"/>
                <w:position w:val="0"/>
                <w:lang w:val="en-US" w:eastAsia="zh-CN"/>
              </w:rPr>
              <w:t>故障，因此未进行检测。</w:t>
            </w:r>
          </w:p>
          <w:p w14:paraId="755723C7">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bCs/>
                <w:color w:val="auto"/>
                <w:spacing w:val="0"/>
                <w:position w:val="0"/>
              </w:rPr>
            </w:pPr>
            <w:r>
              <w:rPr>
                <w:rFonts w:hint="default" w:ascii="Times New Roman" w:hAnsi="Times New Roman" w:eastAsia="宋体" w:cs="Times New Roman"/>
                <w:color w:val="auto"/>
                <w:spacing w:val="0"/>
                <w:position w:val="0"/>
              </w:rPr>
              <w:t>根据医院提供的</w:t>
            </w:r>
            <w:r>
              <w:rPr>
                <w:rFonts w:hint="default" w:ascii="Times New Roman" w:hAnsi="Times New Roman" w:eastAsia="宋体" w:cs="Times New Roman"/>
                <w:color w:val="auto"/>
                <w:spacing w:val="0"/>
                <w:position w:val="0"/>
                <w:lang w:val="en-US" w:eastAsia="zh-CN"/>
              </w:rPr>
              <w:t>2025</w:t>
            </w:r>
            <w:r>
              <w:rPr>
                <w:rFonts w:hint="eastAsia" w:cs="Times New Roman"/>
                <w:color w:val="auto"/>
                <w:spacing w:val="0"/>
                <w:position w:val="0"/>
                <w:lang w:val="en-US" w:eastAsia="zh-CN"/>
              </w:rPr>
              <w:t>年</w:t>
            </w:r>
            <w:r>
              <w:rPr>
                <w:rFonts w:hint="default" w:ascii="Times New Roman" w:hAnsi="Times New Roman" w:eastAsia="宋体" w:cs="Times New Roman"/>
                <w:color w:val="auto"/>
                <w:spacing w:val="0"/>
                <w:position w:val="0"/>
                <w:lang w:val="en-US" w:eastAsia="zh-CN"/>
              </w:rPr>
              <w:t>辐射设备</w:t>
            </w:r>
            <w:r>
              <w:rPr>
                <w:rFonts w:hint="default" w:ascii="Times New Roman" w:hAnsi="Times New Roman" w:eastAsia="宋体" w:cs="Times New Roman"/>
                <w:color w:val="auto"/>
                <w:spacing w:val="0"/>
                <w:position w:val="0"/>
              </w:rPr>
              <w:t>年检报告</w:t>
            </w:r>
            <w:r>
              <w:rPr>
                <w:rFonts w:hint="eastAsia" w:cs="Times New Roman"/>
                <w:color w:val="auto"/>
                <w:spacing w:val="0"/>
                <w:position w:val="0"/>
                <w:lang w:val="en-US" w:eastAsia="zh-CN"/>
              </w:rPr>
              <w:t>和新设备检测报告</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曲靖市第二人民医院分区、曲靖市第二人民医院所使用射线装置工作场所及周围环境辐射水平均符合《放射诊断放射防护要求》（GBZ130-2020）的要求，</w:t>
            </w:r>
            <w:r>
              <w:rPr>
                <w:rFonts w:hint="default" w:ascii="Times New Roman" w:hAnsi="Times New Roman" w:eastAsia="宋体" w:cs="Times New Roman"/>
                <w:color w:val="auto"/>
                <w:spacing w:val="0"/>
                <w:position w:val="0"/>
              </w:rPr>
              <w:t>根据年度监测报告的结论</w:t>
            </w: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医用射线装置工作场所正常使用，对职业人员及公众所受附加剂量，满足环境控制目标中的职业照射和公众照射管理限值</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具体检测报告见附件</w:t>
            </w:r>
            <w:r>
              <w:rPr>
                <w:rFonts w:hint="default" w:ascii="Times New Roman" w:hAnsi="Times New Roman" w:eastAsia="宋体" w:cs="Times New Roman"/>
                <w:color w:val="auto"/>
                <w:spacing w:val="0"/>
                <w:position w:val="0"/>
              </w:rPr>
              <w:t>。</w:t>
            </w:r>
          </w:p>
          <w:p w14:paraId="2EF57F6E">
            <w:pPr>
              <w:keepNext w:val="0"/>
              <w:keepLines w:val="0"/>
              <w:suppressLineNumbers w:val="0"/>
              <w:snapToGrid w:val="0"/>
              <w:spacing w:before="0" w:beforeAutospacing="0" w:after="0" w:afterAutospacing="0"/>
              <w:ind w:left="0" w:right="0"/>
              <w:rPr>
                <w:rFonts w:hint="default" w:ascii="Times New Roman" w:hAnsi="Times New Roman" w:eastAsia="宋体" w:cs="Times New Roman"/>
                <w:bCs/>
                <w:color w:val="auto"/>
                <w:spacing w:val="0"/>
                <w:position w:val="0"/>
                <w:sz w:val="24"/>
                <w:szCs w:val="24"/>
                <w:lang w:val="en-US" w:eastAsia="zh-CN"/>
              </w:rPr>
            </w:pPr>
            <w:r>
              <w:rPr>
                <w:rFonts w:hint="default" w:ascii="Times New Roman" w:hAnsi="Times New Roman" w:eastAsia="宋体" w:cs="Times New Roman"/>
                <w:bCs/>
                <w:color w:val="auto"/>
                <w:spacing w:val="0"/>
                <w:position w:val="0"/>
                <w:lang w:val="en-US" w:eastAsia="zh-CN"/>
              </w:rPr>
              <w:t>曲靖市第二人民医院现有3台Ⅱ类射线装置均位于门诊楼，不在本项目评价范围内，本项目所在住院楼存在3台射线装置，分别为四楼8号手术室的Ziehm Solo移动式C形臂X射线机、四楼9号手术室的Ziehm Solo移动式C形臂X射线机、四楼10号手术室的Bv Libra移动式C型臂X线系统，目前正常开展辐射诊断工作，已定期开展辐射环境水平检测，根据年度检测报告，8号手术室射线装置在开机作业时，该机房外的空气吸收剂量率平均值为0.113~0.84μGy/h，9号手术室射线装置在开机作业时，该机房外的空气吸收剂量率平均值为0.124~1.08μGy/h，10号手术室射线装置在开机作业时，该机房外的空气吸收剂量率平均值为0.116~0.94μGy/h，满足《放射诊断放射防护要求》（GBZ130-2020）规定的机房屏蔽体外的周围剂量当量率控制目标值应不大于2.5μSv/h的要求。综上曲靖市第二人民医院已有的辐射装置正常运行，</w:t>
            </w:r>
            <w:r>
              <w:rPr>
                <w:rFonts w:hint="default" w:ascii="Times New Roman" w:hAnsi="Times New Roman" w:eastAsia="宋体" w:cs="Times New Roman"/>
                <w:bCs/>
                <w:color w:val="auto"/>
                <w:spacing w:val="0"/>
                <w:position w:val="0"/>
                <w:sz w:val="24"/>
                <w:szCs w:val="24"/>
                <w:lang w:val="en-US" w:eastAsia="zh-CN"/>
              </w:rPr>
              <w:t>相关辐射设备年度辐射检测达标，运行过程中各污染物采取处理措施后对周围环境影响很小。</w:t>
            </w:r>
          </w:p>
          <w:p w14:paraId="0D69CD8C">
            <w:pPr>
              <w:keepNext w:val="0"/>
              <w:keepLines w:val="0"/>
              <w:suppressLineNumbers w:val="0"/>
              <w:snapToGrid w:val="0"/>
              <w:spacing w:before="0" w:beforeAutospacing="0" w:after="0" w:afterAutospacing="0"/>
              <w:ind w:left="0" w:right="0"/>
              <w:rPr>
                <w:rFonts w:hint="default" w:ascii="Times New Roman" w:hAnsi="Times New Roman" w:eastAsia="宋体" w:cs="Times New Roman"/>
                <w:bCs/>
                <w:color w:val="auto"/>
                <w:spacing w:val="0"/>
                <w:position w:val="0"/>
                <w:sz w:val="24"/>
                <w:szCs w:val="24"/>
                <w:lang w:val="en-US" w:eastAsia="zh-CN"/>
              </w:rPr>
            </w:pPr>
            <w:r>
              <w:rPr>
                <w:rFonts w:hint="default" w:ascii="Times New Roman" w:hAnsi="Times New Roman" w:eastAsia="宋体" w:cs="Times New Roman"/>
                <w:bCs/>
                <w:color w:val="auto"/>
                <w:spacing w:val="0"/>
                <w:position w:val="0"/>
                <w:sz w:val="24"/>
                <w:szCs w:val="24"/>
              </w:rPr>
              <w:t>本次环评提出，本项目DSA机房建成后，建设单位应按照《放射性同位素与射线装置安全和防护管理办法》等相关管理要求委托有辐射水平监测资质的单位每年对DSA工作场所及其周围环境进行监测。</w:t>
            </w:r>
          </w:p>
          <w:p w14:paraId="5C28476B">
            <w:pPr>
              <w:keepNext w:val="0"/>
              <w:keepLines w:val="0"/>
              <w:suppressLineNumbers w:val="0"/>
              <w:tabs>
                <w:tab w:val="left" w:pos="1017"/>
              </w:tabs>
              <w:adjustRightInd w:val="0"/>
              <w:snapToGrid w:val="0"/>
              <w:spacing w:before="0" w:beforeAutospacing="0" w:after="0" w:afterAutospacing="0"/>
              <w:ind w:left="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（4）个人剂量监测与健康体检</w:t>
            </w:r>
          </w:p>
          <w:p w14:paraId="06F32876">
            <w:pPr>
              <w:keepNext w:val="0"/>
              <w:keepLines w:val="0"/>
              <w:widowControl/>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highlight w:val="none"/>
                <w:lang w:val="en-US" w:eastAsia="zh-CN"/>
              </w:rPr>
              <w:t>本项目DSA投入运行后，使用科室为肝胆科、介入科、心内科，各科室均从原有辐射工作人员中调配操作技师、介入手术医生和护士用于本项目手术操作，调配后同时参与各科室其他辐射工作，不参与其他科室辐射工作，本项目不新增辐射工作人员。曲靖市第二人民医院肝胆科、介入科、心内科</w:t>
            </w:r>
            <w:r>
              <w:rPr>
                <w:rFonts w:hint="default" w:ascii="Times New Roman" w:hAnsi="Times New Roman" w:eastAsia="宋体" w:cs="Times New Roman"/>
                <w:color w:val="auto"/>
                <w:spacing w:val="0"/>
                <w:position w:val="0"/>
                <w:highlight w:val="none"/>
              </w:rPr>
              <w:t>现有辐射工作人员</w:t>
            </w:r>
            <w:r>
              <w:rPr>
                <w:rFonts w:hint="default" w:ascii="Times New Roman" w:hAnsi="Times New Roman" w:eastAsia="宋体" w:cs="Times New Roman"/>
                <w:color w:val="auto"/>
                <w:spacing w:val="0"/>
                <w:position w:val="0"/>
                <w:highlight w:val="none"/>
                <w:lang w:val="en-US" w:eastAsia="zh-CN"/>
              </w:rPr>
              <w:t>共30</w:t>
            </w:r>
            <w:r>
              <w:rPr>
                <w:rFonts w:hint="default" w:ascii="Times New Roman" w:hAnsi="Times New Roman" w:eastAsia="宋体" w:cs="Times New Roman"/>
                <w:color w:val="auto"/>
                <w:spacing w:val="0"/>
                <w:position w:val="0"/>
                <w:highlight w:val="none"/>
              </w:rPr>
              <w:t>人，</w:t>
            </w:r>
            <w:r>
              <w:rPr>
                <w:rFonts w:hint="default" w:ascii="Times New Roman" w:hAnsi="Times New Roman" w:eastAsia="宋体" w:cs="Times New Roman"/>
                <w:color w:val="auto"/>
                <w:spacing w:val="0"/>
                <w:position w:val="0"/>
                <w:highlight w:val="none"/>
                <w:lang w:val="en-US" w:eastAsia="zh-CN"/>
              </w:rPr>
              <w:t>均已通过了核技术利用辐射安全与防护考核，医院</w:t>
            </w:r>
            <w:r>
              <w:rPr>
                <w:rFonts w:hint="default" w:ascii="Times New Roman" w:hAnsi="Times New Roman" w:eastAsia="宋体" w:cs="Times New Roman"/>
                <w:color w:val="auto"/>
                <w:spacing w:val="0"/>
                <w:position w:val="0"/>
                <w:highlight w:val="none"/>
              </w:rPr>
              <w:t>辐射工作人员均佩戴了个人剂量计，每季度对个人剂量计进行检测，并按照《职业性外照射个人监测规范》（GBZ128-2019）和《放射性同位素与射线装置安全和防护管理办法》（环境保护部令18号）要求建立个人剂量档案。</w:t>
            </w: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提供了20</w:t>
            </w:r>
            <w:r>
              <w:rPr>
                <w:rFonts w:hint="default" w:ascii="Times New Roman" w:hAnsi="Times New Roman" w:eastAsia="宋体" w:cs="Times New Roman"/>
                <w:color w:val="auto"/>
                <w:spacing w:val="0"/>
                <w:position w:val="0"/>
                <w:lang w:val="en-US" w:eastAsia="zh-CN"/>
              </w:rPr>
              <w:t>25</w:t>
            </w:r>
            <w:r>
              <w:rPr>
                <w:rFonts w:hint="default" w:ascii="Times New Roman" w:hAnsi="Times New Roman" w:eastAsia="宋体" w:cs="Times New Roman"/>
                <w:color w:val="auto"/>
                <w:spacing w:val="0"/>
                <w:position w:val="0"/>
              </w:rPr>
              <w:t>年</w:t>
            </w:r>
            <w:r>
              <w:rPr>
                <w:rFonts w:hint="default" w:ascii="Times New Roman" w:hAnsi="Times New Roman" w:eastAsia="宋体" w:cs="Times New Roman"/>
                <w:color w:val="auto"/>
                <w:spacing w:val="0"/>
                <w:position w:val="0"/>
                <w:lang w:val="en-US" w:eastAsia="zh-CN"/>
              </w:rPr>
              <w:t>第三季度～</w:t>
            </w:r>
            <w:r>
              <w:rPr>
                <w:rFonts w:hint="default" w:ascii="Times New Roman" w:hAnsi="Times New Roman" w:eastAsia="宋体" w:cs="Times New Roman"/>
                <w:color w:val="auto"/>
                <w:spacing w:val="0"/>
                <w:position w:val="0"/>
              </w:rPr>
              <w:t>202</w:t>
            </w:r>
            <w:r>
              <w:rPr>
                <w:rFonts w:hint="default" w:ascii="Times New Roman" w:hAnsi="Times New Roman" w:eastAsia="宋体" w:cs="Times New Roman"/>
                <w:color w:val="auto"/>
                <w:spacing w:val="0"/>
                <w:position w:val="0"/>
                <w:lang w:val="en-US" w:eastAsia="zh-CN"/>
              </w:rPr>
              <w:t>6</w:t>
            </w:r>
            <w:r>
              <w:rPr>
                <w:rFonts w:hint="default" w:ascii="Times New Roman" w:hAnsi="Times New Roman" w:eastAsia="宋体" w:cs="Times New Roman"/>
                <w:color w:val="auto"/>
                <w:spacing w:val="0"/>
                <w:position w:val="0"/>
              </w:rPr>
              <w:t>年</w:t>
            </w:r>
            <w:r>
              <w:rPr>
                <w:rFonts w:hint="default" w:ascii="Times New Roman" w:hAnsi="Times New Roman" w:eastAsia="宋体" w:cs="Times New Roman"/>
                <w:color w:val="auto"/>
                <w:spacing w:val="0"/>
                <w:position w:val="0"/>
                <w:lang w:val="en-US" w:eastAsia="zh-CN"/>
              </w:rPr>
              <w:t>第二季度</w:t>
            </w:r>
            <w:r>
              <w:rPr>
                <w:rFonts w:hint="default" w:ascii="Times New Roman" w:hAnsi="Times New Roman" w:eastAsia="宋体" w:cs="Times New Roman"/>
                <w:color w:val="auto"/>
                <w:spacing w:val="0"/>
                <w:position w:val="0"/>
              </w:rPr>
              <w:t>期间的</w:t>
            </w:r>
            <w:r>
              <w:rPr>
                <w:rFonts w:hint="default" w:ascii="Times New Roman" w:hAnsi="Times New Roman" w:eastAsia="宋体" w:cs="Times New Roman"/>
                <w:color w:val="auto"/>
                <w:spacing w:val="0"/>
                <w:position w:val="0"/>
                <w:lang w:val="en-US" w:eastAsia="zh-CN"/>
              </w:rPr>
              <w:t>肝胆科、介入科、心内科辐射工作人员</w:t>
            </w:r>
            <w:r>
              <w:rPr>
                <w:rFonts w:hint="default" w:ascii="Times New Roman" w:hAnsi="Times New Roman" w:eastAsia="宋体" w:cs="Times New Roman"/>
                <w:color w:val="auto"/>
                <w:spacing w:val="0"/>
                <w:position w:val="0"/>
              </w:rPr>
              <w:t>个人检测报告（见附件），</w:t>
            </w:r>
            <w:r>
              <w:rPr>
                <w:rFonts w:hint="default" w:ascii="Times New Roman" w:hAnsi="Times New Roman" w:eastAsia="宋体" w:cs="Times New Roman"/>
                <w:color w:val="auto"/>
                <w:spacing w:val="0"/>
                <w:position w:val="0"/>
                <w:lang w:val="en-US" w:eastAsia="zh-CN"/>
              </w:rPr>
              <w:t>因此本次收集的个人剂量监测周期为178～351天，</w:t>
            </w:r>
            <w:r>
              <w:rPr>
                <w:rFonts w:hint="default" w:ascii="Times New Roman" w:hAnsi="Times New Roman" w:eastAsia="宋体" w:cs="Times New Roman"/>
                <w:color w:val="auto"/>
                <w:spacing w:val="0"/>
                <w:position w:val="0"/>
              </w:rPr>
              <w:t>根据</w:t>
            </w:r>
            <w:r>
              <w:rPr>
                <w:rFonts w:hint="default" w:ascii="Times New Roman" w:hAnsi="Times New Roman" w:eastAsia="宋体" w:cs="Times New Roman"/>
                <w:color w:val="auto"/>
                <w:spacing w:val="0"/>
                <w:position w:val="0"/>
                <w:lang w:val="en-US" w:eastAsia="zh-CN"/>
              </w:rPr>
              <w:t>各科室</w:t>
            </w:r>
            <w:r>
              <w:rPr>
                <w:rFonts w:hint="default" w:ascii="Times New Roman" w:hAnsi="Times New Roman" w:eastAsia="宋体" w:cs="Times New Roman"/>
                <w:color w:val="auto"/>
                <w:spacing w:val="0"/>
                <w:position w:val="0"/>
              </w:rPr>
              <w:t>每位人员佩戴期间的天数及对应剂量按照365天进行折算，受检</w:t>
            </w:r>
            <w:r>
              <w:rPr>
                <w:rFonts w:hint="default" w:ascii="Times New Roman" w:hAnsi="Times New Roman" w:eastAsia="宋体" w:cs="Times New Roman"/>
                <w:color w:val="auto"/>
                <w:spacing w:val="0"/>
                <w:position w:val="0"/>
                <w:lang w:val="en-US" w:eastAsia="zh-CN"/>
              </w:rPr>
              <w:t>肝胆科</w:t>
            </w:r>
            <w:r>
              <w:rPr>
                <w:rFonts w:hint="default" w:ascii="Times New Roman" w:hAnsi="Times New Roman" w:eastAsia="宋体" w:cs="Times New Roman"/>
                <w:color w:val="auto"/>
                <w:spacing w:val="0"/>
                <w:position w:val="0"/>
              </w:rPr>
              <w:t>辐射工作人员年个人剂量当量</w:t>
            </w:r>
            <w:r>
              <w:rPr>
                <w:rFonts w:hint="default" w:ascii="Times New Roman" w:hAnsi="Times New Roman" w:eastAsia="宋体" w:cs="Times New Roman"/>
                <w:color w:val="auto"/>
                <w:spacing w:val="0"/>
                <w:position w:val="0"/>
                <w:highlight w:val="none"/>
              </w:rPr>
              <w:t>在</w:t>
            </w:r>
            <w:r>
              <w:rPr>
                <w:rFonts w:hint="default" w:ascii="Times New Roman" w:hAnsi="Times New Roman" w:eastAsia="宋体" w:cs="Times New Roman"/>
                <w:color w:val="auto"/>
                <w:spacing w:val="0"/>
                <w:position w:val="0"/>
                <w:highlight w:val="none"/>
                <w:lang w:val="en-US" w:eastAsia="zh-CN"/>
              </w:rPr>
              <w:t>0.114</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val="en-US" w:eastAsia="zh-CN"/>
              </w:rPr>
              <w:t>0.357</w:t>
            </w:r>
            <w:r>
              <w:rPr>
                <w:rFonts w:hint="default" w:ascii="Times New Roman" w:hAnsi="Times New Roman" w:eastAsia="宋体" w:cs="Times New Roman"/>
                <w:color w:val="auto"/>
                <w:spacing w:val="0"/>
                <w:position w:val="0"/>
                <w:highlight w:val="none"/>
              </w:rPr>
              <w:t>mSv/a</w:t>
            </w:r>
            <w:r>
              <w:rPr>
                <w:rFonts w:hint="default" w:ascii="Times New Roman" w:hAnsi="Times New Roman" w:eastAsia="宋体" w:cs="Times New Roman"/>
                <w:color w:val="auto"/>
                <w:spacing w:val="0"/>
                <w:position w:val="0"/>
                <w:highlight w:val="none"/>
                <w:lang w:eastAsia="zh-CN"/>
              </w:rPr>
              <w:t>，受检</w:t>
            </w:r>
            <w:r>
              <w:rPr>
                <w:rFonts w:hint="default" w:ascii="Times New Roman" w:hAnsi="Times New Roman" w:eastAsia="宋体" w:cs="Times New Roman"/>
                <w:color w:val="auto"/>
                <w:spacing w:val="0"/>
                <w:position w:val="0"/>
                <w:highlight w:val="none"/>
                <w:lang w:val="en-US" w:eastAsia="zh-CN"/>
              </w:rPr>
              <w:t>介入科</w:t>
            </w:r>
            <w:r>
              <w:rPr>
                <w:rFonts w:hint="default" w:ascii="Times New Roman" w:hAnsi="Times New Roman" w:eastAsia="宋体" w:cs="Times New Roman"/>
                <w:color w:val="auto"/>
                <w:spacing w:val="0"/>
                <w:position w:val="0"/>
                <w:highlight w:val="none"/>
                <w:lang w:eastAsia="zh-CN"/>
              </w:rPr>
              <w:t>辐射工作人员年个人剂量当量在</w:t>
            </w:r>
            <w:r>
              <w:rPr>
                <w:rFonts w:hint="default" w:ascii="Times New Roman" w:hAnsi="Times New Roman" w:eastAsia="宋体" w:cs="Times New Roman"/>
                <w:color w:val="auto"/>
                <w:spacing w:val="0"/>
                <w:position w:val="0"/>
                <w:highlight w:val="none"/>
                <w:lang w:val="en-US" w:eastAsia="zh-CN"/>
              </w:rPr>
              <w:t>0.05</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1.4</w:t>
            </w:r>
            <w:r>
              <w:rPr>
                <w:rFonts w:hint="default" w:ascii="Times New Roman" w:hAnsi="Times New Roman" w:eastAsia="宋体" w:cs="Times New Roman"/>
                <w:color w:val="auto"/>
                <w:spacing w:val="0"/>
                <w:position w:val="0"/>
                <w:highlight w:val="none"/>
                <w:lang w:eastAsia="zh-CN"/>
              </w:rPr>
              <w:t>mSv/a，受检</w:t>
            </w:r>
            <w:r>
              <w:rPr>
                <w:rFonts w:hint="default" w:ascii="Times New Roman" w:hAnsi="Times New Roman" w:eastAsia="宋体" w:cs="Times New Roman"/>
                <w:color w:val="auto"/>
                <w:spacing w:val="0"/>
                <w:position w:val="0"/>
                <w:highlight w:val="none"/>
                <w:lang w:val="en-US" w:eastAsia="zh-CN"/>
              </w:rPr>
              <w:t>介入科</w:t>
            </w:r>
            <w:r>
              <w:rPr>
                <w:rFonts w:hint="default" w:ascii="Times New Roman" w:hAnsi="Times New Roman" w:eastAsia="宋体" w:cs="Times New Roman"/>
                <w:color w:val="auto"/>
                <w:spacing w:val="0"/>
                <w:position w:val="0"/>
                <w:highlight w:val="none"/>
                <w:lang w:eastAsia="zh-CN"/>
              </w:rPr>
              <w:t>辐射工作人员年个人剂量当量在</w:t>
            </w:r>
            <w:r>
              <w:rPr>
                <w:rFonts w:hint="default" w:ascii="Times New Roman" w:hAnsi="Times New Roman" w:eastAsia="宋体" w:cs="Times New Roman"/>
                <w:color w:val="auto"/>
                <w:spacing w:val="0"/>
                <w:position w:val="0"/>
                <w:highlight w:val="none"/>
                <w:lang w:val="en-US" w:eastAsia="zh-CN"/>
              </w:rPr>
              <w:t>0.063</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0.287</w:t>
            </w:r>
            <w:r>
              <w:rPr>
                <w:rFonts w:hint="default" w:ascii="Times New Roman" w:hAnsi="Times New Roman" w:eastAsia="宋体" w:cs="Times New Roman"/>
                <w:color w:val="auto"/>
                <w:spacing w:val="0"/>
                <w:position w:val="0"/>
                <w:highlight w:val="none"/>
                <w:lang w:eastAsia="zh-CN"/>
              </w:rPr>
              <w:t>mSv/a</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rPr>
              <w:t>满足《云南省环保局关于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在辐射安全许可工作中确定电离项目辐射安全管理限值请示</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的复函》（云环函</w:t>
            </w:r>
            <w:r>
              <w:rPr>
                <w:rFonts w:hint="default" w:ascii="Times New Roman" w:hAnsi="Times New Roman" w:eastAsia="宋体" w:cs="Times New Roman"/>
                <w:color w:val="auto"/>
                <w:spacing w:val="0"/>
                <w:position w:val="0"/>
                <w:lang w:eastAsia="zh-CN"/>
              </w:rPr>
              <w:t>〔2006〕727号</w:t>
            </w:r>
            <w:r>
              <w:rPr>
                <w:rFonts w:hint="default" w:ascii="Times New Roman" w:hAnsi="Times New Roman" w:eastAsia="宋体" w:cs="Times New Roman"/>
                <w:color w:val="auto"/>
                <w:spacing w:val="0"/>
                <w:position w:val="0"/>
              </w:rPr>
              <w:t>）中的规定，单一项目取《电离辐射防护与辐射源安全基本标准》（GB18871-2002）的四分之一；即：职业照射个人受照剂量管理限值5mSv/a；没有个人剂量超标情况。现有</w:t>
            </w:r>
            <w:r>
              <w:rPr>
                <w:rFonts w:hint="default" w:ascii="Times New Roman" w:hAnsi="Times New Roman" w:eastAsia="宋体" w:cs="Times New Roman"/>
                <w:color w:val="auto"/>
                <w:spacing w:val="0"/>
                <w:position w:val="0"/>
                <w:lang w:val="en-US" w:eastAsia="zh-CN"/>
              </w:rPr>
              <w:t>肝胆科、介入科、心内科</w:t>
            </w:r>
            <w:r>
              <w:rPr>
                <w:rFonts w:hint="default" w:ascii="Times New Roman" w:hAnsi="Times New Roman" w:eastAsia="宋体" w:cs="Times New Roman"/>
                <w:color w:val="auto"/>
                <w:spacing w:val="0"/>
                <w:position w:val="0"/>
              </w:rPr>
              <w:t>辐射工作人员情况见表1-</w:t>
            </w:r>
            <w:r>
              <w:rPr>
                <w:rFonts w:hint="default" w:ascii="Times New Roman" w:hAnsi="Times New Roman" w:eastAsia="宋体" w:cs="Times New Roman"/>
                <w:color w:val="auto"/>
                <w:spacing w:val="0"/>
                <w:position w:val="0"/>
                <w:lang w:val="en-US" w:eastAsia="zh-CN"/>
              </w:rPr>
              <w:t>12</w:t>
            </w:r>
            <w:r>
              <w:rPr>
                <w:rFonts w:hint="default" w:ascii="Times New Roman" w:hAnsi="Times New Roman" w:eastAsia="宋体" w:cs="Times New Roman"/>
                <w:color w:val="auto"/>
                <w:spacing w:val="0"/>
                <w:position w:val="0"/>
              </w:rPr>
              <w:t>。</w:t>
            </w:r>
          </w:p>
          <w:p w14:paraId="51DB083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18"/>
                <w:vertAlign w:val="baseline"/>
              </w:rPr>
            </w:pPr>
            <w:r>
              <w:rPr>
                <w:rFonts w:hint="default" w:ascii="Times New Roman" w:hAnsi="Times New Roman" w:eastAsia="宋体" w:cs="Times New Roman"/>
                <w:b/>
                <w:color w:val="auto"/>
                <w:spacing w:val="0"/>
                <w:position w:val="0"/>
                <w:sz w:val="21"/>
                <w:szCs w:val="18"/>
              </w:rPr>
              <w:t>表1-</w:t>
            </w:r>
            <w:r>
              <w:rPr>
                <w:rFonts w:hint="default" w:ascii="Times New Roman" w:hAnsi="Times New Roman" w:eastAsia="宋体" w:cs="Times New Roman"/>
                <w:b/>
                <w:color w:val="auto"/>
                <w:spacing w:val="0"/>
                <w:position w:val="0"/>
                <w:sz w:val="21"/>
                <w:szCs w:val="18"/>
                <w:lang w:val="en-US" w:eastAsia="zh-CN"/>
              </w:rPr>
              <w:t xml:space="preserve">12 </w:t>
            </w:r>
            <w:r>
              <w:rPr>
                <w:rFonts w:hint="default" w:ascii="Times New Roman" w:hAnsi="Times New Roman" w:eastAsia="宋体" w:cs="Times New Roman"/>
                <w:b/>
                <w:color w:val="auto"/>
                <w:spacing w:val="0"/>
                <w:position w:val="0"/>
                <w:sz w:val="21"/>
                <w:szCs w:val="18"/>
              </w:rPr>
              <w:t>医院辐射工作人员受照剂量情况表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606"/>
              <w:gridCol w:w="1417"/>
              <w:gridCol w:w="1173"/>
              <w:gridCol w:w="1753"/>
              <w:gridCol w:w="1211"/>
              <w:gridCol w:w="1415"/>
              <w:gridCol w:w="701"/>
            </w:tblGrid>
            <w:tr w14:paraId="2A00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9C699FE">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序号</w:t>
                  </w:r>
                </w:p>
              </w:tc>
              <w:tc>
                <w:tcPr>
                  <w:tcW w:w="606" w:type="dxa"/>
                  <w:noWrap w:val="0"/>
                  <w:vAlign w:val="center"/>
                </w:tcPr>
                <w:p w14:paraId="16C672C3">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科室</w:t>
                  </w:r>
                </w:p>
              </w:tc>
              <w:tc>
                <w:tcPr>
                  <w:tcW w:w="1417" w:type="dxa"/>
                  <w:noWrap w:val="0"/>
                  <w:vAlign w:val="center"/>
                </w:tcPr>
                <w:p w14:paraId="1739CD99">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姓名</w:t>
                  </w:r>
                </w:p>
              </w:tc>
              <w:tc>
                <w:tcPr>
                  <w:tcW w:w="1173" w:type="dxa"/>
                  <w:noWrap w:val="0"/>
                  <w:vAlign w:val="center"/>
                </w:tcPr>
                <w:p w14:paraId="2B7B294C">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佩戴天数（天）</w:t>
                  </w:r>
                </w:p>
              </w:tc>
              <w:tc>
                <w:tcPr>
                  <w:tcW w:w="1753" w:type="dxa"/>
                  <w:noWrap w:val="0"/>
                  <w:vAlign w:val="center"/>
                </w:tcPr>
                <w:p w14:paraId="2B70F6BD">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检测个人剂量当量（mSv）</w:t>
                  </w:r>
                </w:p>
              </w:tc>
              <w:tc>
                <w:tcPr>
                  <w:tcW w:w="1211" w:type="dxa"/>
                  <w:noWrap w:val="0"/>
                  <w:vAlign w:val="center"/>
                </w:tcPr>
                <w:p w14:paraId="08403CFB">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折算天数（天）</w:t>
                  </w:r>
                </w:p>
              </w:tc>
              <w:tc>
                <w:tcPr>
                  <w:tcW w:w="1415" w:type="dxa"/>
                  <w:noWrap w:val="0"/>
                  <w:vAlign w:val="center"/>
                </w:tcPr>
                <w:p w14:paraId="5A69A839">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个人年剂量当量mSv/a</w:t>
                  </w:r>
                </w:p>
              </w:tc>
              <w:tc>
                <w:tcPr>
                  <w:tcW w:w="701" w:type="dxa"/>
                  <w:noWrap w:val="0"/>
                  <w:vAlign w:val="center"/>
                </w:tcPr>
                <w:p w14:paraId="2AB5F5B5">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达标情况</w:t>
                  </w:r>
                </w:p>
              </w:tc>
            </w:tr>
            <w:tr w14:paraId="3B66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A01B361">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restart"/>
                  <w:noWrap w:val="0"/>
                  <w:vAlign w:val="center"/>
                </w:tcPr>
                <w:p w14:paraId="341CF070">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肝胆科</w:t>
                  </w:r>
                </w:p>
              </w:tc>
              <w:tc>
                <w:tcPr>
                  <w:tcW w:w="1417" w:type="dxa"/>
                  <w:noWrap w:val="0"/>
                  <w:vAlign w:val="center"/>
                </w:tcPr>
                <w:p w14:paraId="1324FB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张谦</w:t>
                  </w:r>
                </w:p>
              </w:tc>
              <w:tc>
                <w:tcPr>
                  <w:tcW w:w="1173" w:type="dxa"/>
                  <w:noWrap w:val="0"/>
                  <w:vAlign w:val="center"/>
                </w:tcPr>
                <w:p w14:paraId="22CB84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3E548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0.343</w:t>
                  </w:r>
                </w:p>
              </w:tc>
              <w:tc>
                <w:tcPr>
                  <w:tcW w:w="1211" w:type="dxa"/>
                  <w:noWrap w:val="0"/>
                  <w:vAlign w:val="center"/>
                </w:tcPr>
                <w:p w14:paraId="0385EB7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5C1FB3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0.357</w:t>
                  </w:r>
                </w:p>
              </w:tc>
              <w:tc>
                <w:tcPr>
                  <w:tcW w:w="701" w:type="dxa"/>
                  <w:noWrap w:val="0"/>
                  <w:vAlign w:val="center"/>
                </w:tcPr>
                <w:p w14:paraId="498B5072">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26E6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1FABC16C">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05D2E0B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572B2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蒋艳艳</w:t>
                  </w:r>
                </w:p>
              </w:tc>
              <w:tc>
                <w:tcPr>
                  <w:tcW w:w="1173" w:type="dxa"/>
                  <w:noWrap w:val="0"/>
                  <w:vAlign w:val="center"/>
                </w:tcPr>
                <w:p w14:paraId="4E4EC4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7A80E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0.137</w:t>
                  </w:r>
                </w:p>
              </w:tc>
              <w:tc>
                <w:tcPr>
                  <w:tcW w:w="1211" w:type="dxa"/>
                  <w:noWrap w:val="0"/>
                  <w:vAlign w:val="center"/>
                </w:tcPr>
                <w:p w14:paraId="6866752C">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149328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0.142</w:t>
                  </w:r>
                </w:p>
              </w:tc>
              <w:tc>
                <w:tcPr>
                  <w:tcW w:w="701" w:type="dxa"/>
                  <w:noWrap w:val="0"/>
                  <w:vAlign w:val="center"/>
                </w:tcPr>
                <w:p w14:paraId="1052E72C">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4DB3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81A921B">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2DCD981C">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5B3D21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范春艳</w:t>
                  </w:r>
                </w:p>
              </w:tc>
              <w:tc>
                <w:tcPr>
                  <w:tcW w:w="1173" w:type="dxa"/>
                  <w:noWrap w:val="0"/>
                  <w:vAlign w:val="center"/>
                </w:tcPr>
                <w:p w14:paraId="47F33A9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34D9A1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0.110</w:t>
                  </w:r>
                </w:p>
              </w:tc>
              <w:tc>
                <w:tcPr>
                  <w:tcW w:w="1211" w:type="dxa"/>
                  <w:noWrap w:val="0"/>
                  <w:vAlign w:val="center"/>
                </w:tcPr>
                <w:p w14:paraId="78C116AA">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26BC89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0.114</w:t>
                  </w:r>
                </w:p>
              </w:tc>
              <w:tc>
                <w:tcPr>
                  <w:tcW w:w="701" w:type="dxa"/>
                  <w:noWrap w:val="0"/>
                  <w:vAlign w:val="center"/>
                </w:tcPr>
                <w:p w14:paraId="5BA84765">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6452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7497B12E">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29227237">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21A7B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陈飞</w:t>
                  </w:r>
                </w:p>
              </w:tc>
              <w:tc>
                <w:tcPr>
                  <w:tcW w:w="1173" w:type="dxa"/>
                  <w:noWrap w:val="0"/>
                  <w:vAlign w:val="center"/>
                </w:tcPr>
                <w:p w14:paraId="1416D9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0D3FBF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0.133</w:t>
                  </w:r>
                </w:p>
              </w:tc>
              <w:tc>
                <w:tcPr>
                  <w:tcW w:w="1211" w:type="dxa"/>
                  <w:noWrap w:val="0"/>
                  <w:vAlign w:val="center"/>
                </w:tcPr>
                <w:p w14:paraId="4DF25049">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1D4482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0.138</w:t>
                  </w:r>
                </w:p>
              </w:tc>
              <w:tc>
                <w:tcPr>
                  <w:tcW w:w="701" w:type="dxa"/>
                  <w:noWrap w:val="0"/>
                  <w:vAlign w:val="center"/>
                </w:tcPr>
                <w:p w14:paraId="2ADF2BC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30E0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6929A14C">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73A3EE2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7FB60F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蔡金益</w:t>
                  </w:r>
                </w:p>
              </w:tc>
              <w:tc>
                <w:tcPr>
                  <w:tcW w:w="1173" w:type="dxa"/>
                  <w:noWrap w:val="0"/>
                  <w:vAlign w:val="center"/>
                </w:tcPr>
                <w:p w14:paraId="3D4BA5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2C520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0.124</w:t>
                  </w:r>
                </w:p>
              </w:tc>
              <w:tc>
                <w:tcPr>
                  <w:tcW w:w="1211" w:type="dxa"/>
                  <w:noWrap w:val="0"/>
                  <w:vAlign w:val="center"/>
                </w:tcPr>
                <w:p w14:paraId="0E587B9D">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45FFF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0.129</w:t>
                  </w:r>
                </w:p>
              </w:tc>
              <w:tc>
                <w:tcPr>
                  <w:tcW w:w="701" w:type="dxa"/>
                  <w:noWrap w:val="0"/>
                  <w:vAlign w:val="center"/>
                </w:tcPr>
                <w:p w14:paraId="0BCB80C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613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FD98106">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restart"/>
                  <w:noWrap w:val="0"/>
                  <w:vAlign w:val="center"/>
                </w:tcPr>
                <w:p w14:paraId="0935B31E">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介入科</w:t>
                  </w:r>
                </w:p>
              </w:tc>
              <w:tc>
                <w:tcPr>
                  <w:tcW w:w="1417" w:type="dxa"/>
                  <w:noWrap w:val="0"/>
                  <w:vAlign w:val="center"/>
                </w:tcPr>
                <w:p w14:paraId="0860E6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任洪</w:t>
                  </w:r>
                </w:p>
              </w:tc>
              <w:tc>
                <w:tcPr>
                  <w:tcW w:w="1173" w:type="dxa"/>
                  <w:noWrap w:val="0"/>
                  <w:vAlign w:val="center"/>
                </w:tcPr>
                <w:p w14:paraId="21BDB3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25B36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1.345</w:t>
                  </w:r>
                </w:p>
              </w:tc>
              <w:tc>
                <w:tcPr>
                  <w:tcW w:w="1211" w:type="dxa"/>
                  <w:noWrap w:val="0"/>
                  <w:vAlign w:val="center"/>
                </w:tcPr>
                <w:p w14:paraId="7708F981">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76603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1.399</w:t>
                  </w:r>
                </w:p>
              </w:tc>
              <w:tc>
                <w:tcPr>
                  <w:tcW w:w="701" w:type="dxa"/>
                  <w:noWrap w:val="0"/>
                  <w:vAlign w:val="center"/>
                </w:tcPr>
                <w:p w14:paraId="16A8F434">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5547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055E9B91">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0476CFD8">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54B10A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晏明鹏</w:t>
                  </w:r>
                </w:p>
              </w:tc>
              <w:tc>
                <w:tcPr>
                  <w:tcW w:w="1173" w:type="dxa"/>
                  <w:noWrap w:val="0"/>
                  <w:vAlign w:val="center"/>
                </w:tcPr>
                <w:p w14:paraId="20F236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229AD4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0.192</w:t>
                  </w:r>
                </w:p>
              </w:tc>
              <w:tc>
                <w:tcPr>
                  <w:tcW w:w="1211" w:type="dxa"/>
                  <w:noWrap w:val="0"/>
                  <w:vAlign w:val="center"/>
                </w:tcPr>
                <w:p w14:paraId="73E32B3B">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1CC137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0.200</w:t>
                  </w:r>
                </w:p>
              </w:tc>
              <w:tc>
                <w:tcPr>
                  <w:tcW w:w="701" w:type="dxa"/>
                  <w:noWrap w:val="0"/>
                  <w:vAlign w:val="center"/>
                </w:tcPr>
                <w:p w14:paraId="2D7C3D9A">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11A8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3DFBAB48">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4243A21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78B1F1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周兵</w:t>
                  </w:r>
                </w:p>
              </w:tc>
              <w:tc>
                <w:tcPr>
                  <w:tcW w:w="1173" w:type="dxa"/>
                  <w:noWrap w:val="0"/>
                  <w:vAlign w:val="center"/>
                </w:tcPr>
                <w:p w14:paraId="37CCEE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2FA8EA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0.272</w:t>
                  </w:r>
                </w:p>
              </w:tc>
              <w:tc>
                <w:tcPr>
                  <w:tcW w:w="1211" w:type="dxa"/>
                  <w:noWrap w:val="0"/>
                  <w:vAlign w:val="center"/>
                </w:tcPr>
                <w:p w14:paraId="3E80590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42E70A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0.283</w:t>
                  </w:r>
                </w:p>
              </w:tc>
              <w:tc>
                <w:tcPr>
                  <w:tcW w:w="701" w:type="dxa"/>
                  <w:noWrap w:val="0"/>
                  <w:vAlign w:val="center"/>
                </w:tcPr>
                <w:p w14:paraId="1A8C849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4E39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6D5873F">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0ADD1334">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7B274C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郭乔梅</w:t>
                  </w:r>
                </w:p>
              </w:tc>
              <w:tc>
                <w:tcPr>
                  <w:tcW w:w="1173" w:type="dxa"/>
                  <w:noWrap w:val="0"/>
                  <w:vAlign w:val="center"/>
                </w:tcPr>
                <w:p w14:paraId="20777B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6DDE73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0.101</w:t>
                  </w:r>
                </w:p>
              </w:tc>
              <w:tc>
                <w:tcPr>
                  <w:tcW w:w="1211" w:type="dxa"/>
                  <w:noWrap w:val="0"/>
                  <w:vAlign w:val="center"/>
                </w:tcPr>
                <w:p w14:paraId="305505FE">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4B9AB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0.105</w:t>
                  </w:r>
                </w:p>
              </w:tc>
              <w:tc>
                <w:tcPr>
                  <w:tcW w:w="701" w:type="dxa"/>
                  <w:noWrap w:val="0"/>
                  <w:vAlign w:val="center"/>
                </w:tcPr>
                <w:p w14:paraId="6E85EA12">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2072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0BC97FB6">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07A0587A">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7A6F3D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秦翠华</w:t>
                  </w:r>
                </w:p>
              </w:tc>
              <w:tc>
                <w:tcPr>
                  <w:tcW w:w="1173" w:type="dxa"/>
                  <w:noWrap w:val="0"/>
                  <w:vAlign w:val="center"/>
                </w:tcPr>
                <w:p w14:paraId="3BCF2C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5B3DB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0.072</w:t>
                  </w:r>
                </w:p>
              </w:tc>
              <w:tc>
                <w:tcPr>
                  <w:tcW w:w="1211" w:type="dxa"/>
                  <w:noWrap w:val="0"/>
                  <w:vAlign w:val="center"/>
                </w:tcPr>
                <w:p w14:paraId="4BF738AC">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65DCA8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0.075</w:t>
                  </w:r>
                </w:p>
              </w:tc>
              <w:tc>
                <w:tcPr>
                  <w:tcW w:w="701" w:type="dxa"/>
                  <w:noWrap w:val="0"/>
                  <w:vAlign w:val="center"/>
                </w:tcPr>
                <w:p w14:paraId="71A5B562">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728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2B02D6FD">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4282290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715B78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黄莉琼</w:t>
                  </w:r>
                </w:p>
              </w:tc>
              <w:tc>
                <w:tcPr>
                  <w:tcW w:w="1173" w:type="dxa"/>
                  <w:noWrap w:val="0"/>
                  <w:vAlign w:val="center"/>
                </w:tcPr>
                <w:p w14:paraId="6179DD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7619FE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0.131</w:t>
                  </w:r>
                </w:p>
              </w:tc>
              <w:tc>
                <w:tcPr>
                  <w:tcW w:w="1211" w:type="dxa"/>
                  <w:noWrap w:val="0"/>
                  <w:vAlign w:val="center"/>
                </w:tcPr>
                <w:p w14:paraId="5A36F105">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55A723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0.136</w:t>
                  </w:r>
                </w:p>
              </w:tc>
              <w:tc>
                <w:tcPr>
                  <w:tcW w:w="701" w:type="dxa"/>
                  <w:noWrap w:val="0"/>
                  <w:vAlign w:val="center"/>
                </w:tcPr>
                <w:p w14:paraId="22F768B7">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2DA2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45134A5">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3F722600">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361888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岳朋瑞</w:t>
                  </w:r>
                </w:p>
              </w:tc>
              <w:tc>
                <w:tcPr>
                  <w:tcW w:w="1173" w:type="dxa"/>
                  <w:noWrap w:val="0"/>
                  <w:vAlign w:val="center"/>
                </w:tcPr>
                <w:p w14:paraId="04A650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0BAF2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0.048</w:t>
                  </w:r>
                </w:p>
              </w:tc>
              <w:tc>
                <w:tcPr>
                  <w:tcW w:w="1211" w:type="dxa"/>
                  <w:noWrap w:val="0"/>
                  <w:vAlign w:val="center"/>
                </w:tcPr>
                <w:p w14:paraId="53665A0E">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27AF7D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0.050</w:t>
                  </w:r>
                </w:p>
              </w:tc>
              <w:tc>
                <w:tcPr>
                  <w:tcW w:w="701" w:type="dxa"/>
                  <w:noWrap w:val="0"/>
                  <w:vAlign w:val="center"/>
                </w:tcPr>
                <w:p w14:paraId="02CEF291">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2501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24A2900C">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2570134E">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7438B2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林毅</w:t>
                  </w:r>
                </w:p>
              </w:tc>
              <w:tc>
                <w:tcPr>
                  <w:tcW w:w="1173" w:type="dxa"/>
                  <w:noWrap w:val="0"/>
                  <w:vAlign w:val="center"/>
                </w:tcPr>
                <w:p w14:paraId="4EB721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34EA84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0.066</w:t>
                  </w:r>
                </w:p>
              </w:tc>
              <w:tc>
                <w:tcPr>
                  <w:tcW w:w="1211" w:type="dxa"/>
                  <w:noWrap w:val="0"/>
                  <w:vAlign w:val="center"/>
                </w:tcPr>
                <w:p w14:paraId="3D11E54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5D5EC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0.069</w:t>
                  </w:r>
                </w:p>
              </w:tc>
              <w:tc>
                <w:tcPr>
                  <w:tcW w:w="701" w:type="dxa"/>
                  <w:noWrap w:val="0"/>
                  <w:vAlign w:val="center"/>
                </w:tcPr>
                <w:p w14:paraId="371EE7F2">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A03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23F47E21">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48C746AB">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065FB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卢丹</w:t>
                  </w:r>
                </w:p>
              </w:tc>
              <w:tc>
                <w:tcPr>
                  <w:tcW w:w="1173" w:type="dxa"/>
                  <w:noWrap w:val="0"/>
                  <w:vAlign w:val="center"/>
                </w:tcPr>
                <w:p w14:paraId="6A5A86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1AF8D7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0.071</w:t>
                  </w:r>
                </w:p>
              </w:tc>
              <w:tc>
                <w:tcPr>
                  <w:tcW w:w="1211" w:type="dxa"/>
                  <w:noWrap w:val="0"/>
                  <w:vAlign w:val="center"/>
                </w:tcPr>
                <w:p w14:paraId="76607DC1">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07C621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0.074</w:t>
                  </w:r>
                </w:p>
              </w:tc>
              <w:tc>
                <w:tcPr>
                  <w:tcW w:w="701" w:type="dxa"/>
                  <w:noWrap w:val="0"/>
                  <w:vAlign w:val="center"/>
                </w:tcPr>
                <w:p w14:paraId="17AB4F47">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6995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70806729">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7A8A63D5">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095CFE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张辉</w:t>
                  </w:r>
                </w:p>
              </w:tc>
              <w:tc>
                <w:tcPr>
                  <w:tcW w:w="1173" w:type="dxa"/>
                  <w:noWrap w:val="0"/>
                  <w:vAlign w:val="center"/>
                </w:tcPr>
                <w:p w14:paraId="094EF7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140E44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0.084</w:t>
                  </w:r>
                </w:p>
              </w:tc>
              <w:tc>
                <w:tcPr>
                  <w:tcW w:w="1211" w:type="dxa"/>
                  <w:noWrap w:val="0"/>
                  <w:vAlign w:val="center"/>
                </w:tcPr>
                <w:p w14:paraId="35AAA209">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33AA24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0.087</w:t>
                  </w:r>
                </w:p>
              </w:tc>
              <w:tc>
                <w:tcPr>
                  <w:tcW w:w="701" w:type="dxa"/>
                  <w:noWrap w:val="0"/>
                  <w:vAlign w:val="center"/>
                </w:tcPr>
                <w:p w14:paraId="23261B3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5FE2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0EE7CB49">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52F9A3CF">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4B0D58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王瑞东</w:t>
                  </w:r>
                </w:p>
              </w:tc>
              <w:tc>
                <w:tcPr>
                  <w:tcW w:w="1173" w:type="dxa"/>
                  <w:noWrap w:val="0"/>
                  <w:vAlign w:val="center"/>
                </w:tcPr>
                <w:p w14:paraId="258CD6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1A685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0.210</w:t>
                  </w:r>
                </w:p>
              </w:tc>
              <w:tc>
                <w:tcPr>
                  <w:tcW w:w="1211" w:type="dxa"/>
                  <w:noWrap w:val="0"/>
                  <w:vAlign w:val="center"/>
                </w:tcPr>
                <w:p w14:paraId="63CBB6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519E85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0.218</w:t>
                  </w:r>
                </w:p>
              </w:tc>
              <w:tc>
                <w:tcPr>
                  <w:tcW w:w="701" w:type="dxa"/>
                  <w:noWrap w:val="0"/>
                  <w:vAlign w:val="center"/>
                </w:tcPr>
                <w:p w14:paraId="662651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4F71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344FBD0">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5B7C5BC4">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5DC38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张开斌</w:t>
                  </w:r>
                </w:p>
              </w:tc>
              <w:tc>
                <w:tcPr>
                  <w:tcW w:w="1173" w:type="dxa"/>
                  <w:noWrap w:val="0"/>
                  <w:vAlign w:val="center"/>
                </w:tcPr>
                <w:p w14:paraId="464EB1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2F2DBB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0.054</w:t>
                  </w:r>
                </w:p>
              </w:tc>
              <w:tc>
                <w:tcPr>
                  <w:tcW w:w="1211" w:type="dxa"/>
                  <w:noWrap w:val="0"/>
                  <w:vAlign w:val="center"/>
                </w:tcPr>
                <w:p w14:paraId="286690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010FC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0.056</w:t>
                  </w:r>
                </w:p>
              </w:tc>
              <w:tc>
                <w:tcPr>
                  <w:tcW w:w="701" w:type="dxa"/>
                  <w:noWrap w:val="0"/>
                  <w:vAlign w:val="center"/>
                </w:tcPr>
                <w:p w14:paraId="3B3579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73E3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E51FA72">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5B29AAD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16FEBB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张红喜</w:t>
                  </w:r>
                </w:p>
              </w:tc>
              <w:tc>
                <w:tcPr>
                  <w:tcW w:w="1173" w:type="dxa"/>
                  <w:noWrap w:val="0"/>
                  <w:vAlign w:val="center"/>
                </w:tcPr>
                <w:p w14:paraId="69181C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371B65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0.074</w:t>
                  </w:r>
                </w:p>
              </w:tc>
              <w:tc>
                <w:tcPr>
                  <w:tcW w:w="1211" w:type="dxa"/>
                  <w:noWrap w:val="0"/>
                  <w:vAlign w:val="center"/>
                </w:tcPr>
                <w:p w14:paraId="722EDB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5A8535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0.077</w:t>
                  </w:r>
                </w:p>
              </w:tc>
              <w:tc>
                <w:tcPr>
                  <w:tcW w:w="701" w:type="dxa"/>
                  <w:noWrap w:val="0"/>
                  <w:vAlign w:val="center"/>
                </w:tcPr>
                <w:p w14:paraId="501D6F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7AD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3BED2B72">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4EABE7F0">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43D6F6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陈俊廷</w:t>
                  </w:r>
                </w:p>
              </w:tc>
              <w:tc>
                <w:tcPr>
                  <w:tcW w:w="1173" w:type="dxa"/>
                  <w:noWrap w:val="0"/>
                  <w:vAlign w:val="center"/>
                </w:tcPr>
                <w:p w14:paraId="10F6BA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6D4E14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0.113</w:t>
                  </w:r>
                </w:p>
              </w:tc>
              <w:tc>
                <w:tcPr>
                  <w:tcW w:w="1211" w:type="dxa"/>
                  <w:noWrap w:val="0"/>
                  <w:vAlign w:val="center"/>
                </w:tcPr>
                <w:p w14:paraId="51990C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699050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0.118</w:t>
                  </w:r>
                </w:p>
              </w:tc>
              <w:tc>
                <w:tcPr>
                  <w:tcW w:w="701" w:type="dxa"/>
                  <w:noWrap w:val="0"/>
                  <w:vAlign w:val="center"/>
                </w:tcPr>
                <w:p w14:paraId="1862B28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5D44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4705FB47">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7FE32F05">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2D8CE0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王茂生</w:t>
                  </w:r>
                </w:p>
              </w:tc>
              <w:tc>
                <w:tcPr>
                  <w:tcW w:w="1173" w:type="dxa"/>
                  <w:noWrap w:val="0"/>
                  <w:vAlign w:val="center"/>
                </w:tcPr>
                <w:p w14:paraId="055CD1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3CD4F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0.560</w:t>
                  </w:r>
                </w:p>
              </w:tc>
              <w:tc>
                <w:tcPr>
                  <w:tcW w:w="1211" w:type="dxa"/>
                  <w:noWrap w:val="0"/>
                  <w:vAlign w:val="center"/>
                </w:tcPr>
                <w:p w14:paraId="1DB4DE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15BAB7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0.582</w:t>
                  </w:r>
                </w:p>
              </w:tc>
              <w:tc>
                <w:tcPr>
                  <w:tcW w:w="701" w:type="dxa"/>
                  <w:noWrap w:val="0"/>
                  <w:vAlign w:val="center"/>
                </w:tcPr>
                <w:p w14:paraId="7DCA6F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366D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1651581B">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523BF684">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5D77A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罗淦</w:t>
                  </w:r>
                </w:p>
              </w:tc>
              <w:tc>
                <w:tcPr>
                  <w:tcW w:w="1173" w:type="dxa"/>
                  <w:noWrap w:val="0"/>
                  <w:vAlign w:val="center"/>
                </w:tcPr>
                <w:p w14:paraId="28BDCB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108927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0.966</w:t>
                  </w:r>
                </w:p>
              </w:tc>
              <w:tc>
                <w:tcPr>
                  <w:tcW w:w="1211" w:type="dxa"/>
                  <w:noWrap w:val="0"/>
                  <w:vAlign w:val="center"/>
                </w:tcPr>
                <w:p w14:paraId="60AD34B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315A08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1.005</w:t>
                  </w:r>
                </w:p>
              </w:tc>
              <w:tc>
                <w:tcPr>
                  <w:tcW w:w="701" w:type="dxa"/>
                  <w:noWrap w:val="0"/>
                  <w:vAlign w:val="center"/>
                </w:tcPr>
                <w:p w14:paraId="6E2D95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36D4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66B9BA7C">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7899E404">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19533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王栋颖</w:t>
                  </w:r>
                </w:p>
              </w:tc>
              <w:tc>
                <w:tcPr>
                  <w:tcW w:w="1173" w:type="dxa"/>
                  <w:noWrap w:val="0"/>
                  <w:vAlign w:val="center"/>
                </w:tcPr>
                <w:p w14:paraId="39D29B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0B9F6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0.050</w:t>
                  </w:r>
                </w:p>
              </w:tc>
              <w:tc>
                <w:tcPr>
                  <w:tcW w:w="1211" w:type="dxa"/>
                  <w:noWrap w:val="0"/>
                  <w:vAlign w:val="center"/>
                </w:tcPr>
                <w:p w14:paraId="7467B9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6DCCC4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0.052</w:t>
                  </w:r>
                </w:p>
              </w:tc>
              <w:tc>
                <w:tcPr>
                  <w:tcW w:w="701" w:type="dxa"/>
                  <w:noWrap w:val="0"/>
                  <w:vAlign w:val="center"/>
                </w:tcPr>
                <w:p w14:paraId="086B5A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415B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03994AC1">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592A9830">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097450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王伟</w:t>
                  </w:r>
                </w:p>
              </w:tc>
              <w:tc>
                <w:tcPr>
                  <w:tcW w:w="1173" w:type="dxa"/>
                  <w:noWrap w:val="0"/>
                  <w:vAlign w:val="center"/>
                </w:tcPr>
                <w:p w14:paraId="5FCF97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5A6EAF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0.179</w:t>
                  </w:r>
                </w:p>
              </w:tc>
              <w:tc>
                <w:tcPr>
                  <w:tcW w:w="1211" w:type="dxa"/>
                  <w:noWrap w:val="0"/>
                  <w:vAlign w:val="center"/>
                </w:tcPr>
                <w:p w14:paraId="7121F0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113A23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0.186</w:t>
                  </w:r>
                </w:p>
              </w:tc>
              <w:tc>
                <w:tcPr>
                  <w:tcW w:w="701" w:type="dxa"/>
                  <w:noWrap w:val="0"/>
                  <w:vAlign w:val="center"/>
                </w:tcPr>
                <w:p w14:paraId="413F0A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ED6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7C64AF3B">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77C66084">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214576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王江辉</w:t>
                  </w:r>
                </w:p>
              </w:tc>
              <w:tc>
                <w:tcPr>
                  <w:tcW w:w="1173" w:type="dxa"/>
                  <w:noWrap w:val="0"/>
                  <w:vAlign w:val="center"/>
                </w:tcPr>
                <w:p w14:paraId="3F55C3B7">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178</w:t>
                  </w:r>
                </w:p>
              </w:tc>
              <w:tc>
                <w:tcPr>
                  <w:tcW w:w="1753" w:type="dxa"/>
                  <w:noWrap w:val="0"/>
                  <w:vAlign w:val="center"/>
                </w:tcPr>
                <w:p w14:paraId="073E96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0.058</w:t>
                  </w:r>
                </w:p>
              </w:tc>
              <w:tc>
                <w:tcPr>
                  <w:tcW w:w="1211" w:type="dxa"/>
                  <w:noWrap w:val="0"/>
                  <w:vAlign w:val="center"/>
                </w:tcPr>
                <w:p w14:paraId="3C6FFD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4A547F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0.119</w:t>
                  </w:r>
                </w:p>
              </w:tc>
              <w:tc>
                <w:tcPr>
                  <w:tcW w:w="701" w:type="dxa"/>
                  <w:noWrap w:val="0"/>
                  <w:vAlign w:val="center"/>
                </w:tcPr>
                <w:p w14:paraId="6CF3D5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2D5F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3D592B41">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restart"/>
                  <w:noWrap w:val="0"/>
                  <w:vAlign w:val="center"/>
                </w:tcPr>
                <w:p w14:paraId="7C36D33A">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心内科</w:t>
                  </w:r>
                </w:p>
              </w:tc>
              <w:tc>
                <w:tcPr>
                  <w:tcW w:w="1417" w:type="dxa"/>
                  <w:noWrap w:val="0"/>
                  <w:vAlign w:val="center"/>
                </w:tcPr>
                <w:p w14:paraId="1AA709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杨绍波</w:t>
                  </w:r>
                </w:p>
              </w:tc>
              <w:tc>
                <w:tcPr>
                  <w:tcW w:w="1173" w:type="dxa"/>
                  <w:noWrap w:val="0"/>
                  <w:vAlign w:val="center"/>
                </w:tcPr>
                <w:p w14:paraId="19A70F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42704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0.246</w:t>
                  </w:r>
                </w:p>
              </w:tc>
              <w:tc>
                <w:tcPr>
                  <w:tcW w:w="1211" w:type="dxa"/>
                  <w:noWrap w:val="0"/>
                  <w:vAlign w:val="center"/>
                </w:tcPr>
                <w:p w14:paraId="56E102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186DD9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0.256</w:t>
                  </w:r>
                </w:p>
              </w:tc>
              <w:tc>
                <w:tcPr>
                  <w:tcW w:w="701" w:type="dxa"/>
                  <w:noWrap w:val="0"/>
                  <w:vAlign w:val="center"/>
                </w:tcPr>
                <w:p w14:paraId="224F8B8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706D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58CB3756">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73F6ED96">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3EB4DD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王政权</w:t>
                  </w:r>
                </w:p>
              </w:tc>
              <w:tc>
                <w:tcPr>
                  <w:tcW w:w="1173" w:type="dxa"/>
                  <w:noWrap w:val="0"/>
                  <w:vAlign w:val="center"/>
                </w:tcPr>
                <w:p w14:paraId="11E565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776433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0.254</w:t>
                  </w:r>
                </w:p>
              </w:tc>
              <w:tc>
                <w:tcPr>
                  <w:tcW w:w="1211" w:type="dxa"/>
                  <w:noWrap w:val="0"/>
                  <w:vAlign w:val="center"/>
                </w:tcPr>
                <w:p w14:paraId="2F4DBB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35409D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0.264</w:t>
                  </w:r>
                </w:p>
              </w:tc>
              <w:tc>
                <w:tcPr>
                  <w:tcW w:w="701" w:type="dxa"/>
                  <w:noWrap w:val="0"/>
                  <w:vAlign w:val="center"/>
                </w:tcPr>
                <w:p w14:paraId="44AA12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17C83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6BB3F3AD">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50B497C1">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0883B9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秦绍曦</w:t>
                  </w:r>
                </w:p>
              </w:tc>
              <w:tc>
                <w:tcPr>
                  <w:tcW w:w="1173" w:type="dxa"/>
                  <w:noWrap w:val="0"/>
                  <w:vAlign w:val="center"/>
                </w:tcPr>
                <w:p w14:paraId="401ECF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08FAAE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0.276</w:t>
                  </w:r>
                </w:p>
              </w:tc>
              <w:tc>
                <w:tcPr>
                  <w:tcW w:w="1211" w:type="dxa"/>
                  <w:noWrap w:val="0"/>
                  <w:vAlign w:val="center"/>
                </w:tcPr>
                <w:p w14:paraId="6F0297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5DD21D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0.287</w:t>
                  </w:r>
                </w:p>
              </w:tc>
              <w:tc>
                <w:tcPr>
                  <w:tcW w:w="701" w:type="dxa"/>
                  <w:noWrap w:val="0"/>
                  <w:vAlign w:val="center"/>
                </w:tcPr>
                <w:p w14:paraId="08B2BB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2374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724C0477">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6A0EC78B">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26A1B5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李文屏</w:t>
                  </w:r>
                </w:p>
              </w:tc>
              <w:tc>
                <w:tcPr>
                  <w:tcW w:w="1173" w:type="dxa"/>
                  <w:noWrap w:val="0"/>
                  <w:vAlign w:val="center"/>
                </w:tcPr>
                <w:p w14:paraId="485EDF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57C81D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0.061</w:t>
                  </w:r>
                </w:p>
              </w:tc>
              <w:tc>
                <w:tcPr>
                  <w:tcW w:w="1211" w:type="dxa"/>
                  <w:noWrap w:val="0"/>
                  <w:vAlign w:val="center"/>
                </w:tcPr>
                <w:p w14:paraId="31A846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7D8C35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0.063</w:t>
                  </w:r>
                </w:p>
              </w:tc>
              <w:tc>
                <w:tcPr>
                  <w:tcW w:w="701" w:type="dxa"/>
                  <w:noWrap w:val="0"/>
                  <w:vAlign w:val="center"/>
                </w:tcPr>
                <w:p w14:paraId="5AF3C3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6D8B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36322785">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30D17530">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5F8ED9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张敏</w:t>
                  </w:r>
                </w:p>
              </w:tc>
              <w:tc>
                <w:tcPr>
                  <w:tcW w:w="1173" w:type="dxa"/>
                  <w:noWrap w:val="0"/>
                  <w:vAlign w:val="center"/>
                </w:tcPr>
                <w:p w14:paraId="55CB06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6ED101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0.092</w:t>
                  </w:r>
                </w:p>
              </w:tc>
              <w:tc>
                <w:tcPr>
                  <w:tcW w:w="1211" w:type="dxa"/>
                  <w:noWrap w:val="0"/>
                  <w:vAlign w:val="center"/>
                </w:tcPr>
                <w:p w14:paraId="4803C6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597340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0.096</w:t>
                  </w:r>
                </w:p>
              </w:tc>
              <w:tc>
                <w:tcPr>
                  <w:tcW w:w="701" w:type="dxa"/>
                  <w:noWrap w:val="0"/>
                  <w:vAlign w:val="center"/>
                </w:tcPr>
                <w:p w14:paraId="6543C5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A11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7" w:type="dxa"/>
                  <w:noWrap w:val="0"/>
                  <w:vAlign w:val="center"/>
                </w:tcPr>
                <w:p w14:paraId="5589471F">
                  <w:pPr>
                    <w:pStyle w:val="36"/>
                    <w:keepNext w:val="0"/>
                    <w:keepLines w:val="0"/>
                    <w:pageBreakBefore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en-US"/>
                    </w:rPr>
                  </w:pPr>
                </w:p>
              </w:tc>
              <w:tc>
                <w:tcPr>
                  <w:tcW w:w="606" w:type="dxa"/>
                  <w:vMerge w:val="continue"/>
                  <w:noWrap w:val="0"/>
                  <w:vAlign w:val="center"/>
                </w:tcPr>
                <w:p w14:paraId="47362E1E">
                  <w:pPr>
                    <w:pStyle w:val="3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p>
              </w:tc>
              <w:tc>
                <w:tcPr>
                  <w:tcW w:w="1417" w:type="dxa"/>
                  <w:noWrap w:val="0"/>
                  <w:vAlign w:val="center"/>
                </w:tcPr>
                <w:p w14:paraId="064CD8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郑啸天</w:t>
                  </w:r>
                </w:p>
              </w:tc>
              <w:tc>
                <w:tcPr>
                  <w:tcW w:w="1173" w:type="dxa"/>
                  <w:noWrap w:val="0"/>
                  <w:vAlign w:val="center"/>
                </w:tcPr>
                <w:p w14:paraId="66E900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pacing w:val="0"/>
                      <w:position w:val="0"/>
                      <w:sz w:val="21"/>
                      <w:szCs w:val="21"/>
                      <w:lang w:val="en-US" w:eastAsia="zh-CN"/>
                    </w:rPr>
                    <w:t>351</w:t>
                  </w:r>
                </w:p>
              </w:tc>
              <w:tc>
                <w:tcPr>
                  <w:tcW w:w="1753" w:type="dxa"/>
                  <w:noWrap w:val="0"/>
                  <w:vAlign w:val="center"/>
                </w:tcPr>
                <w:p w14:paraId="770918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0.281</w:t>
                  </w:r>
                </w:p>
              </w:tc>
              <w:tc>
                <w:tcPr>
                  <w:tcW w:w="1211" w:type="dxa"/>
                  <w:noWrap w:val="0"/>
                  <w:vAlign w:val="center"/>
                </w:tcPr>
                <w:p w14:paraId="65755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365</w:t>
                  </w:r>
                </w:p>
              </w:tc>
              <w:tc>
                <w:tcPr>
                  <w:tcW w:w="1415" w:type="dxa"/>
                  <w:noWrap w:val="0"/>
                  <w:vAlign w:val="center"/>
                </w:tcPr>
                <w:p w14:paraId="1C29BC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0.292</w:t>
                  </w:r>
                </w:p>
              </w:tc>
              <w:tc>
                <w:tcPr>
                  <w:tcW w:w="701" w:type="dxa"/>
                  <w:noWrap w:val="0"/>
                  <w:vAlign w:val="center"/>
                </w:tcPr>
                <w:p w14:paraId="00E50F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bl>
          <w:p w14:paraId="6B1E4BB3">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医院已为辐射工作人员进行了上岗前、在岗期间职业健康检查，体检结果表明现有辐射工作人员可继续从事放射工作。辐射工作人员的职业健康档案记录、人员培训合格证书、个人剂量监测档案三个文件上的人员信息统一并长期保存</w:t>
            </w:r>
            <w:r>
              <w:rPr>
                <w:rFonts w:hint="default" w:ascii="Times New Roman" w:hAnsi="Times New Roman" w:eastAsia="宋体" w:cs="Times New Roman"/>
                <w:color w:val="auto"/>
                <w:spacing w:val="0"/>
                <w:position w:val="0"/>
              </w:rPr>
              <w:t>。</w:t>
            </w:r>
          </w:p>
          <w:p w14:paraId="4115EA90">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szCs w:val="28"/>
                <w:lang w:val="en-US" w:eastAsia="zh-CN"/>
              </w:rPr>
            </w:pPr>
            <w:r>
              <w:rPr>
                <w:rFonts w:hint="default" w:ascii="Times New Roman" w:hAnsi="Times New Roman" w:eastAsia="宋体" w:cs="Times New Roman"/>
                <w:color w:val="auto"/>
                <w:spacing w:val="0"/>
                <w:position w:val="0"/>
                <w:szCs w:val="28"/>
                <w:lang w:val="en-US" w:eastAsia="zh-CN"/>
              </w:rPr>
              <w:t>医院原有辐射安全管理情况总结如下：</w:t>
            </w:r>
          </w:p>
          <w:p w14:paraId="7C8AF652">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szCs w:val="28"/>
              </w:rPr>
            </w:pPr>
            <w:r>
              <w:rPr>
                <w:rFonts w:hint="default" w:ascii="Times New Roman" w:hAnsi="Times New Roman" w:eastAsia="宋体" w:cs="Times New Roman"/>
                <w:color w:val="auto"/>
                <w:spacing w:val="0"/>
                <w:position w:val="0"/>
                <w:szCs w:val="28"/>
                <w:lang w:val="en-US" w:eastAsia="zh-CN"/>
              </w:rPr>
              <w:t>①</w:t>
            </w:r>
            <w:r>
              <w:rPr>
                <w:rFonts w:hint="default" w:ascii="Times New Roman" w:hAnsi="Times New Roman" w:eastAsia="宋体" w:cs="Times New Roman"/>
                <w:color w:val="auto"/>
                <w:spacing w:val="0"/>
                <w:position w:val="0"/>
                <w:szCs w:val="28"/>
              </w:rPr>
              <w:t>个人剂量档案和职业健康档案齐全。</w:t>
            </w:r>
          </w:p>
          <w:p w14:paraId="77111B33">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szCs w:val="28"/>
              </w:rPr>
            </w:pPr>
            <w:r>
              <w:rPr>
                <w:rFonts w:hint="default" w:ascii="Times New Roman" w:hAnsi="Times New Roman" w:eastAsia="宋体" w:cs="Times New Roman"/>
                <w:color w:val="auto"/>
                <w:spacing w:val="0"/>
                <w:position w:val="0"/>
                <w:szCs w:val="28"/>
                <w:lang w:val="en-US" w:eastAsia="zh-CN"/>
              </w:rPr>
              <w:t>②</w:t>
            </w:r>
            <w:r>
              <w:rPr>
                <w:rFonts w:hint="default" w:ascii="Times New Roman" w:hAnsi="Times New Roman" w:eastAsia="宋体" w:cs="Times New Roman"/>
                <w:color w:val="auto"/>
                <w:spacing w:val="0"/>
                <w:position w:val="0"/>
                <w:szCs w:val="28"/>
              </w:rPr>
              <w:t>医院按要求委托有资质的单位进行了年度监测和</w:t>
            </w:r>
            <w:r>
              <w:rPr>
                <w:rFonts w:hint="default" w:ascii="Times New Roman" w:hAnsi="Times New Roman" w:eastAsia="宋体" w:cs="Times New Roman"/>
                <w:color w:val="auto"/>
                <w:spacing w:val="0"/>
                <w:position w:val="0"/>
                <w:szCs w:val="28"/>
                <w:lang w:eastAsia="zh-CN"/>
              </w:rPr>
              <w:t>个人剂量监测</w:t>
            </w:r>
            <w:r>
              <w:rPr>
                <w:rFonts w:hint="default" w:ascii="Times New Roman" w:hAnsi="Times New Roman" w:eastAsia="宋体" w:cs="Times New Roman"/>
                <w:color w:val="auto"/>
                <w:spacing w:val="0"/>
                <w:position w:val="0"/>
                <w:szCs w:val="28"/>
              </w:rPr>
              <w:t>。</w:t>
            </w:r>
          </w:p>
          <w:p w14:paraId="043B9A10">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szCs w:val="28"/>
                <w:lang w:eastAsia="zh-CN"/>
              </w:rPr>
            </w:pPr>
            <w:r>
              <w:rPr>
                <w:rFonts w:hint="default" w:ascii="Times New Roman" w:hAnsi="Times New Roman" w:eastAsia="宋体" w:cs="Times New Roman"/>
                <w:color w:val="auto"/>
                <w:spacing w:val="0"/>
                <w:position w:val="0"/>
                <w:szCs w:val="28"/>
                <w:lang w:val="en-US" w:eastAsia="zh-CN"/>
              </w:rPr>
              <w:t>③</w:t>
            </w:r>
            <w:r>
              <w:rPr>
                <w:rFonts w:hint="default" w:ascii="Times New Roman" w:hAnsi="Times New Roman" w:eastAsia="宋体" w:cs="Times New Roman"/>
                <w:color w:val="auto"/>
                <w:spacing w:val="0"/>
                <w:position w:val="0"/>
                <w:szCs w:val="28"/>
              </w:rPr>
              <w:t>医院自从事辐射诊疗以来，严格按照国家法律法规进行管理，没有发生过辐射安全事故，也无公众投诉</w:t>
            </w:r>
            <w:r>
              <w:rPr>
                <w:rFonts w:hint="default" w:ascii="Times New Roman" w:hAnsi="Times New Roman" w:eastAsia="宋体" w:cs="Times New Roman"/>
                <w:color w:val="auto"/>
                <w:spacing w:val="0"/>
                <w:position w:val="0"/>
                <w:szCs w:val="28"/>
                <w:lang w:eastAsia="zh-CN"/>
              </w:rPr>
              <w:t>。</w:t>
            </w:r>
          </w:p>
          <w:p w14:paraId="2641EB62">
            <w:pPr>
              <w:keepNext w:val="0"/>
              <w:keepLines w:val="0"/>
              <w:suppressLineNumbers w:val="0"/>
              <w:tabs>
                <w:tab w:val="left" w:pos="1017"/>
              </w:tabs>
              <w:adjustRightInd w:val="0"/>
              <w:snapToGrid w:val="0"/>
              <w:spacing w:before="0" w:beforeAutospacing="0" w:after="0" w:afterAutospacing="0"/>
              <w:ind w:left="0" w:right="0"/>
              <w:rPr>
                <w:rFonts w:hint="default" w:ascii="Times New Roman" w:hAnsi="Times New Roman" w:eastAsia="宋体" w:cs="Times New Roman"/>
                <w:color w:val="auto"/>
                <w:spacing w:val="0"/>
                <w:position w:val="0"/>
                <w:szCs w:val="28"/>
              </w:rPr>
            </w:pPr>
            <w:r>
              <w:rPr>
                <w:rFonts w:hint="default" w:ascii="Times New Roman" w:hAnsi="Times New Roman" w:eastAsia="宋体" w:cs="Times New Roman"/>
                <w:color w:val="auto"/>
                <w:spacing w:val="0"/>
                <w:position w:val="0"/>
                <w:szCs w:val="28"/>
                <w:lang w:val="en-US" w:eastAsia="zh-CN"/>
              </w:rPr>
              <w:t>④院方每年均编制了《放射性同位素与射线装置安全和防护状况年度评估报告》，并于每年1月31日前提交给发证机关。</w:t>
            </w:r>
          </w:p>
          <w:p w14:paraId="1D284FBC">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2" w:firstLineChars="200"/>
              <w:textAlignment w:val="auto"/>
              <w:rPr>
                <w:rFonts w:hint="default" w:ascii="Times New Roman" w:hAnsi="Times New Roman" w:eastAsia="宋体" w:cs="Times New Roman"/>
                <w:b/>
                <w:bCs/>
                <w:color w:val="auto"/>
                <w:spacing w:val="0"/>
                <w:position w:val="0"/>
                <w:lang w:val="en-US" w:eastAsia="zh-CN"/>
              </w:rPr>
            </w:pPr>
            <w:r>
              <w:rPr>
                <w:rFonts w:hint="eastAsia" w:cs="Times New Roman"/>
                <w:b/>
                <w:bCs/>
                <w:color w:val="auto"/>
                <w:spacing w:val="0"/>
                <w:position w:val="0"/>
                <w:lang w:val="en-US" w:eastAsia="zh-CN"/>
              </w:rPr>
              <w:t>3</w:t>
            </w:r>
            <w:r>
              <w:rPr>
                <w:rFonts w:hint="default" w:ascii="Times New Roman" w:hAnsi="Times New Roman" w:eastAsia="宋体" w:cs="Times New Roman"/>
                <w:b/>
                <w:bCs/>
                <w:color w:val="auto"/>
                <w:spacing w:val="0"/>
                <w:position w:val="0"/>
                <w:lang w:val="en-US" w:eastAsia="zh-CN"/>
              </w:rPr>
              <w:t xml:space="preserve">.年度评估情况 </w:t>
            </w:r>
          </w:p>
          <w:p w14:paraId="75898610">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2025年度，曲靖市第二人民医院完成了各项辐射安全防护工作，依据相关法律法规对医院射线装置的安全和防护状况进行了年度评估，编写了《核技术利用单位放射性同位素与射线装置安全和防护状况年度评估报告（2025年度）》，2025年建设单位依法履行了各项管理要求，满足法律法规等各项规定，无辐射安全事故。</w:t>
            </w:r>
          </w:p>
          <w:p w14:paraId="0A36657C">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根据建设单位提供资料，曲靖市第二人民医院主体工程自开工建设至今未发生过相关环保事件，也无公众投诉。</w:t>
            </w:r>
          </w:p>
          <w:p w14:paraId="2F464891">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2" w:firstLineChars="200"/>
              <w:textAlignment w:val="auto"/>
              <w:rPr>
                <w:rFonts w:hint="default" w:ascii="Times New Roman" w:hAnsi="Times New Roman" w:eastAsia="宋体" w:cs="Times New Roman"/>
                <w:b/>
                <w:bCs/>
                <w:color w:val="auto"/>
                <w:spacing w:val="0"/>
                <w:position w:val="0"/>
                <w:lang w:val="en-US" w:eastAsia="zh-CN"/>
              </w:rPr>
            </w:pPr>
            <w:r>
              <w:rPr>
                <w:rFonts w:hint="eastAsia" w:cs="Times New Roman"/>
                <w:b/>
                <w:bCs/>
                <w:color w:val="auto"/>
                <w:spacing w:val="0"/>
                <w:position w:val="0"/>
                <w:lang w:val="en-US" w:eastAsia="zh-CN"/>
              </w:rPr>
              <w:t>4</w:t>
            </w:r>
            <w:r>
              <w:rPr>
                <w:rFonts w:hint="default" w:ascii="Times New Roman" w:hAnsi="Times New Roman" w:eastAsia="宋体" w:cs="Times New Roman"/>
                <w:b/>
                <w:bCs/>
                <w:color w:val="auto"/>
                <w:spacing w:val="0"/>
                <w:position w:val="0"/>
                <w:lang w:val="en-US" w:eastAsia="zh-CN"/>
              </w:rPr>
              <w:t>.根据现场踏勘情况，项目现状存在的主要辐射环境问题如下：</w:t>
            </w:r>
          </w:p>
          <w:p w14:paraId="41EDF7B7">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①部分辐射工作人员核技术利用辐射安全与防护考核成绩报告临期。</w:t>
            </w:r>
          </w:p>
          <w:p w14:paraId="64A084AF">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②</w:t>
            </w:r>
            <w:r>
              <w:rPr>
                <w:rFonts w:hint="eastAsia" w:cs="Times New Roman"/>
                <w:b w:val="0"/>
                <w:bCs w:val="0"/>
                <w:color w:val="auto"/>
                <w:spacing w:val="0"/>
                <w:position w:val="0"/>
                <w:lang w:val="en-US" w:eastAsia="zh-CN"/>
              </w:rPr>
              <w:t>故障</w:t>
            </w:r>
            <w:r>
              <w:rPr>
                <w:rFonts w:hint="default" w:ascii="Times New Roman" w:hAnsi="Times New Roman" w:eastAsia="宋体" w:cs="Times New Roman"/>
                <w:b w:val="0"/>
                <w:bCs w:val="0"/>
                <w:color w:val="auto"/>
                <w:spacing w:val="0"/>
                <w:position w:val="0"/>
                <w:lang w:val="en-US" w:eastAsia="zh-CN"/>
              </w:rPr>
              <w:t>的医学影像科设备间（移动DR2）的OptimaXR240amX型数字化移动式摄影X射线机未进行年度检测。</w:t>
            </w:r>
          </w:p>
          <w:p w14:paraId="37C7BE85">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本次环评将针对上述问题，提出相应的以新带老措施：</w:t>
            </w:r>
          </w:p>
          <w:p w14:paraId="506909DF">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①本次环评要求医院定期组织操作Ⅱ类射线装置的辐射工作人员参加云南省生态环境部门组织的辐射安全与防护培训，通过国家培训平台考试取得的电子版考核成绩报告单，并定期辐射工作人员组织培训，培训内容应涵盖辐射安全法律法规、辐射基础知识、辐射安全与防护措施、辐射事故应急响应等方面，并与其从事的辐射活动风险水平相适应，在本项目投入运行前确保本项目的辐射工作人员均通过云南省生态环境部门组织的辐射安全与防护的培训，本项目辐射工作人员需做到持证上岗，辐射安全与防护的培训证书有效期满前，辐射工作人员应再次进行辐射安全与防护的培训考核，考核合格方可继续从事辐射活动。医院应建立辐射工作人员考核档案，妥善保存每位辐射工作人员的考核试卷（或电子记录）、考核合格证明等材料。对于自行考核的人员，必须妥善留存完整的自行考核记录（包括试卷、成绩等），以备核查。</w:t>
            </w:r>
          </w:p>
          <w:p w14:paraId="38AF5765">
            <w:pPr>
              <w:keepNext w:val="0"/>
              <w:keepLines w:val="0"/>
              <w:pageBreakBefore w:val="0"/>
              <w:widowControl w:val="0"/>
              <w:numPr>
                <w:ilvl w:val="0"/>
                <w:numId w:val="0"/>
              </w:numPr>
              <w:suppressLineNumbers w:val="0"/>
              <w:tabs>
                <w:tab w:val="left" w:pos="1017"/>
              </w:tabs>
              <w:kinsoku/>
              <w:wordWrap/>
              <w:overflowPunct/>
              <w:topLinePunct w:val="0"/>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②对已</w:t>
            </w:r>
            <w:r>
              <w:rPr>
                <w:rFonts w:hint="eastAsia" w:cs="Times New Roman"/>
                <w:b w:val="0"/>
                <w:bCs w:val="0"/>
                <w:color w:val="auto"/>
                <w:spacing w:val="0"/>
                <w:position w:val="0"/>
                <w:lang w:val="en-US" w:eastAsia="zh-CN"/>
              </w:rPr>
              <w:t>故障</w:t>
            </w:r>
            <w:r>
              <w:rPr>
                <w:rFonts w:hint="default" w:ascii="Times New Roman" w:hAnsi="Times New Roman" w:eastAsia="宋体" w:cs="Times New Roman"/>
                <w:b w:val="0"/>
                <w:bCs w:val="0"/>
                <w:color w:val="auto"/>
                <w:spacing w:val="0"/>
                <w:position w:val="0"/>
                <w:lang w:val="en-US" w:eastAsia="zh-CN"/>
              </w:rPr>
              <w:t>的设备明确后续使用情况，若拟进行报废，应及时办理报废手续，从辐射安全许可证书上注销，若继续</w:t>
            </w:r>
            <w:r>
              <w:rPr>
                <w:rFonts w:hint="eastAsia" w:cs="Times New Roman"/>
                <w:b w:val="0"/>
                <w:bCs w:val="0"/>
                <w:color w:val="auto"/>
                <w:spacing w:val="0"/>
                <w:position w:val="0"/>
                <w:lang w:val="en-US" w:eastAsia="zh-CN"/>
              </w:rPr>
              <w:t>维修后继续</w:t>
            </w:r>
            <w:r>
              <w:rPr>
                <w:rFonts w:hint="default" w:ascii="Times New Roman" w:hAnsi="Times New Roman" w:eastAsia="宋体" w:cs="Times New Roman"/>
                <w:b w:val="0"/>
                <w:bCs w:val="0"/>
                <w:color w:val="auto"/>
                <w:spacing w:val="0"/>
                <w:position w:val="0"/>
                <w:lang w:val="en-US" w:eastAsia="zh-CN"/>
              </w:rPr>
              <w:t>使用，</w:t>
            </w:r>
            <w:r>
              <w:rPr>
                <w:rFonts w:hint="eastAsia" w:cs="Times New Roman"/>
                <w:b w:val="0"/>
                <w:bCs w:val="0"/>
                <w:color w:val="auto"/>
                <w:spacing w:val="0"/>
                <w:position w:val="0"/>
                <w:lang w:val="en-US" w:eastAsia="zh-CN"/>
              </w:rPr>
              <w:t>则</w:t>
            </w:r>
            <w:r>
              <w:rPr>
                <w:rFonts w:hint="default" w:ascii="Times New Roman" w:hAnsi="Times New Roman" w:eastAsia="宋体" w:cs="Times New Roman"/>
                <w:b w:val="0"/>
                <w:bCs w:val="0"/>
                <w:color w:val="auto"/>
                <w:spacing w:val="0"/>
                <w:position w:val="0"/>
                <w:lang w:val="en-US" w:eastAsia="zh-CN"/>
              </w:rPr>
              <w:t>应按照《放射性同位素与射线装置安全和防护管理办法》等相关管理要求委托有辐射水平监测资质的单位每年对射线装置工作场所及其周围环境进行监测。</w:t>
            </w:r>
          </w:p>
        </w:tc>
      </w:tr>
    </w:tbl>
    <w:p w14:paraId="1AB0CF88">
      <w:pPr>
        <w:spacing w:line="20" w:lineRule="exact"/>
        <w:ind w:firstLine="482"/>
        <w:rPr>
          <w:rFonts w:hint="default" w:ascii="Times New Roman" w:hAnsi="Times New Roman" w:eastAsia="宋体" w:cs="Times New Roman"/>
          <w:b/>
          <w:bCs/>
          <w:color w:val="auto"/>
          <w:spacing w:val="0"/>
          <w:position w:val="0"/>
        </w:rPr>
        <w:sectPr>
          <w:headerReference r:id="rId7" w:type="default"/>
          <w:footerReference r:id="rId8"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0C93581">
      <w:pPr>
        <w:pStyle w:val="2"/>
        <w:rPr>
          <w:rFonts w:hint="default" w:ascii="Times New Roman" w:hAnsi="Times New Roman" w:eastAsia="宋体" w:cs="Times New Roman"/>
          <w:color w:val="auto"/>
          <w:spacing w:val="0"/>
          <w:position w:val="0"/>
        </w:rPr>
      </w:pPr>
      <w:bookmarkStart w:id="12" w:name="_Toc25621"/>
      <w:bookmarkStart w:id="13" w:name="_Toc28212"/>
      <w:r>
        <w:rPr>
          <w:rFonts w:hint="default" w:ascii="Times New Roman" w:hAnsi="Times New Roman" w:eastAsia="宋体" w:cs="Times New Roman"/>
          <w:color w:val="auto"/>
          <w:spacing w:val="0"/>
          <w:position w:val="0"/>
        </w:rPr>
        <w:t>表2放射源</w:t>
      </w:r>
      <w:bookmarkEnd w:id="12"/>
      <w:bookmarkEnd w:id="13"/>
    </w:p>
    <w:tbl>
      <w:tblPr>
        <w:tblStyle w:val="20"/>
        <w:tblW w:w="11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281"/>
        <w:gridCol w:w="2296"/>
        <w:gridCol w:w="1004"/>
        <w:gridCol w:w="1200"/>
        <w:gridCol w:w="812"/>
        <w:gridCol w:w="1408"/>
        <w:gridCol w:w="1844"/>
        <w:gridCol w:w="870"/>
      </w:tblGrid>
      <w:tr w14:paraId="5329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tcBorders>
              <w:top w:val="single" w:color="auto" w:sz="4" w:space="0"/>
              <w:left w:val="single" w:color="auto" w:sz="4" w:space="0"/>
              <w:bottom w:val="single" w:color="auto" w:sz="4" w:space="0"/>
              <w:right w:val="single" w:color="auto" w:sz="4" w:space="0"/>
            </w:tcBorders>
            <w:noWrap w:val="0"/>
            <w:vAlign w:val="center"/>
          </w:tcPr>
          <w:p w14:paraId="7549EA7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16659E8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核素名称</w:t>
            </w:r>
          </w:p>
        </w:tc>
        <w:tc>
          <w:tcPr>
            <w:tcW w:w="2296" w:type="dxa"/>
            <w:tcBorders>
              <w:top w:val="single" w:color="auto" w:sz="4" w:space="0"/>
              <w:left w:val="single" w:color="auto" w:sz="4" w:space="0"/>
              <w:bottom w:val="single" w:color="auto" w:sz="4" w:space="0"/>
              <w:right w:val="single" w:color="auto" w:sz="4" w:space="0"/>
            </w:tcBorders>
            <w:noWrap w:val="0"/>
            <w:vAlign w:val="center"/>
          </w:tcPr>
          <w:p w14:paraId="6F0070E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总活度（Bq）/</w:t>
            </w:r>
          </w:p>
          <w:p w14:paraId="275B6E4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活度（Bq）×枚数</w:t>
            </w:r>
          </w:p>
        </w:tc>
        <w:tc>
          <w:tcPr>
            <w:tcW w:w="1004" w:type="dxa"/>
            <w:tcBorders>
              <w:top w:val="single" w:color="auto" w:sz="4" w:space="0"/>
              <w:left w:val="single" w:color="auto" w:sz="4" w:space="0"/>
              <w:bottom w:val="single" w:color="auto" w:sz="4" w:space="0"/>
              <w:right w:val="single" w:color="auto" w:sz="4" w:space="0"/>
            </w:tcBorders>
            <w:noWrap w:val="0"/>
            <w:vAlign w:val="center"/>
          </w:tcPr>
          <w:p w14:paraId="21A0FF4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类别</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B9F256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活动种类</w:t>
            </w:r>
          </w:p>
        </w:tc>
        <w:tc>
          <w:tcPr>
            <w:tcW w:w="812" w:type="dxa"/>
            <w:tcBorders>
              <w:top w:val="single" w:color="auto" w:sz="4" w:space="0"/>
              <w:left w:val="single" w:color="auto" w:sz="4" w:space="0"/>
              <w:bottom w:val="single" w:color="auto" w:sz="4" w:space="0"/>
              <w:right w:val="single" w:color="auto" w:sz="4" w:space="0"/>
            </w:tcBorders>
            <w:noWrap w:val="0"/>
            <w:vAlign w:val="center"/>
          </w:tcPr>
          <w:p w14:paraId="4DFC61D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用途</w:t>
            </w:r>
          </w:p>
        </w:tc>
        <w:tc>
          <w:tcPr>
            <w:tcW w:w="1408" w:type="dxa"/>
            <w:tcBorders>
              <w:top w:val="single" w:color="auto" w:sz="4" w:space="0"/>
              <w:left w:val="single" w:color="auto" w:sz="4" w:space="0"/>
              <w:bottom w:val="single" w:color="auto" w:sz="4" w:space="0"/>
              <w:right w:val="single" w:color="auto" w:sz="4" w:space="0"/>
            </w:tcBorders>
            <w:noWrap w:val="0"/>
            <w:vAlign w:val="center"/>
          </w:tcPr>
          <w:p w14:paraId="2682E8C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使用场所</w:t>
            </w:r>
          </w:p>
        </w:tc>
        <w:tc>
          <w:tcPr>
            <w:tcW w:w="1844" w:type="dxa"/>
            <w:tcBorders>
              <w:top w:val="single" w:color="auto" w:sz="4" w:space="0"/>
              <w:left w:val="single" w:color="auto" w:sz="4" w:space="0"/>
              <w:bottom w:val="single" w:color="auto" w:sz="4" w:space="0"/>
              <w:right w:val="single" w:color="auto" w:sz="4" w:space="0"/>
            </w:tcBorders>
            <w:noWrap w:val="0"/>
            <w:vAlign w:val="center"/>
          </w:tcPr>
          <w:p w14:paraId="7A3C2E0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贮存方式与地点</w:t>
            </w:r>
          </w:p>
        </w:tc>
        <w:tc>
          <w:tcPr>
            <w:tcW w:w="870" w:type="dxa"/>
            <w:tcBorders>
              <w:top w:val="single" w:color="auto" w:sz="4" w:space="0"/>
              <w:left w:val="single" w:color="auto" w:sz="4" w:space="0"/>
              <w:bottom w:val="single" w:color="auto" w:sz="4" w:space="0"/>
              <w:right w:val="single" w:color="auto" w:sz="4" w:space="0"/>
            </w:tcBorders>
            <w:noWrap w:val="0"/>
            <w:vAlign w:val="center"/>
          </w:tcPr>
          <w:p w14:paraId="4F3992A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备注</w:t>
            </w:r>
          </w:p>
        </w:tc>
      </w:tr>
      <w:tr w14:paraId="29A8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tcBorders>
              <w:top w:val="single" w:color="auto" w:sz="4" w:space="0"/>
              <w:left w:val="single" w:color="auto" w:sz="4" w:space="0"/>
              <w:bottom w:val="single" w:color="auto" w:sz="4" w:space="0"/>
              <w:right w:val="single" w:color="auto" w:sz="4" w:space="0"/>
            </w:tcBorders>
            <w:noWrap w:val="0"/>
            <w:vAlign w:val="center"/>
          </w:tcPr>
          <w:p w14:paraId="36B8E1E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136F9A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296" w:type="dxa"/>
            <w:tcBorders>
              <w:top w:val="single" w:color="auto" w:sz="4" w:space="0"/>
              <w:left w:val="single" w:color="auto" w:sz="4" w:space="0"/>
              <w:bottom w:val="single" w:color="auto" w:sz="4" w:space="0"/>
              <w:right w:val="single" w:color="auto" w:sz="4" w:space="0"/>
            </w:tcBorders>
            <w:noWrap w:val="0"/>
            <w:vAlign w:val="center"/>
          </w:tcPr>
          <w:p w14:paraId="6EF1B16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14:paraId="7D6B46D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51D08C9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12" w:type="dxa"/>
            <w:tcBorders>
              <w:top w:val="single" w:color="auto" w:sz="4" w:space="0"/>
              <w:left w:val="single" w:color="auto" w:sz="4" w:space="0"/>
              <w:bottom w:val="single" w:color="auto" w:sz="4" w:space="0"/>
              <w:right w:val="single" w:color="auto" w:sz="4" w:space="0"/>
            </w:tcBorders>
            <w:noWrap w:val="0"/>
            <w:vAlign w:val="center"/>
          </w:tcPr>
          <w:p w14:paraId="7DE9AC2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7A02166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844" w:type="dxa"/>
            <w:tcBorders>
              <w:top w:val="single" w:color="auto" w:sz="4" w:space="0"/>
              <w:left w:val="single" w:color="auto" w:sz="4" w:space="0"/>
              <w:bottom w:val="single" w:color="auto" w:sz="4" w:space="0"/>
              <w:right w:val="single" w:color="auto" w:sz="4" w:space="0"/>
            </w:tcBorders>
            <w:noWrap w:val="0"/>
            <w:vAlign w:val="center"/>
          </w:tcPr>
          <w:p w14:paraId="270521D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2D219C3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2E86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tcBorders>
              <w:top w:val="single" w:color="auto" w:sz="4" w:space="0"/>
              <w:left w:val="single" w:color="auto" w:sz="4" w:space="0"/>
              <w:bottom w:val="single" w:color="auto" w:sz="4" w:space="0"/>
              <w:right w:val="single" w:color="auto" w:sz="4" w:space="0"/>
            </w:tcBorders>
            <w:noWrap w:val="0"/>
            <w:vAlign w:val="center"/>
          </w:tcPr>
          <w:p w14:paraId="1FFA625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458DDC7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296" w:type="dxa"/>
            <w:tcBorders>
              <w:top w:val="single" w:color="auto" w:sz="4" w:space="0"/>
              <w:left w:val="single" w:color="auto" w:sz="4" w:space="0"/>
              <w:bottom w:val="single" w:color="auto" w:sz="4" w:space="0"/>
              <w:right w:val="single" w:color="auto" w:sz="4" w:space="0"/>
            </w:tcBorders>
            <w:noWrap w:val="0"/>
            <w:vAlign w:val="center"/>
          </w:tcPr>
          <w:p w14:paraId="2CEA3A3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14:paraId="449B218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172085</wp:posOffset>
                      </wp:positionH>
                      <wp:positionV relativeFrom="paragraph">
                        <wp:posOffset>54610</wp:posOffset>
                      </wp:positionV>
                      <wp:extent cx="1485900" cy="297180"/>
                      <wp:effectExtent l="4445" t="4445" r="14605" b="22225"/>
                      <wp:wrapNone/>
                      <wp:docPr id="16" name="Rectangle 4"/>
                      <wp:cNvGraphicFramePr/>
                      <a:graphic xmlns:a="http://schemas.openxmlformats.org/drawingml/2006/main">
                        <a:graphicData uri="http://schemas.microsoft.com/office/word/2010/wordprocessingShape">
                          <wps:wsp>
                            <wps:cNvSpPr/>
                            <wps:spPr>
                              <a:xfrm>
                                <a:off x="0" y="0"/>
                                <a:ext cx="14859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0A89185">
                                  <w:pPr>
                                    <w:pStyle w:val="36"/>
                                    <w:jc w:val="center"/>
                                    <w:rPr>
                                      <w:sz w:val="24"/>
                                    </w:rPr>
                                  </w:pPr>
                                  <w:r>
                                    <w:rPr>
                                      <w:rFonts w:hint="eastAsia"/>
                                      <w:sz w:val="24"/>
                                    </w:rPr>
                                    <w:t>本项目不涉及</w:t>
                                  </w:r>
                                </w:p>
                              </w:txbxContent>
                            </wps:txbx>
                            <wps:bodyPr vert="horz" wrap="square" anchor="t" anchorCtr="0" upright="1"/>
                          </wps:wsp>
                        </a:graphicData>
                      </a:graphic>
                    </wp:anchor>
                  </w:drawing>
                </mc:Choice>
                <mc:Fallback>
                  <w:pict>
                    <v:rect id="Rectangle 4" o:spid="_x0000_s1026" o:spt="1" style="position:absolute;left:0pt;margin-left:13.55pt;margin-top:4.3pt;height:23.4pt;width:117pt;z-index:251659264;mso-width-relative:page;mso-height-relative:page;" fillcolor="#FFFFFF" filled="t" stroked="t" coordsize="21600,21600" o:gfxdata="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n92GTVAAAABwEA&#10;AA8AAAAAAAAAAQAgAAAAIgAAAGRycy9kb3ducmV2LnhtbFBLAQIUABQAAAAIAIdO4kD+OV8PHQIA&#10;AG4EAAAOAAAAAAAAAAEAIAAAACQBAABkcnMvZTJvRG9jLnhtbFBLBQYAAAAABgAGAFkBAACzBQAA&#10;AAA=&#10;">
                      <v:fill on="t" focussize="0,0"/>
                      <v:stroke color="#000000" joinstyle="miter"/>
                      <v:imagedata o:title=""/>
                      <o:lock v:ext="edit" aspectratio="f"/>
                      <v:textbox>
                        <w:txbxContent>
                          <w:p w14:paraId="60A89185">
                            <w:pPr>
                              <w:pStyle w:val="36"/>
                              <w:jc w:val="center"/>
                              <w:rPr>
                                <w:sz w:val="24"/>
                              </w:rPr>
                            </w:pPr>
                            <w:r>
                              <w:rPr>
                                <w:rFonts w:hint="eastAsia"/>
                                <w:sz w:val="24"/>
                              </w:rPr>
                              <w:t>本项目不涉及</w:t>
                            </w:r>
                          </w:p>
                        </w:txbxContent>
                      </v:textbox>
                    </v:rect>
                  </w:pict>
                </mc:Fallback>
              </mc:AlternateConten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197FDE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12" w:type="dxa"/>
            <w:tcBorders>
              <w:top w:val="single" w:color="auto" w:sz="4" w:space="0"/>
              <w:left w:val="single" w:color="auto" w:sz="4" w:space="0"/>
              <w:bottom w:val="single" w:color="auto" w:sz="4" w:space="0"/>
              <w:right w:val="single" w:color="auto" w:sz="4" w:space="0"/>
            </w:tcBorders>
            <w:noWrap w:val="0"/>
            <w:vAlign w:val="center"/>
          </w:tcPr>
          <w:p w14:paraId="2AC3C36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47EAC86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844" w:type="dxa"/>
            <w:tcBorders>
              <w:top w:val="single" w:color="auto" w:sz="4" w:space="0"/>
              <w:left w:val="single" w:color="auto" w:sz="4" w:space="0"/>
              <w:bottom w:val="single" w:color="auto" w:sz="4" w:space="0"/>
              <w:right w:val="single" w:color="auto" w:sz="4" w:space="0"/>
            </w:tcBorders>
            <w:noWrap w:val="0"/>
            <w:vAlign w:val="center"/>
          </w:tcPr>
          <w:p w14:paraId="25579AC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0D178A9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04F0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tcBorders>
              <w:top w:val="single" w:color="auto" w:sz="4" w:space="0"/>
              <w:left w:val="single" w:color="auto" w:sz="4" w:space="0"/>
              <w:bottom w:val="single" w:color="auto" w:sz="4" w:space="0"/>
              <w:right w:val="single" w:color="auto" w:sz="4" w:space="0"/>
            </w:tcBorders>
            <w:noWrap w:val="0"/>
            <w:vAlign w:val="center"/>
          </w:tcPr>
          <w:p w14:paraId="1933614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5CB33E6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296" w:type="dxa"/>
            <w:tcBorders>
              <w:top w:val="single" w:color="auto" w:sz="4" w:space="0"/>
              <w:left w:val="single" w:color="auto" w:sz="4" w:space="0"/>
              <w:bottom w:val="single" w:color="auto" w:sz="4" w:space="0"/>
              <w:right w:val="single" w:color="auto" w:sz="4" w:space="0"/>
            </w:tcBorders>
            <w:noWrap w:val="0"/>
            <w:vAlign w:val="center"/>
          </w:tcPr>
          <w:p w14:paraId="03F6A73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14:paraId="4B84560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074CF8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12" w:type="dxa"/>
            <w:tcBorders>
              <w:top w:val="single" w:color="auto" w:sz="4" w:space="0"/>
              <w:left w:val="single" w:color="auto" w:sz="4" w:space="0"/>
              <w:bottom w:val="single" w:color="auto" w:sz="4" w:space="0"/>
              <w:right w:val="single" w:color="auto" w:sz="4" w:space="0"/>
            </w:tcBorders>
            <w:noWrap w:val="0"/>
            <w:vAlign w:val="center"/>
          </w:tcPr>
          <w:p w14:paraId="09DF0A0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7025578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844" w:type="dxa"/>
            <w:tcBorders>
              <w:top w:val="single" w:color="auto" w:sz="4" w:space="0"/>
              <w:left w:val="single" w:color="auto" w:sz="4" w:space="0"/>
              <w:bottom w:val="single" w:color="auto" w:sz="4" w:space="0"/>
              <w:right w:val="single" w:color="auto" w:sz="4" w:space="0"/>
            </w:tcBorders>
            <w:noWrap w:val="0"/>
            <w:vAlign w:val="center"/>
          </w:tcPr>
          <w:p w14:paraId="3A995F4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496F19B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26FA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6" w:type="dxa"/>
            <w:tcBorders>
              <w:top w:val="single" w:color="auto" w:sz="4" w:space="0"/>
              <w:left w:val="single" w:color="auto" w:sz="4" w:space="0"/>
              <w:bottom w:val="single" w:color="auto" w:sz="4" w:space="0"/>
              <w:right w:val="single" w:color="auto" w:sz="4" w:space="0"/>
            </w:tcBorders>
            <w:noWrap w:val="0"/>
            <w:vAlign w:val="center"/>
          </w:tcPr>
          <w:p w14:paraId="10DD9C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5D5D4B9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296" w:type="dxa"/>
            <w:tcBorders>
              <w:top w:val="single" w:color="auto" w:sz="4" w:space="0"/>
              <w:left w:val="single" w:color="auto" w:sz="4" w:space="0"/>
              <w:bottom w:val="single" w:color="auto" w:sz="4" w:space="0"/>
              <w:right w:val="single" w:color="auto" w:sz="4" w:space="0"/>
            </w:tcBorders>
            <w:noWrap w:val="0"/>
            <w:vAlign w:val="center"/>
          </w:tcPr>
          <w:p w14:paraId="1A7CCCE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14:paraId="7985D6B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F73CEF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12" w:type="dxa"/>
            <w:tcBorders>
              <w:top w:val="single" w:color="auto" w:sz="4" w:space="0"/>
              <w:left w:val="single" w:color="auto" w:sz="4" w:space="0"/>
              <w:bottom w:val="single" w:color="auto" w:sz="4" w:space="0"/>
              <w:right w:val="single" w:color="auto" w:sz="4" w:space="0"/>
            </w:tcBorders>
            <w:noWrap w:val="0"/>
            <w:vAlign w:val="center"/>
          </w:tcPr>
          <w:p w14:paraId="50D1E36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08" w:type="dxa"/>
            <w:tcBorders>
              <w:top w:val="single" w:color="auto" w:sz="4" w:space="0"/>
              <w:left w:val="single" w:color="auto" w:sz="4" w:space="0"/>
              <w:bottom w:val="single" w:color="auto" w:sz="4" w:space="0"/>
              <w:right w:val="single" w:color="auto" w:sz="4" w:space="0"/>
            </w:tcBorders>
            <w:noWrap w:val="0"/>
            <w:vAlign w:val="center"/>
          </w:tcPr>
          <w:p w14:paraId="36CFE7F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844" w:type="dxa"/>
            <w:tcBorders>
              <w:top w:val="single" w:color="auto" w:sz="4" w:space="0"/>
              <w:left w:val="single" w:color="auto" w:sz="4" w:space="0"/>
              <w:bottom w:val="single" w:color="auto" w:sz="4" w:space="0"/>
              <w:right w:val="single" w:color="auto" w:sz="4" w:space="0"/>
            </w:tcBorders>
            <w:noWrap w:val="0"/>
            <w:vAlign w:val="center"/>
          </w:tcPr>
          <w:p w14:paraId="3D766DC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7D85F11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bl>
    <w:p w14:paraId="5B0698FD">
      <w:pPr>
        <w:pStyle w:val="36"/>
        <w:ind w:left="28820" w:hanging="28820" w:hangingChars="13724"/>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注：放射源包括放射性中子源，对其要说明是何种核素以及产生的中子流强度（n/s）。</w:t>
      </w:r>
    </w:p>
    <w:p w14:paraId="388068D3">
      <w:pPr>
        <w:ind w:left="31680" w:hanging="32937" w:hangingChars="13724"/>
        <w:rPr>
          <w:rFonts w:hint="default" w:ascii="Times New Roman" w:hAnsi="Times New Roman" w:eastAsia="宋体" w:cs="Times New Roman"/>
          <w:color w:val="auto"/>
          <w:spacing w:val="0"/>
          <w:position w:val="0"/>
        </w:rPr>
      </w:pPr>
    </w:p>
    <w:p w14:paraId="2500A019">
      <w:pPr>
        <w:pStyle w:val="2"/>
        <w:rPr>
          <w:rFonts w:hint="default" w:ascii="Times New Roman" w:hAnsi="Times New Roman" w:eastAsia="宋体" w:cs="Times New Roman"/>
          <w:color w:val="auto"/>
          <w:spacing w:val="0"/>
          <w:position w:val="0"/>
        </w:rPr>
      </w:pPr>
      <w:bookmarkStart w:id="14" w:name="_Toc12579"/>
      <w:bookmarkStart w:id="15" w:name="_Toc30091"/>
      <w:r>
        <w:rPr>
          <w:rFonts w:hint="default" w:ascii="Times New Roman" w:hAnsi="Times New Roman" w:eastAsia="宋体" w:cs="Times New Roman"/>
          <w:color w:val="auto"/>
          <w:spacing w:val="0"/>
          <w:position w:val="0"/>
        </w:rPr>
        <w:t>表3非密封放射性物质</w:t>
      </w:r>
      <w:bookmarkEnd w:id="14"/>
      <w:bookmarkEnd w:id="15"/>
    </w:p>
    <w:tbl>
      <w:tblPr>
        <w:tblStyle w:val="20"/>
        <w:tblW w:w="11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877"/>
        <w:gridCol w:w="900"/>
        <w:gridCol w:w="946"/>
        <w:gridCol w:w="1742"/>
        <w:gridCol w:w="1685"/>
        <w:gridCol w:w="1396"/>
        <w:gridCol w:w="727"/>
        <w:gridCol w:w="831"/>
        <w:gridCol w:w="877"/>
        <w:gridCol w:w="1232"/>
      </w:tblGrid>
      <w:tr w14:paraId="3C38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2" w:type="dxa"/>
            <w:tcBorders>
              <w:top w:val="single" w:color="auto" w:sz="4" w:space="0"/>
              <w:left w:val="single" w:color="auto" w:sz="4" w:space="0"/>
              <w:bottom w:val="single" w:color="auto" w:sz="4" w:space="0"/>
              <w:right w:val="single" w:color="auto" w:sz="4" w:space="0"/>
            </w:tcBorders>
            <w:noWrap w:val="0"/>
            <w:vAlign w:val="center"/>
          </w:tcPr>
          <w:p w14:paraId="6AB928A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877" w:type="dxa"/>
            <w:tcBorders>
              <w:top w:val="single" w:color="auto" w:sz="4" w:space="0"/>
              <w:left w:val="single" w:color="auto" w:sz="4" w:space="0"/>
              <w:bottom w:val="single" w:color="auto" w:sz="4" w:space="0"/>
              <w:right w:val="single" w:color="auto" w:sz="4" w:space="0"/>
            </w:tcBorders>
            <w:noWrap w:val="0"/>
            <w:vAlign w:val="center"/>
          </w:tcPr>
          <w:p w14:paraId="71F71ED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核素</w:t>
            </w:r>
          </w:p>
          <w:p w14:paraId="10D8FA8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名称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293EDE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理化</w:t>
            </w:r>
          </w:p>
          <w:p w14:paraId="477ADEA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性质</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47A5878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活动</w:t>
            </w:r>
          </w:p>
          <w:p w14:paraId="45041A6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种类</w:t>
            </w:r>
          </w:p>
        </w:tc>
        <w:tc>
          <w:tcPr>
            <w:tcW w:w="1742" w:type="dxa"/>
            <w:tcBorders>
              <w:top w:val="single" w:color="auto" w:sz="4" w:space="0"/>
              <w:left w:val="single" w:color="auto" w:sz="4" w:space="0"/>
              <w:bottom w:val="single" w:color="auto" w:sz="4" w:space="0"/>
              <w:right w:val="single" w:color="auto" w:sz="4" w:space="0"/>
            </w:tcBorders>
            <w:noWrap w:val="0"/>
            <w:vAlign w:val="center"/>
          </w:tcPr>
          <w:p w14:paraId="2A484D6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实际日最大操作量（Bq）</w:t>
            </w:r>
          </w:p>
        </w:tc>
        <w:tc>
          <w:tcPr>
            <w:tcW w:w="1685" w:type="dxa"/>
            <w:tcBorders>
              <w:top w:val="single" w:color="auto" w:sz="4" w:space="0"/>
              <w:left w:val="single" w:color="auto" w:sz="4" w:space="0"/>
              <w:bottom w:val="single" w:color="auto" w:sz="4" w:space="0"/>
              <w:right w:val="single" w:color="auto" w:sz="4" w:space="0"/>
            </w:tcBorders>
            <w:noWrap w:val="0"/>
            <w:vAlign w:val="center"/>
          </w:tcPr>
          <w:p w14:paraId="5BC9C67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日等效最大操作量（Bq）</w:t>
            </w:r>
          </w:p>
        </w:tc>
        <w:tc>
          <w:tcPr>
            <w:tcW w:w="1396" w:type="dxa"/>
            <w:tcBorders>
              <w:top w:val="single" w:color="auto" w:sz="4" w:space="0"/>
              <w:left w:val="single" w:color="auto" w:sz="4" w:space="0"/>
              <w:bottom w:val="single" w:color="auto" w:sz="4" w:space="0"/>
              <w:right w:val="single" w:color="auto" w:sz="4" w:space="0"/>
            </w:tcBorders>
            <w:noWrap w:val="0"/>
            <w:vAlign w:val="center"/>
          </w:tcPr>
          <w:p w14:paraId="7F59F6A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年最大用量（Bq）</w:t>
            </w:r>
          </w:p>
        </w:tc>
        <w:tc>
          <w:tcPr>
            <w:tcW w:w="727" w:type="dxa"/>
            <w:tcBorders>
              <w:top w:val="single" w:color="auto" w:sz="4" w:space="0"/>
              <w:left w:val="single" w:color="auto" w:sz="4" w:space="0"/>
              <w:bottom w:val="single" w:color="auto" w:sz="4" w:space="0"/>
              <w:right w:val="single" w:color="auto" w:sz="4" w:space="0"/>
            </w:tcBorders>
            <w:noWrap w:val="0"/>
            <w:vAlign w:val="center"/>
          </w:tcPr>
          <w:p w14:paraId="00F46AB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用途</w:t>
            </w:r>
          </w:p>
        </w:tc>
        <w:tc>
          <w:tcPr>
            <w:tcW w:w="831" w:type="dxa"/>
            <w:tcBorders>
              <w:top w:val="single" w:color="auto" w:sz="4" w:space="0"/>
              <w:left w:val="single" w:color="auto" w:sz="4" w:space="0"/>
              <w:bottom w:val="single" w:color="auto" w:sz="4" w:space="0"/>
              <w:right w:val="single" w:color="auto" w:sz="4" w:space="0"/>
            </w:tcBorders>
            <w:noWrap w:val="0"/>
            <w:vAlign w:val="center"/>
          </w:tcPr>
          <w:p w14:paraId="48E545D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操作方式</w:t>
            </w:r>
          </w:p>
        </w:tc>
        <w:tc>
          <w:tcPr>
            <w:tcW w:w="877" w:type="dxa"/>
            <w:tcBorders>
              <w:top w:val="single" w:color="auto" w:sz="4" w:space="0"/>
              <w:left w:val="single" w:color="auto" w:sz="4" w:space="0"/>
              <w:bottom w:val="single" w:color="auto" w:sz="4" w:space="0"/>
              <w:right w:val="single" w:color="auto" w:sz="4" w:space="0"/>
            </w:tcBorders>
            <w:noWrap w:val="0"/>
            <w:vAlign w:val="center"/>
          </w:tcPr>
          <w:p w14:paraId="732CBE6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使用场所</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558E257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贮存方式与地点</w:t>
            </w:r>
          </w:p>
        </w:tc>
      </w:tr>
      <w:tr w14:paraId="3A23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2" w:type="dxa"/>
            <w:tcBorders>
              <w:top w:val="single" w:color="auto" w:sz="4" w:space="0"/>
              <w:left w:val="single" w:color="auto" w:sz="4" w:space="0"/>
              <w:bottom w:val="single" w:color="auto" w:sz="4" w:space="0"/>
              <w:right w:val="single" w:color="auto" w:sz="4" w:space="0"/>
            </w:tcBorders>
            <w:noWrap w:val="0"/>
            <w:vAlign w:val="center"/>
          </w:tcPr>
          <w:p w14:paraId="2E68A7C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01FFB60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76449BF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6A7159C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14:paraId="237A992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685" w:type="dxa"/>
            <w:tcBorders>
              <w:top w:val="single" w:color="auto" w:sz="4" w:space="0"/>
              <w:left w:val="single" w:color="auto" w:sz="4" w:space="0"/>
              <w:bottom w:val="single" w:color="auto" w:sz="4" w:space="0"/>
              <w:right w:val="single" w:color="auto" w:sz="4" w:space="0"/>
            </w:tcBorders>
            <w:noWrap w:val="0"/>
            <w:vAlign w:val="center"/>
          </w:tcPr>
          <w:p w14:paraId="05E6D73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761F6C4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27" w:type="dxa"/>
            <w:tcBorders>
              <w:top w:val="single" w:color="auto" w:sz="4" w:space="0"/>
              <w:left w:val="single" w:color="auto" w:sz="4" w:space="0"/>
              <w:bottom w:val="single" w:color="auto" w:sz="4" w:space="0"/>
              <w:right w:val="single" w:color="auto" w:sz="4" w:space="0"/>
            </w:tcBorders>
            <w:noWrap w:val="0"/>
            <w:vAlign w:val="center"/>
          </w:tcPr>
          <w:p w14:paraId="4C8C990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31" w:type="dxa"/>
            <w:tcBorders>
              <w:top w:val="single" w:color="auto" w:sz="4" w:space="0"/>
              <w:left w:val="single" w:color="auto" w:sz="4" w:space="0"/>
              <w:bottom w:val="single" w:color="auto" w:sz="4" w:space="0"/>
              <w:right w:val="single" w:color="auto" w:sz="4" w:space="0"/>
            </w:tcBorders>
            <w:noWrap w:val="0"/>
            <w:vAlign w:val="center"/>
          </w:tcPr>
          <w:p w14:paraId="37C3388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2BFBB05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6990F44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717D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2" w:type="dxa"/>
            <w:tcBorders>
              <w:top w:val="single" w:color="auto" w:sz="4" w:space="0"/>
              <w:left w:val="single" w:color="auto" w:sz="4" w:space="0"/>
              <w:bottom w:val="single" w:color="auto" w:sz="4" w:space="0"/>
              <w:right w:val="single" w:color="auto" w:sz="4" w:space="0"/>
            </w:tcBorders>
            <w:noWrap w:val="0"/>
            <w:vAlign w:val="center"/>
          </w:tcPr>
          <w:p w14:paraId="0A5259F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647F652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1F7899C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631973D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14:paraId="0E1AD4D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685" w:type="dxa"/>
            <w:tcBorders>
              <w:top w:val="single" w:color="auto" w:sz="4" w:space="0"/>
              <w:left w:val="single" w:color="auto" w:sz="4" w:space="0"/>
              <w:bottom w:val="single" w:color="auto" w:sz="4" w:space="0"/>
              <w:right w:val="single" w:color="auto" w:sz="4" w:space="0"/>
            </w:tcBorders>
            <w:noWrap w:val="0"/>
            <w:vAlign w:val="center"/>
          </w:tcPr>
          <w:p w14:paraId="50BADB8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35560</wp:posOffset>
                      </wp:positionV>
                      <wp:extent cx="1485900" cy="297180"/>
                      <wp:effectExtent l="4445" t="4445" r="14605" b="22225"/>
                      <wp:wrapNone/>
                      <wp:docPr id="17" name="Rectangle 4"/>
                      <wp:cNvGraphicFramePr/>
                      <a:graphic xmlns:a="http://schemas.openxmlformats.org/drawingml/2006/main">
                        <a:graphicData uri="http://schemas.microsoft.com/office/word/2010/wordprocessingShape">
                          <wps:wsp>
                            <wps:cNvSpPr/>
                            <wps:spPr>
                              <a:xfrm>
                                <a:off x="0" y="0"/>
                                <a:ext cx="14859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B9247E3">
                                  <w:pPr>
                                    <w:pStyle w:val="36"/>
                                    <w:jc w:val="center"/>
                                    <w:rPr>
                                      <w:sz w:val="24"/>
                                    </w:rPr>
                                  </w:pPr>
                                  <w:r>
                                    <w:rPr>
                                      <w:rFonts w:hint="eastAsia"/>
                                      <w:sz w:val="24"/>
                                    </w:rPr>
                                    <w:t>本项目不涉及</w:t>
                                  </w:r>
                                </w:p>
                              </w:txbxContent>
                            </wps:txbx>
                            <wps:bodyPr vert="horz" wrap="square" anchor="t" anchorCtr="0" upright="1"/>
                          </wps:wsp>
                        </a:graphicData>
                      </a:graphic>
                    </wp:anchor>
                  </w:drawing>
                </mc:Choice>
                <mc:Fallback>
                  <w:pict>
                    <v:rect id="Rectangle 4" o:spid="_x0000_s1026" o:spt="1" style="position:absolute;left:0pt;margin-left:1.5pt;margin-top:2.8pt;height:23.4pt;width:117pt;z-index:251660288;mso-width-relative:page;mso-height-relative:page;" fillcolor="#FFFFFF" filled="t" stroked="t" coordsize="21600,21600" o:gfxdata="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lCz8W9QAAAAGAQAA&#10;DwAAAAAAAAABACAAAAAiAAAAZHJzL2Rvd25yZXYueG1sUEsBAhQAFAAAAAgAh07iQET5dXkdAgAA&#10;bgQAAA4AAAAAAAAAAQAgAAAAIwEAAGRycy9lMm9Eb2MueG1sUEsFBgAAAAAGAAYAWQEAALIFAAAA&#10;AA==&#10;">
                      <v:fill on="t" focussize="0,0"/>
                      <v:stroke color="#000000" joinstyle="miter"/>
                      <v:imagedata o:title=""/>
                      <o:lock v:ext="edit" aspectratio="f"/>
                      <v:textbox>
                        <w:txbxContent>
                          <w:p w14:paraId="5B9247E3">
                            <w:pPr>
                              <w:pStyle w:val="36"/>
                              <w:jc w:val="center"/>
                              <w:rPr>
                                <w:sz w:val="24"/>
                              </w:rPr>
                            </w:pPr>
                            <w:r>
                              <w:rPr>
                                <w:rFonts w:hint="eastAsia"/>
                                <w:sz w:val="24"/>
                              </w:rPr>
                              <w:t>本项目不涉及</w:t>
                            </w:r>
                          </w:p>
                        </w:txbxContent>
                      </v:textbox>
                    </v:rect>
                  </w:pict>
                </mc:Fallback>
              </mc:AlternateContent>
            </w:r>
          </w:p>
        </w:tc>
        <w:tc>
          <w:tcPr>
            <w:tcW w:w="1396" w:type="dxa"/>
            <w:tcBorders>
              <w:top w:val="single" w:color="auto" w:sz="4" w:space="0"/>
              <w:left w:val="single" w:color="auto" w:sz="4" w:space="0"/>
              <w:bottom w:val="single" w:color="auto" w:sz="4" w:space="0"/>
              <w:right w:val="single" w:color="auto" w:sz="4" w:space="0"/>
            </w:tcBorders>
            <w:noWrap w:val="0"/>
            <w:vAlign w:val="center"/>
          </w:tcPr>
          <w:p w14:paraId="47A31D2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27" w:type="dxa"/>
            <w:tcBorders>
              <w:top w:val="single" w:color="auto" w:sz="4" w:space="0"/>
              <w:left w:val="single" w:color="auto" w:sz="4" w:space="0"/>
              <w:bottom w:val="single" w:color="auto" w:sz="4" w:space="0"/>
              <w:right w:val="single" w:color="auto" w:sz="4" w:space="0"/>
            </w:tcBorders>
            <w:noWrap w:val="0"/>
            <w:vAlign w:val="center"/>
          </w:tcPr>
          <w:p w14:paraId="12FBBE8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31" w:type="dxa"/>
            <w:tcBorders>
              <w:top w:val="single" w:color="auto" w:sz="4" w:space="0"/>
              <w:left w:val="single" w:color="auto" w:sz="4" w:space="0"/>
              <w:bottom w:val="single" w:color="auto" w:sz="4" w:space="0"/>
              <w:right w:val="single" w:color="auto" w:sz="4" w:space="0"/>
            </w:tcBorders>
            <w:noWrap w:val="0"/>
            <w:vAlign w:val="center"/>
          </w:tcPr>
          <w:p w14:paraId="6BD714A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14A38C4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62F53EB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1738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2" w:type="dxa"/>
            <w:tcBorders>
              <w:top w:val="single" w:color="auto" w:sz="4" w:space="0"/>
              <w:left w:val="single" w:color="auto" w:sz="4" w:space="0"/>
              <w:bottom w:val="single" w:color="auto" w:sz="4" w:space="0"/>
              <w:right w:val="single" w:color="auto" w:sz="4" w:space="0"/>
            </w:tcBorders>
            <w:noWrap w:val="0"/>
            <w:vAlign w:val="center"/>
          </w:tcPr>
          <w:p w14:paraId="26FD48F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7F03105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4D6B9A5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3EF630C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14:paraId="6B3B922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685" w:type="dxa"/>
            <w:tcBorders>
              <w:top w:val="single" w:color="auto" w:sz="4" w:space="0"/>
              <w:left w:val="single" w:color="auto" w:sz="4" w:space="0"/>
              <w:bottom w:val="single" w:color="auto" w:sz="4" w:space="0"/>
              <w:right w:val="single" w:color="auto" w:sz="4" w:space="0"/>
            </w:tcBorders>
            <w:noWrap w:val="0"/>
            <w:vAlign w:val="center"/>
          </w:tcPr>
          <w:p w14:paraId="3BE84C4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011A5CC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27" w:type="dxa"/>
            <w:tcBorders>
              <w:top w:val="single" w:color="auto" w:sz="4" w:space="0"/>
              <w:left w:val="single" w:color="auto" w:sz="4" w:space="0"/>
              <w:bottom w:val="single" w:color="auto" w:sz="4" w:space="0"/>
              <w:right w:val="single" w:color="auto" w:sz="4" w:space="0"/>
            </w:tcBorders>
            <w:noWrap w:val="0"/>
            <w:vAlign w:val="center"/>
          </w:tcPr>
          <w:p w14:paraId="60C1DC5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31" w:type="dxa"/>
            <w:tcBorders>
              <w:top w:val="single" w:color="auto" w:sz="4" w:space="0"/>
              <w:left w:val="single" w:color="auto" w:sz="4" w:space="0"/>
              <w:bottom w:val="single" w:color="auto" w:sz="4" w:space="0"/>
              <w:right w:val="single" w:color="auto" w:sz="4" w:space="0"/>
            </w:tcBorders>
            <w:noWrap w:val="0"/>
            <w:vAlign w:val="center"/>
          </w:tcPr>
          <w:p w14:paraId="5C85EF7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70BCD48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5907584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004F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2" w:type="dxa"/>
            <w:tcBorders>
              <w:top w:val="single" w:color="auto" w:sz="4" w:space="0"/>
              <w:left w:val="single" w:color="auto" w:sz="4" w:space="0"/>
              <w:bottom w:val="single" w:color="auto" w:sz="4" w:space="0"/>
              <w:right w:val="single" w:color="auto" w:sz="4" w:space="0"/>
            </w:tcBorders>
            <w:noWrap w:val="0"/>
            <w:vAlign w:val="center"/>
          </w:tcPr>
          <w:p w14:paraId="46095D9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192487A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1D66547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6" w:type="dxa"/>
            <w:tcBorders>
              <w:top w:val="single" w:color="auto" w:sz="4" w:space="0"/>
              <w:left w:val="single" w:color="auto" w:sz="4" w:space="0"/>
              <w:bottom w:val="single" w:color="auto" w:sz="4" w:space="0"/>
              <w:right w:val="single" w:color="auto" w:sz="4" w:space="0"/>
            </w:tcBorders>
            <w:noWrap w:val="0"/>
            <w:vAlign w:val="center"/>
          </w:tcPr>
          <w:p w14:paraId="6CF82D1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742" w:type="dxa"/>
            <w:tcBorders>
              <w:top w:val="single" w:color="auto" w:sz="4" w:space="0"/>
              <w:left w:val="single" w:color="auto" w:sz="4" w:space="0"/>
              <w:bottom w:val="single" w:color="auto" w:sz="4" w:space="0"/>
              <w:right w:val="single" w:color="auto" w:sz="4" w:space="0"/>
            </w:tcBorders>
            <w:noWrap w:val="0"/>
            <w:vAlign w:val="center"/>
          </w:tcPr>
          <w:p w14:paraId="551EF8E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685" w:type="dxa"/>
            <w:tcBorders>
              <w:top w:val="single" w:color="auto" w:sz="4" w:space="0"/>
              <w:left w:val="single" w:color="auto" w:sz="4" w:space="0"/>
              <w:bottom w:val="single" w:color="auto" w:sz="4" w:space="0"/>
              <w:right w:val="single" w:color="auto" w:sz="4" w:space="0"/>
            </w:tcBorders>
            <w:noWrap w:val="0"/>
            <w:vAlign w:val="center"/>
          </w:tcPr>
          <w:p w14:paraId="1742C81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96" w:type="dxa"/>
            <w:tcBorders>
              <w:top w:val="single" w:color="auto" w:sz="4" w:space="0"/>
              <w:left w:val="single" w:color="auto" w:sz="4" w:space="0"/>
              <w:bottom w:val="single" w:color="auto" w:sz="4" w:space="0"/>
              <w:right w:val="single" w:color="auto" w:sz="4" w:space="0"/>
            </w:tcBorders>
            <w:noWrap w:val="0"/>
            <w:vAlign w:val="center"/>
          </w:tcPr>
          <w:p w14:paraId="544613B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27" w:type="dxa"/>
            <w:tcBorders>
              <w:top w:val="single" w:color="auto" w:sz="4" w:space="0"/>
              <w:left w:val="single" w:color="auto" w:sz="4" w:space="0"/>
              <w:bottom w:val="single" w:color="auto" w:sz="4" w:space="0"/>
              <w:right w:val="single" w:color="auto" w:sz="4" w:space="0"/>
            </w:tcBorders>
            <w:noWrap w:val="0"/>
            <w:vAlign w:val="center"/>
          </w:tcPr>
          <w:p w14:paraId="591445D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31" w:type="dxa"/>
            <w:tcBorders>
              <w:top w:val="single" w:color="auto" w:sz="4" w:space="0"/>
              <w:left w:val="single" w:color="auto" w:sz="4" w:space="0"/>
              <w:bottom w:val="single" w:color="auto" w:sz="4" w:space="0"/>
              <w:right w:val="single" w:color="auto" w:sz="4" w:space="0"/>
            </w:tcBorders>
            <w:noWrap w:val="0"/>
            <w:vAlign w:val="center"/>
          </w:tcPr>
          <w:p w14:paraId="45E1A2A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77" w:type="dxa"/>
            <w:tcBorders>
              <w:top w:val="single" w:color="auto" w:sz="4" w:space="0"/>
              <w:left w:val="single" w:color="auto" w:sz="4" w:space="0"/>
              <w:bottom w:val="single" w:color="auto" w:sz="4" w:space="0"/>
              <w:right w:val="single" w:color="auto" w:sz="4" w:space="0"/>
            </w:tcBorders>
            <w:noWrap w:val="0"/>
            <w:vAlign w:val="center"/>
          </w:tcPr>
          <w:p w14:paraId="684E840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0B95CD0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bl>
    <w:p w14:paraId="01932D7C">
      <w:pPr>
        <w:pStyle w:val="36"/>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注：日等效最大操作量和操作方式见《电离辐射防护与辐射源安全基本标准》（GB18871-2002）。</w:t>
      </w:r>
    </w:p>
    <w:p w14:paraId="3BA3515B">
      <w:pPr>
        <w:rPr>
          <w:rFonts w:hint="default" w:ascii="Times New Roman" w:hAnsi="Times New Roman" w:eastAsia="宋体" w:cs="Times New Roman"/>
          <w:color w:val="auto"/>
          <w:spacing w:val="0"/>
          <w:position w:val="0"/>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FE8B633">
      <w:pPr>
        <w:pStyle w:val="2"/>
        <w:rPr>
          <w:rFonts w:hint="default" w:ascii="Times New Roman" w:hAnsi="Times New Roman" w:eastAsia="宋体" w:cs="Times New Roman"/>
          <w:color w:val="auto"/>
          <w:spacing w:val="0"/>
          <w:position w:val="0"/>
        </w:rPr>
      </w:pPr>
      <w:bookmarkStart w:id="16" w:name="_Toc4867"/>
      <w:bookmarkStart w:id="17" w:name="_Toc15437"/>
      <w:r>
        <w:rPr>
          <w:rFonts w:hint="default" w:ascii="Times New Roman" w:hAnsi="Times New Roman" w:eastAsia="宋体" w:cs="Times New Roman"/>
          <w:color w:val="auto"/>
          <w:spacing w:val="0"/>
          <w:position w:val="0"/>
        </w:rPr>
        <w:t>表4射线装置</w:t>
      </w:r>
      <w:bookmarkEnd w:id="16"/>
      <w:bookmarkEnd w:id="17"/>
    </w:p>
    <w:p w14:paraId="3A996D13">
      <w:pPr>
        <w:rPr>
          <w:rFonts w:hint="default" w:ascii="Times New Roman" w:hAnsi="Times New Roman" w:eastAsia="宋体" w:cs="Times New Roman"/>
          <w:color w:val="auto"/>
          <w:spacing w:val="0"/>
          <w:position w:val="0"/>
        </w:rPr>
      </w:pPr>
      <w:bookmarkStart w:id="18" w:name="_Toc21988_WPSOffice_Level1"/>
      <w:bookmarkStart w:id="19" w:name="_Toc9303_WPSOffice_Level1"/>
      <w:r>
        <w:rPr>
          <w:rFonts w:hint="default" w:ascii="Times New Roman" w:hAnsi="Times New Roman" w:eastAsia="宋体" w:cs="Times New Roman"/>
          <w:color w:val="auto"/>
          <w:spacing w:val="0"/>
          <w:position w:val="0"/>
        </w:rPr>
        <w:t>（一）加速器：包括医用、工农业、科研、教学等用途的各种类型加速器</w:t>
      </w:r>
      <w:bookmarkEnd w:id="18"/>
      <w:bookmarkEnd w:id="19"/>
    </w:p>
    <w:tbl>
      <w:tblPr>
        <w:tblStyle w:val="20"/>
        <w:tblW w:w="14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1720"/>
        <w:gridCol w:w="717"/>
        <w:gridCol w:w="714"/>
        <w:gridCol w:w="1290"/>
        <w:gridCol w:w="857"/>
        <w:gridCol w:w="1290"/>
        <w:gridCol w:w="2058"/>
        <w:gridCol w:w="2125"/>
        <w:gridCol w:w="1414"/>
        <w:gridCol w:w="937"/>
      </w:tblGrid>
      <w:tr w14:paraId="508C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19" w:type="dxa"/>
            <w:tcBorders>
              <w:top w:val="single" w:color="auto" w:sz="4" w:space="0"/>
              <w:left w:val="single" w:color="auto" w:sz="4" w:space="0"/>
              <w:bottom w:val="single" w:color="auto" w:sz="4" w:space="0"/>
              <w:right w:val="single" w:color="auto" w:sz="4" w:space="0"/>
            </w:tcBorders>
            <w:noWrap w:val="0"/>
            <w:vAlign w:val="center"/>
          </w:tcPr>
          <w:p w14:paraId="3EA10A3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1720" w:type="dxa"/>
            <w:tcBorders>
              <w:top w:val="single" w:color="auto" w:sz="4" w:space="0"/>
              <w:left w:val="single" w:color="auto" w:sz="4" w:space="0"/>
              <w:bottom w:val="single" w:color="auto" w:sz="4" w:space="0"/>
              <w:right w:val="single" w:color="auto" w:sz="4" w:space="0"/>
            </w:tcBorders>
            <w:noWrap w:val="0"/>
            <w:vAlign w:val="center"/>
          </w:tcPr>
          <w:p w14:paraId="7269AC8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名称</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3B5BD97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类别</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5A834D5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数量</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568BB5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型号</w:t>
            </w:r>
          </w:p>
        </w:tc>
        <w:tc>
          <w:tcPr>
            <w:tcW w:w="857" w:type="dxa"/>
            <w:tcBorders>
              <w:top w:val="single" w:color="auto" w:sz="4" w:space="0"/>
              <w:left w:val="single" w:color="auto" w:sz="4" w:space="0"/>
              <w:bottom w:val="single" w:color="auto" w:sz="4" w:space="0"/>
              <w:right w:val="single" w:color="auto" w:sz="4" w:space="0"/>
            </w:tcBorders>
            <w:noWrap w:val="0"/>
            <w:vAlign w:val="center"/>
          </w:tcPr>
          <w:p w14:paraId="353918A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加速</w:t>
            </w:r>
          </w:p>
          <w:p w14:paraId="1D0BD98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粒子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9A5A81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最大能量（MeV）</w:t>
            </w:r>
          </w:p>
        </w:tc>
        <w:tc>
          <w:tcPr>
            <w:tcW w:w="2058" w:type="dxa"/>
            <w:tcBorders>
              <w:top w:val="single" w:color="auto" w:sz="4" w:space="0"/>
              <w:left w:val="single" w:color="auto" w:sz="4" w:space="0"/>
              <w:bottom w:val="single" w:color="auto" w:sz="4" w:space="0"/>
              <w:right w:val="single" w:color="auto" w:sz="4" w:space="0"/>
            </w:tcBorders>
            <w:noWrap w:val="0"/>
            <w:vAlign w:val="center"/>
          </w:tcPr>
          <w:p w14:paraId="11BCC6C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额定电流（mA）/剂量率（Gy/h）</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44A050A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用途</w:t>
            </w:r>
          </w:p>
        </w:tc>
        <w:tc>
          <w:tcPr>
            <w:tcW w:w="1414" w:type="dxa"/>
            <w:tcBorders>
              <w:top w:val="single" w:color="auto" w:sz="4" w:space="0"/>
              <w:left w:val="single" w:color="auto" w:sz="4" w:space="0"/>
              <w:bottom w:val="single" w:color="auto" w:sz="4" w:space="0"/>
              <w:right w:val="single" w:color="auto" w:sz="4" w:space="0"/>
            </w:tcBorders>
            <w:noWrap w:val="0"/>
            <w:vAlign w:val="center"/>
          </w:tcPr>
          <w:p w14:paraId="3D13517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工作场所</w:t>
            </w:r>
          </w:p>
        </w:tc>
        <w:tc>
          <w:tcPr>
            <w:tcW w:w="937" w:type="dxa"/>
            <w:tcBorders>
              <w:top w:val="single" w:color="auto" w:sz="4" w:space="0"/>
              <w:left w:val="single" w:color="auto" w:sz="4" w:space="0"/>
              <w:bottom w:val="single" w:color="auto" w:sz="4" w:space="0"/>
              <w:right w:val="single" w:color="auto" w:sz="4" w:space="0"/>
            </w:tcBorders>
            <w:noWrap w:val="0"/>
            <w:vAlign w:val="center"/>
          </w:tcPr>
          <w:p w14:paraId="7C3EF0B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备注</w:t>
            </w:r>
          </w:p>
        </w:tc>
      </w:tr>
      <w:tr w14:paraId="32994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 w:type="dxa"/>
            <w:tcBorders>
              <w:top w:val="single" w:color="auto" w:sz="4" w:space="0"/>
              <w:left w:val="single" w:color="auto" w:sz="4" w:space="0"/>
              <w:bottom w:val="single" w:color="auto" w:sz="4" w:space="0"/>
              <w:right w:val="single" w:color="auto" w:sz="4" w:space="0"/>
            </w:tcBorders>
            <w:noWrap w:val="0"/>
            <w:vAlign w:val="center"/>
          </w:tcPr>
          <w:p w14:paraId="1ED77DD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720" w:type="dxa"/>
            <w:tcBorders>
              <w:top w:val="single" w:color="auto" w:sz="4" w:space="0"/>
              <w:left w:val="single" w:color="auto" w:sz="4" w:space="0"/>
              <w:bottom w:val="single" w:color="auto" w:sz="4" w:space="0"/>
              <w:right w:val="single" w:color="auto" w:sz="4" w:space="0"/>
            </w:tcBorders>
            <w:noWrap w:val="0"/>
            <w:vAlign w:val="center"/>
          </w:tcPr>
          <w:p w14:paraId="4C8561A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323DCE7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92108F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8CD825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57" w:type="dxa"/>
            <w:tcBorders>
              <w:top w:val="single" w:color="auto" w:sz="4" w:space="0"/>
              <w:left w:val="single" w:color="auto" w:sz="4" w:space="0"/>
              <w:bottom w:val="single" w:color="auto" w:sz="4" w:space="0"/>
              <w:right w:val="single" w:color="auto" w:sz="4" w:space="0"/>
            </w:tcBorders>
            <w:noWrap w:val="0"/>
            <w:vAlign w:val="center"/>
          </w:tcPr>
          <w:p w14:paraId="45F4ACE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210185</wp:posOffset>
                      </wp:positionH>
                      <wp:positionV relativeFrom="paragraph">
                        <wp:posOffset>158750</wp:posOffset>
                      </wp:positionV>
                      <wp:extent cx="1485900" cy="297180"/>
                      <wp:effectExtent l="4445" t="4445" r="14605" b="22225"/>
                      <wp:wrapNone/>
                      <wp:docPr id="18" name="Rectangle 4"/>
                      <wp:cNvGraphicFramePr/>
                      <a:graphic xmlns:a="http://schemas.openxmlformats.org/drawingml/2006/main">
                        <a:graphicData uri="http://schemas.microsoft.com/office/word/2010/wordprocessingShape">
                          <wps:wsp>
                            <wps:cNvSpPr/>
                            <wps:spPr>
                              <a:xfrm>
                                <a:off x="0" y="0"/>
                                <a:ext cx="14859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50196F">
                                  <w:pPr>
                                    <w:pStyle w:val="36"/>
                                    <w:jc w:val="center"/>
                                    <w:rPr>
                                      <w:sz w:val="24"/>
                                    </w:rPr>
                                  </w:pPr>
                                  <w:r>
                                    <w:rPr>
                                      <w:rFonts w:hint="eastAsia"/>
                                      <w:sz w:val="24"/>
                                    </w:rPr>
                                    <w:t>本项目不涉及</w:t>
                                  </w:r>
                                </w:p>
                              </w:txbxContent>
                            </wps:txbx>
                            <wps:bodyPr vert="horz" wrap="square" anchor="t" anchorCtr="0" upright="1"/>
                          </wps:wsp>
                        </a:graphicData>
                      </a:graphic>
                    </wp:anchor>
                  </w:drawing>
                </mc:Choice>
                <mc:Fallback>
                  <w:pict>
                    <v:rect id="Rectangle 4" o:spid="_x0000_s1026" o:spt="1" style="position:absolute;left:0pt;margin-left:16.55pt;margin-top:12.5pt;height:23.4pt;width:117pt;z-index:251661312;mso-width-relative:page;mso-height-relative:page;" fillcolor="#FFFFFF" filled="t" stroked="t" coordsize="21600,21600" o:gfxdata="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0gQyFNcAAAAI&#10;AQAADwAAAAAAAAABACAAAAAiAAAAZHJzL2Rvd25yZXYueG1sUEsBAhQAFAAAAAgAh07iQHG1ZOcd&#10;AgAAbgQAAA4AAAAAAAAAAQAgAAAAJgEAAGRycy9lMm9Eb2MueG1sUEsFBgAAAAAGAAYAWQEAALUF&#10;AAAAAA==&#10;">
                      <v:fill on="t" focussize="0,0"/>
                      <v:stroke color="#000000" joinstyle="miter"/>
                      <v:imagedata o:title=""/>
                      <o:lock v:ext="edit" aspectratio="f"/>
                      <v:textbox>
                        <w:txbxContent>
                          <w:p w14:paraId="6950196F">
                            <w:pPr>
                              <w:pStyle w:val="36"/>
                              <w:jc w:val="center"/>
                              <w:rPr>
                                <w:sz w:val="24"/>
                              </w:rPr>
                            </w:pPr>
                            <w:r>
                              <w:rPr>
                                <w:rFonts w:hint="eastAsia"/>
                                <w:sz w:val="24"/>
                              </w:rPr>
                              <w:t>本项目不涉及</w:t>
                            </w:r>
                          </w:p>
                        </w:txbxContent>
                      </v:textbox>
                    </v:rect>
                  </w:pict>
                </mc:Fallback>
              </mc:AlternateConten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637B30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058" w:type="dxa"/>
            <w:tcBorders>
              <w:top w:val="single" w:color="auto" w:sz="4" w:space="0"/>
              <w:left w:val="single" w:color="auto" w:sz="4" w:space="0"/>
              <w:bottom w:val="single" w:color="auto" w:sz="4" w:space="0"/>
              <w:right w:val="single" w:color="auto" w:sz="4" w:space="0"/>
            </w:tcBorders>
            <w:noWrap w:val="0"/>
            <w:vAlign w:val="center"/>
          </w:tcPr>
          <w:p w14:paraId="3204EC4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125" w:type="dxa"/>
            <w:tcBorders>
              <w:top w:val="single" w:color="auto" w:sz="4" w:space="0"/>
              <w:left w:val="single" w:color="auto" w:sz="4" w:space="0"/>
              <w:bottom w:val="single" w:color="auto" w:sz="4" w:space="0"/>
              <w:right w:val="single" w:color="auto" w:sz="4" w:space="0"/>
            </w:tcBorders>
            <w:noWrap w:val="0"/>
            <w:vAlign w:val="center"/>
          </w:tcPr>
          <w:p w14:paraId="774CEEA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12A9CD5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37" w:type="dxa"/>
            <w:tcBorders>
              <w:top w:val="single" w:color="auto" w:sz="4" w:space="0"/>
              <w:left w:val="single" w:color="auto" w:sz="4" w:space="0"/>
              <w:bottom w:val="single" w:color="auto" w:sz="4" w:space="0"/>
              <w:right w:val="single" w:color="auto" w:sz="4" w:space="0"/>
            </w:tcBorders>
            <w:noWrap w:val="0"/>
            <w:vAlign w:val="center"/>
          </w:tcPr>
          <w:p w14:paraId="0E422E1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0468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9" w:type="dxa"/>
            <w:tcBorders>
              <w:top w:val="single" w:color="auto" w:sz="4" w:space="0"/>
              <w:left w:val="single" w:color="auto" w:sz="4" w:space="0"/>
              <w:bottom w:val="single" w:color="auto" w:sz="4" w:space="0"/>
              <w:right w:val="single" w:color="auto" w:sz="4" w:space="0"/>
            </w:tcBorders>
            <w:noWrap w:val="0"/>
            <w:vAlign w:val="center"/>
          </w:tcPr>
          <w:p w14:paraId="611106F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720" w:type="dxa"/>
            <w:tcBorders>
              <w:top w:val="single" w:color="auto" w:sz="4" w:space="0"/>
              <w:left w:val="single" w:color="auto" w:sz="4" w:space="0"/>
              <w:bottom w:val="single" w:color="auto" w:sz="4" w:space="0"/>
              <w:right w:val="single" w:color="auto" w:sz="4" w:space="0"/>
            </w:tcBorders>
            <w:noWrap w:val="0"/>
            <w:vAlign w:val="center"/>
          </w:tcPr>
          <w:p w14:paraId="6F83A20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3324771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41137F7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A68E45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57" w:type="dxa"/>
            <w:tcBorders>
              <w:top w:val="single" w:color="auto" w:sz="4" w:space="0"/>
              <w:left w:val="single" w:color="auto" w:sz="4" w:space="0"/>
              <w:bottom w:val="single" w:color="auto" w:sz="4" w:space="0"/>
              <w:right w:val="single" w:color="auto" w:sz="4" w:space="0"/>
            </w:tcBorders>
            <w:noWrap w:val="0"/>
            <w:vAlign w:val="center"/>
          </w:tcPr>
          <w:p w14:paraId="019F0A5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60D049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058" w:type="dxa"/>
            <w:tcBorders>
              <w:top w:val="single" w:color="auto" w:sz="4" w:space="0"/>
              <w:left w:val="single" w:color="auto" w:sz="4" w:space="0"/>
              <w:bottom w:val="single" w:color="auto" w:sz="4" w:space="0"/>
              <w:right w:val="single" w:color="auto" w:sz="4" w:space="0"/>
            </w:tcBorders>
            <w:noWrap w:val="0"/>
            <w:vAlign w:val="center"/>
          </w:tcPr>
          <w:p w14:paraId="5E13908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2125" w:type="dxa"/>
            <w:tcBorders>
              <w:top w:val="single" w:color="auto" w:sz="4" w:space="0"/>
              <w:left w:val="single" w:color="auto" w:sz="4" w:space="0"/>
              <w:bottom w:val="single" w:color="auto" w:sz="4" w:space="0"/>
              <w:right w:val="single" w:color="auto" w:sz="4" w:space="0"/>
            </w:tcBorders>
            <w:noWrap w:val="0"/>
            <w:vAlign w:val="center"/>
          </w:tcPr>
          <w:p w14:paraId="6211265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7344404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37" w:type="dxa"/>
            <w:tcBorders>
              <w:top w:val="single" w:color="auto" w:sz="4" w:space="0"/>
              <w:left w:val="single" w:color="auto" w:sz="4" w:space="0"/>
              <w:bottom w:val="single" w:color="auto" w:sz="4" w:space="0"/>
              <w:right w:val="single" w:color="auto" w:sz="4" w:space="0"/>
            </w:tcBorders>
            <w:noWrap w:val="0"/>
            <w:vAlign w:val="center"/>
          </w:tcPr>
          <w:p w14:paraId="128FD67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bl>
    <w:p w14:paraId="34A50035">
      <w:pPr>
        <w:rPr>
          <w:rFonts w:hint="default" w:ascii="Times New Roman" w:hAnsi="Times New Roman" w:eastAsia="宋体" w:cs="Times New Roman"/>
          <w:color w:val="auto"/>
          <w:spacing w:val="0"/>
          <w:position w:val="0"/>
        </w:rPr>
      </w:pPr>
      <w:bookmarkStart w:id="20" w:name="_Toc31186_WPSOffice_Level1"/>
      <w:bookmarkStart w:id="21" w:name="_Toc29750_WPSOffice_Level1"/>
      <w:r>
        <w:rPr>
          <w:rFonts w:hint="default" w:ascii="Times New Roman" w:hAnsi="Times New Roman" w:eastAsia="宋体" w:cs="Times New Roman"/>
          <w:color w:val="auto"/>
          <w:spacing w:val="0"/>
          <w:position w:val="0"/>
        </w:rPr>
        <w:t>（二）X射线机，包括工业探伤、医用诊断和治疗、分析等用途</w:t>
      </w:r>
      <w:bookmarkEnd w:id="20"/>
      <w:bookmarkEnd w:id="21"/>
    </w:p>
    <w:tbl>
      <w:tblPr>
        <w:tblStyle w:val="20"/>
        <w:tblW w:w="14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388"/>
        <w:gridCol w:w="847"/>
        <w:gridCol w:w="819"/>
        <w:gridCol w:w="1657"/>
        <w:gridCol w:w="1826"/>
        <w:gridCol w:w="1427"/>
        <w:gridCol w:w="1551"/>
        <w:gridCol w:w="2428"/>
        <w:gridCol w:w="1114"/>
      </w:tblGrid>
      <w:tr w14:paraId="1FA0B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3" w:type="dxa"/>
            <w:tcBorders>
              <w:top w:val="single" w:color="auto" w:sz="4" w:space="0"/>
              <w:left w:val="single" w:color="auto" w:sz="4" w:space="0"/>
              <w:bottom w:val="single" w:color="auto" w:sz="4" w:space="0"/>
              <w:right w:val="single" w:color="auto" w:sz="4" w:space="0"/>
            </w:tcBorders>
            <w:noWrap w:val="0"/>
            <w:vAlign w:val="center"/>
          </w:tcPr>
          <w:p w14:paraId="08FF2C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11B94B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名称</w:t>
            </w:r>
          </w:p>
        </w:tc>
        <w:tc>
          <w:tcPr>
            <w:tcW w:w="847" w:type="dxa"/>
            <w:tcBorders>
              <w:top w:val="single" w:color="auto" w:sz="4" w:space="0"/>
              <w:left w:val="single" w:color="auto" w:sz="4" w:space="0"/>
              <w:bottom w:val="single" w:color="auto" w:sz="4" w:space="0"/>
              <w:right w:val="single" w:color="auto" w:sz="4" w:space="0"/>
            </w:tcBorders>
            <w:noWrap w:val="0"/>
            <w:vAlign w:val="center"/>
          </w:tcPr>
          <w:p w14:paraId="487D06C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类别</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3FEB54B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数量</w:t>
            </w:r>
          </w:p>
        </w:tc>
        <w:tc>
          <w:tcPr>
            <w:tcW w:w="1657" w:type="dxa"/>
            <w:tcBorders>
              <w:top w:val="single" w:color="auto" w:sz="4" w:space="0"/>
              <w:left w:val="single" w:color="auto" w:sz="4" w:space="0"/>
              <w:bottom w:val="single" w:color="auto" w:sz="4" w:space="0"/>
              <w:right w:val="single" w:color="auto" w:sz="4" w:space="0"/>
            </w:tcBorders>
            <w:noWrap w:val="0"/>
            <w:vAlign w:val="center"/>
          </w:tcPr>
          <w:p w14:paraId="35E4346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型号</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247ED0C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最大管电压（kV）</w:t>
            </w:r>
          </w:p>
        </w:tc>
        <w:tc>
          <w:tcPr>
            <w:tcW w:w="1427" w:type="dxa"/>
            <w:tcBorders>
              <w:top w:val="single" w:color="auto" w:sz="4" w:space="0"/>
              <w:left w:val="single" w:color="auto" w:sz="4" w:space="0"/>
              <w:bottom w:val="single" w:color="auto" w:sz="4" w:space="0"/>
              <w:right w:val="single" w:color="auto" w:sz="4" w:space="0"/>
            </w:tcBorders>
            <w:noWrap w:val="0"/>
            <w:vAlign w:val="center"/>
          </w:tcPr>
          <w:p w14:paraId="1B43907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最大管电流（mA）</w:t>
            </w:r>
          </w:p>
        </w:tc>
        <w:tc>
          <w:tcPr>
            <w:tcW w:w="1551" w:type="dxa"/>
            <w:tcBorders>
              <w:top w:val="single" w:color="auto" w:sz="4" w:space="0"/>
              <w:left w:val="single" w:color="auto" w:sz="4" w:space="0"/>
              <w:bottom w:val="single" w:color="auto" w:sz="4" w:space="0"/>
              <w:right w:val="single" w:color="auto" w:sz="4" w:space="0"/>
            </w:tcBorders>
            <w:noWrap w:val="0"/>
            <w:vAlign w:val="center"/>
          </w:tcPr>
          <w:p w14:paraId="7BBC61F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用途</w:t>
            </w:r>
          </w:p>
        </w:tc>
        <w:tc>
          <w:tcPr>
            <w:tcW w:w="2428" w:type="dxa"/>
            <w:tcBorders>
              <w:top w:val="single" w:color="auto" w:sz="4" w:space="0"/>
              <w:left w:val="single" w:color="auto" w:sz="4" w:space="0"/>
              <w:bottom w:val="single" w:color="auto" w:sz="4" w:space="0"/>
              <w:right w:val="single" w:color="auto" w:sz="4" w:space="0"/>
            </w:tcBorders>
            <w:noWrap w:val="0"/>
            <w:vAlign w:val="center"/>
          </w:tcPr>
          <w:p w14:paraId="08D9307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工作场所</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6F3B218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备注</w:t>
            </w:r>
          </w:p>
        </w:tc>
      </w:tr>
      <w:tr w14:paraId="30BE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3" w:type="dxa"/>
            <w:tcBorders>
              <w:top w:val="single" w:color="auto" w:sz="4" w:space="0"/>
              <w:left w:val="single" w:color="auto" w:sz="4" w:space="0"/>
              <w:bottom w:val="single" w:color="auto" w:sz="4" w:space="0"/>
              <w:right w:val="single" w:color="auto" w:sz="4" w:space="0"/>
            </w:tcBorders>
            <w:noWrap w:val="0"/>
            <w:vAlign w:val="center"/>
          </w:tcPr>
          <w:p w14:paraId="2541328C">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2A6B21E8">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w:t>
            </w:r>
          </w:p>
        </w:tc>
        <w:tc>
          <w:tcPr>
            <w:tcW w:w="847" w:type="dxa"/>
            <w:tcBorders>
              <w:top w:val="single" w:color="auto" w:sz="4" w:space="0"/>
              <w:left w:val="single" w:color="auto" w:sz="4" w:space="0"/>
              <w:bottom w:val="single" w:color="auto" w:sz="4" w:space="0"/>
              <w:right w:val="single" w:color="auto" w:sz="4" w:space="0"/>
            </w:tcBorders>
            <w:noWrap w:val="0"/>
            <w:vAlign w:val="center"/>
          </w:tcPr>
          <w:p w14:paraId="744519C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 2 \* ROMAN </w:instrText>
            </w:r>
            <w:r>
              <w:rPr>
                <w:rFonts w:hint="default" w:ascii="Times New Roman" w:hAnsi="Times New Roman" w:eastAsia="宋体" w:cs="Times New Roman"/>
                <w:color w:val="auto"/>
                <w:spacing w:val="0"/>
                <w:position w:val="0"/>
              </w:rPr>
              <w:fldChar w:fldCharType="separate"/>
            </w:r>
            <w:r>
              <w:rPr>
                <w:rFonts w:hint="default" w:ascii="Times New Roman" w:hAnsi="Times New Roman" w:eastAsia="宋体" w:cs="Times New Roman"/>
                <w:color w:val="auto"/>
                <w:spacing w:val="0"/>
                <w:position w:val="0"/>
              </w:rPr>
              <w:t>II</w:t>
            </w:r>
            <w:r>
              <w:rPr>
                <w:rFonts w:hint="default" w:ascii="Times New Roman" w:hAnsi="Times New Roman" w:eastAsia="宋体" w:cs="Times New Roman"/>
                <w:color w:val="auto"/>
                <w:spacing w:val="0"/>
                <w:position w:val="0"/>
              </w:rPr>
              <w:fldChar w:fldCharType="end"/>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1879225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w:t>
            </w:r>
          </w:p>
        </w:tc>
        <w:tc>
          <w:tcPr>
            <w:tcW w:w="1657" w:type="dxa"/>
            <w:tcBorders>
              <w:top w:val="single" w:color="auto" w:sz="4" w:space="0"/>
              <w:left w:val="single" w:color="auto" w:sz="4" w:space="0"/>
              <w:bottom w:val="single" w:color="auto" w:sz="4" w:space="0"/>
              <w:right w:val="single" w:color="auto" w:sz="4" w:space="0"/>
            </w:tcBorders>
            <w:noWrap w:val="0"/>
            <w:vAlign w:val="center"/>
          </w:tcPr>
          <w:p w14:paraId="55D2904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sz w:val="24"/>
                <w:highlight w:val="none"/>
                <w:lang w:val="en-US" w:eastAsia="zh-CN"/>
              </w:rPr>
              <w:t>ARTIS pheno Master</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51D5FF7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125</w:t>
            </w:r>
          </w:p>
        </w:tc>
        <w:tc>
          <w:tcPr>
            <w:tcW w:w="1427" w:type="dxa"/>
            <w:tcBorders>
              <w:top w:val="single" w:color="auto" w:sz="4" w:space="0"/>
              <w:left w:val="single" w:color="auto" w:sz="4" w:space="0"/>
              <w:bottom w:val="single" w:color="auto" w:sz="4" w:space="0"/>
              <w:right w:val="single" w:color="auto" w:sz="4" w:space="0"/>
            </w:tcBorders>
            <w:noWrap w:val="0"/>
            <w:vAlign w:val="center"/>
          </w:tcPr>
          <w:p w14:paraId="1415073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1</w:t>
            </w:r>
            <w:r>
              <w:rPr>
                <w:rFonts w:hint="default" w:ascii="Times New Roman" w:hAnsi="Times New Roman" w:eastAsia="宋体" w:cs="Times New Roman"/>
                <w:color w:val="auto"/>
                <w:spacing w:val="0"/>
                <w:position w:val="0"/>
                <w:lang w:val="en-US" w:eastAsia="zh-CN"/>
              </w:rPr>
              <w:t>00</w:t>
            </w:r>
            <w:r>
              <w:rPr>
                <w:rFonts w:hint="default" w:ascii="Times New Roman" w:hAnsi="Times New Roman" w:eastAsia="宋体" w:cs="Times New Roman"/>
                <w:color w:val="auto"/>
                <w:spacing w:val="0"/>
                <w:position w:val="0"/>
                <w:lang w:eastAsia="zh-CN"/>
              </w:rPr>
              <w:t>0</w:t>
            </w:r>
          </w:p>
        </w:tc>
        <w:tc>
          <w:tcPr>
            <w:tcW w:w="1551" w:type="dxa"/>
            <w:tcBorders>
              <w:top w:val="single" w:color="auto" w:sz="4" w:space="0"/>
              <w:left w:val="single" w:color="auto" w:sz="4" w:space="0"/>
              <w:bottom w:val="single" w:color="auto" w:sz="4" w:space="0"/>
              <w:right w:val="single" w:color="auto" w:sz="4" w:space="0"/>
            </w:tcBorders>
            <w:noWrap w:val="0"/>
            <w:vAlign w:val="center"/>
          </w:tcPr>
          <w:p w14:paraId="0AE263F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医疗诊断/</w:t>
            </w:r>
          </w:p>
          <w:p w14:paraId="0212AAC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介入治疗</w:t>
            </w:r>
          </w:p>
        </w:tc>
        <w:tc>
          <w:tcPr>
            <w:tcW w:w="2428" w:type="dxa"/>
            <w:tcBorders>
              <w:top w:val="single" w:color="auto" w:sz="4" w:space="0"/>
              <w:left w:val="single" w:color="auto" w:sz="4" w:space="0"/>
              <w:bottom w:val="single" w:color="auto" w:sz="4" w:space="0"/>
              <w:right w:val="single" w:color="auto" w:sz="4" w:space="0"/>
            </w:tcBorders>
            <w:noWrap w:val="0"/>
            <w:vAlign w:val="center"/>
          </w:tcPr>
          <w:p w14:paraId="46F52C76">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曲靖市第二人民医院住院楼5楼</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6EC6011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本次环评新增</w:t>
            </w:r>
          </w:p>
        </w:tc>
      </w:tr>
      <w:tr w14:paraId="7F29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53" w:type="dxa"/>
            <w:tcBorders>
              <w:top w:val="single" w:color="auto" w:sz="4" w:space="0"/>
              <w:left w:val="single" w:color="auto" w:sz="4" w:space="0"/>
              <w:bottom w:val="single" w:color="auto" w:sz="4" w:space="0"/>
              <w:right w:val="single" w:color="auto" w:sz="4" w:space="0"/>
            </w:tcBorders>
            <w:noWrap w:val="0"/>
            <w:vAlign w:val="center"/>
          </w:tcPr>
          <w:p w14:paraId="4A0EF94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1388" w:type="dxa"/>
            <w:tcBorders>
              <w:top w:val="single" w:color="auto" w:sz="4" w:space="0"/>
              <w:left w:val="single" w:color="auto" w:sz="4" w:space="0"/>
              <w:bottom w:val="single" w:color="auto" w:sz="4" w:space="0"/>
              <w:right w:val="single" w:color="auto" w:sz="4" w:space="0"/>
            </w:tcBorders>
            <w:noWrap w:val="0"/>
            <w:vAlign w:val="center"/>
          </w:tcPr>
          <w:p w14:paraId="07099AC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847" w:type="dxa"/>
            <w:tcBorders>
              <w:top w:val="single" w:color="auto" w:sz="4" w:space="0"/>
              <w:left w:val="single" w:color="auto" w:sz="4" w:space="0"/>
              <w:bottom w:val="single" w:color="auto" w:sz="4" w:space="0"/>
              <w:right w:val="single" w:color="auto" w:sz="4" w:space="0"/>
            </w:tcBorders>
            <w:noWrap w:val="0"/>
            <w:vAlign w:val="center"/>
          </w:tcPr>
          <w:p w14:paraId="5636792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819" w:type="dxa"/>
            <w:tcBorders>
              <w:top w:val="single" w:color="auto" w:sz="4" w:space="0"/>
              <w:left w:val="single" w:color="auto" w:sz="4" w:space="0"/>
              <w:bottom w:val="single" w:color="auto" w:sz="4" w:space="0"/>
              <w:right w:val="single" w:color="auto" w:sz="4" w:space="0"/>
            </w:tcBorders>
            <w:noWrap w:val="0"/>
            <w:vAlign w:val="center"/>
          </w:tcPr>
          <w:p w14:paraId="5160240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1657" w:type="dxa"/>
            <w:tcBorders>
              <w:top w:val="single" w:color="auto" w:sz="4" w:space="0"/>
              <w:left w:val="single" w:color="auto" w:sz="4" w:space="0"/>
              <w:bottom w:val="single" w:color="auto" w:sz="4" w:space="0"/>
              <w:right w:val="single" w:color="auto" w:sz="4" w:space="0"/>
            </w:tcBorders>
            <w:noWrap w:val="0"/>
            <w:vAlign w:val="center"/>
          </w:tcPr>
          <w:p w14:paraId="2E81403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14:paraId="22B0EC4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1427" w:type="dxa"/>
            <w:tcBorders>
              <w:top w:val="single" w:color="auto" w:sz="4" w:space="0"/>
              <w:left w:val="single" w:color="auto" w:sz="4" w:space="0"/>
              <w:bottom w:val="single" w:color="auto" w:sz="4" w:space="0"/>
              <w:right w:val="single" w:color="auto" w:sz="4" w:space="0"/>
            </w:tcBorders>
            <w:noWrap w:val="0"/>
            <w:vAlign w:val="center"/>
          </w:tcPr>
          <w:p w14:paraId="764471A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190F35C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2428" w:type="dxa"/>
            <w:tcBorders>
              <w:top w:val="single" w:color="auto" w:sz="4" w:space="0"/>
              <w:left w:val="single" w:color="auto" w:sz="4" w:space="0"/>
              <w:bottom w:val="single" w:color="auto" w:sz="4" w:space="0"/>
              <w:right w:val="single" w:color="auto" w:sz="4" w:space="0"/>
            </w:tcBorders>
            <w:noWrap w:val="0"/>
            <w:vAlign w:val="center"/>
          </w:tcPr>
          <w:p w14:paraId="40628A68">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c>
          <w:tcPr>
            <w:tcW w:w="1114" w:type="dxa"/>
            <w:tcBorders>
              <w:top w:val="single" w:color="auto" w:sz="4" w:space="0"/>
              <w:left w:val="single" w:color="auto" w:sz="4" w:space="0"/>
              <w:bottom w:val="single" w:color="auto" w:sz="4" w:space="0"/>
              <w:right w:val="single" w:color="auto" w:sz="4" w:space="0"/>
            </w:tcBorders>
            <w:noWrap w:val="0"/>
            <w:vAlign w:val="center"/>
          </w:tcPr>
          <w:p w14:paraId="4920077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p>
        </w:tc>
      </w:tr>
    </w:tbl>
    <w:p w14:paraId="1A040B33">
      <w:pPr>
        <w:rPr>
          <w:rFonts w:hint="default" w:ascii="Times New Roman" w:hAnsi="Times New Roman" w:eastAsia="宋体" w:cs="Times New Roman"/>
          <w:color w:val="auto"/>
          <w:spacing w:val="0"/>
          <w:position w:val="0"/>
        </w:rPr>
      </w:pPr>
      <w:bookmarkStart w:id="22" w:name="_Toc6331_WPSOffice_Level1"/>
      <w:bookmarkStart w:id="23" w:name="_Toc12672_WPSOffice_Level1"/>
      <w:r>
        <w:rPr>
          <w:rFonts w:hint="default" w:ascii="Times New Roman" w:hAnsi="Times New Roman" w:eastAsia="宋体" w:cs="Times New Roman"/>
          <w:color w:val="auto"/>
          <w:spacing w:val="0"/>
          <w:position w:val="0"/>
        </w:rPr>
        <w:t>（三）中子发生器，包括中子管，但不包括放射性中子源</w:t>
      </w:r>
      <w:bookmarkEnd w:id="22"/>
      <w:bookmarkEnd w:id="23"/>
    </w:p>
    <w:tbl>
      <w:tblPr>
        <w:tblStyle w:val="20"/>
        <w:tblW w:w="13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509"/>
        <w:gridCol w:w="472"/>
        <w:gridCol w:w="456"/>
        <w:gridCol w:w="935"/>
        <w:gridCol w:w="1295"/>
        <w:gridCol w:w="1264"/>
        <w:gridCol w:w="1016"/>
        <w:gridCol w:w="764"/>
        <w:gridCol w:w="1269"/>
        <w:gridCol w:w="1309"/>
        <w:gridCol w:w="1269"/>
        <w:gridCol w:w="993"/>
        <w:gridCol w:w="566"/>
      </w:tblGrid>
      <w:tr w14:paraId="77FE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2" w:type="dxa"/>
            <w:vMerge w:val="restart"/>
            <w:tcBorders>
              <w:top w:val="single" w:color="auto" w:sz="4" w:space="0"/>
              <w:left w:val="single" w:color="auto" w:sz="4" w:space="0"/>
              <w:right w:val="single" w:color="auto" w:sz="4" w:space="0"/>
            </w:tcBorders>
            <w:noWrap w:val="0"/>
            <w:vAlign w:val="center"/>
          </w:tcPr>
          <w:p w14:paraId="13F7B4C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1509" w:type="dxa"/>
            <w:vMerge w:val="restart"/>
            <w:tcBorders>
              <w:top w:val="single" w:color="auto" w:sz="4" w:space="0"/>
              <w:left w:val="single" w:color="auto" w:sz="4" w:space="0"/>
              <w:right w:val="single" w:color="auto" w:sz="4" w:space="0"/>
            </w:tcBorders>
            <w:noWrap w:val="0"/>
            <w:vAlign w:val="center"/>
          </w:tcPr>
          <w:p w14:paraId="110CB4B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名称</w:t>
            </w:r>
          </w:p>
        </w:tc>
        <w:tc>
          <w:tcPr>
            <w:tcW w:w="472" w:type="dxa"/>
            <w:vMerge w:val="restart"/>
            <w:tcBorders>
              <w:top w:val="single" w:color="auto" w:sz="4" w:space="0"/>
              <w:left w:val="single" w:color="auto" w:sz="4" w:space="0"/>
              <w:right w:val="single" w:color="auto" w:sz="4" w:space="0"/>
            </w:tcBorders>
            <w:noWrap w:val="0"/>
            <w:vAlign w:val="center"/>
          </w:tcPr>
          <w:p w14:paraId="475D79D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类别</w:t>
            </w:r>
          </w:p>
        </w:tc>
        <w:tc>
          <w:tcPr>
            <w:tcW w:w="456" w:type="dxa"/>
            <w:vMerge w:val="restart"/>
            <w:tcBorders>
              <w:top w:val="single" w:color="auto" w:sz="4" w:space="0"/>
              <w:left w:val="single" w:color="auto" w:sz="4" w:space="0"/>
              <w:right w:val="single" w:color="auto" w:sz="4" w:space="0"/>
            </w:tcBorders>
            <w:noWrap w:val="0"/>
            <w:vAlign w:val="center"/>
          </w:tcPr>
          <w:p w14:paraId="027A7FE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数量</w:t>
            </w:r>
          </w:p>
        </w:tc>
        <w:tc>
          <w:tcPr>
            <w:tcW w:w="935" w:type="dxa"/>
            <w:vMerge w:val="restart"/>
            <w:tcBorders>
              <w:top w:val="single" w:color="auto" w:sz="4" w:space="0"/>
              <w:left w:val="single" w:color="auto" w:sz="4" w:space="0"/>
              <w:right w:val="single" w:color="auto" w:sz="4" w:space="0"/>
            </w:tcBorders>
            <w:noWrap w:val="0"/>
            <w:vAlign w:val="center"/>
          </w:tcPr>
          <w:p w14:paraId="02DF85A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型号</w:t>
            </w:r>
          </w:p>
        </w:tc>
        <w:tc>
          <w:tcPr>
            <w:tcW w:w="1295" w:type="dxa"/>
            <w:vMerge w:val="restart"/>
            <w:tcBorders>
              <w:top w:val="single" w:color="auto" w:sz="4" w:space="0"/>
              <w:left w:val="single" w:color="auto" w:sz="4" w:space="0"/>
              <w:right w:val="single" w:color="auto" w:sz="4" w:space="0"/>
            </w:tcBorders>
            <w:noWrap w:val="0"/>
            <w:vAlign w:val="center"/>
          </w:tcPr>
          <w:p w14:paraId="783A7A1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最大管电压（kV）</w:t>
            </w:r>
          </w:p>
        </w:tc>
        <w:tc>
          <w:tcPr>
            <w:tcW w:w="1264" w:type="dxa"/>
            <w:vMerge w:val="restart"/>
            <w:tcBorders>
              <w:top w:val="single" w:color="auto" w:sz="4" w:space="0"/>
              <w:left w:val="single" w:color="auto" w:sz="4" w:space="0"/>
              <w:right w:val="single" w:color="auto" w:sz="4" w:space="0"/>
            </w:tcBorders>
            <w:noWrap w:val="0"/>
            <w:vAlign w:val="center"/>
          </w:tcPr>
          <w:p w14:paraId="1537117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最大靶电流（μA）</w:t>
            </w:r>
          </w:p>
        </w:tc>
        <w:tc>
          <w:tcPr>
            <w:tcW w:w="1016" w:type="dxa"/>
            <w:vMerge w:val="restart"/>
            <w:tcBorders>
              <w:top w:val="single" w:color="auto" w:sz="4" w:space="0"/>
              <w:left w:val="single" w:color="auto" w:sz="4" w:space="0"/>
              <w:right w:val="single" w:color="auto" w:sz="4" w:space="0"/>
            </w:tcBorders>
            <w:noWrap w:val="0"/>
            <w:vAlign w:val="center"/>
          </w:tcPr>
          <w:p w14:paraId="3E29CFD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中子强度</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n/s</w:t>
            </w:r>
            <w:r>
              <w:rPr>
                <w:rFonts w:hint="default" w:ascii="Times New Roman" w:hAnsi="Times New Roman" w:eastAsia="宋体" w:cs="Times New Roman"/>
                <w:color w:val="auto"/>
                <w:spacing w:val="0"/>
                <w:position w:val="0"/>
                <w:lang w:eastAsia="zh-CN"/>
              </w:rPr>
              <w:t>）</w:t>
            </w:r>
          </w:p>
        </w:tc>
        <w:tc>
          <w:tcPr>
            <w:tcW w:w="764" w:type="dxa"/>
            <w:vMerge w:val="restart"/>
            <w:tcBorders>
              <w:top w:val="single" w:color="auto" w:sz="4" w:space="0"/>
              <w:left w:val="single" w:color="auto" w:sz="4" w:space="0"/>
              <w:right w:val="single" w:color="auto" w:sz="4" w:space="0"/>
            </w:tcBorders>
            <w:noWrap w:val="0"/>
            <w:vAlign w:val="center"/>
          </w:tcPr>
          <w:p w14:paraId="4A7495B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用途</w:t>
            </w:r>
          </w:p>
        </w:tc>
        <w:tc>
          <w:tcPr>
            <w:tcW w:w="1269" w:type="dxa"/>
            <w:vMerge w:val="restart"/>
            <w:tcBorders>
              <w:top w:val="single" w:color="auto" w:sz="4" w:space="0"/>
              <w:left w:val="single" w:color="auto" w:sz="4" w:space="0"/>
              <w:right w:val="single" w:color="auto" w:sz="4" w:space="0"/>
            </w:tcBorders>
            <w:noWrap w:val="0"/>
            <w:vAlign w:val="center"/>
          </w:tcPr>
          <w:p w14:paraId="4F0615B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工作场所</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14:paraId="3EF649F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氚靶情况</w:t>
            </w:r>
          </w:p>
        </w:tc>
        <w:tc>
          <w:tcPr>
            <w:tcW w:w="566" w:type="dxa"/>
            <w:vMerge w:val="restart"/>
            <w:tcBorders>
              <w:top w:val="single" w:color="auto" w:sz="4" w:space="0"/>
              <w:left w:val="single" w:color="auto" w:sz="4" w:space="0"/>
              <w:right w:val="single" w:color="auto" w:sz="4" w:space="0"/>
            </w:tcBorders>
            <w:noWrap w:val="0"/>
            <w:vAlign w:val="center"/>
          </w:tcPr>
          <w:p w14:paraId="00E1CD4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备注</w:t>
            </w:r>
          </w:p>
        </w:tc>
      </w:tr>
      <w:tr w14:paraId="2B70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2" w:type="dxa"/>
            <w:vMerge w:val="continue"/>
            <w:tcBorders>
              <w:left w:val="single" w:color="auto" w:sz="4" w:space="0"/>
              <w:bottom w:val="single" w:color="auto" w:sz="4" w:space="0"/>
              <w:right w:val="single" w:color="auto" w:sz="4" w:space="0"/>
            </w:tcBorders>
            <w:noWrap w:val="0"/>
            <w:vAlign w:val="center"/>
          </w:tcPr>
          <w:p w14:paraId="598BD5F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509" w:type="dxa"/>
            <w:vMerge w:val="continue"/>
            <w:tcBorders>
              <w:left w:val="single" w:color="auto" w:sz="4" w:space="0"/>
              <w:bottom w:val="single" w:color="auto" w:sz="4" w:space="0"/>
              <w:right w:val="single" w:color="auto" w:sz="4" w:space="0"/>
            </w:tcBorders>
            <w:noWrap w:val="0"/>
            <w:vAlign w:val="center"/>
          </w:tcPr>
          <w:p w14:paraId="46A204A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472" w:type="dxa"/>
            <w:vMerge w:val="continue"/>
            <w:tcBorders>
              <w:left w:val="single" w:color="auto" w:sz="4" w:space="0"/>
              <w:bottom w:val="single" w:color="auto" w:sz="4" w:space="0"/>
              <w:right w:val="single" w:color="auto" w:sz="4" w:space="0"/>
            </w:tcBorders>
            <w:noWrap w:val="0"/>
            <w:vAlign w:val="center"/>
          </w:tcPr>
          <w:p w14:paraId="42DF5F4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456" w:type="dxa"/>
            <w:vMerge w:val="continue"/>
            <w:tcBorders>
              <w:left w:val="single" w:color="auto" w:sz="4" w:space="0"/>
              <w:bottom w:val="single" w:color="auto" w:sz="4" w:space="0"/>
              <w:right w:val="single" w:color="auto" w:sz="4" w:space="0"/>
            </w:tcBorders>
            <w:noWrap w:val="0"/>
            <w:vAlign w:val="center"/>
          </w:tcPr>
          <w:p w14:paraId="512A8E1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35" w:type="dxa"/>
            <w:vMerge w:val="continue"/>
            <w:tcBorders>
              <w:left w:val="single" w:color="auto" w:sz="4" w:space="0"/>
              <w:bottom w:val="single" w:color="auto" w:sz="4" w:space="0"/>
              <w:right w:val="single" w:color="auto" w:sz="4" w:space="0"/>
            </w:tcBorders>
            <w:noWrap w:val="0"/>
            <w:vAlign w:val="center"/>
          </w:tcPr>
          <w:p w14:paraId="7F99272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95" w:type="dxa"/>
            <w:vMerge w:val="continue"/>
            <w:tcBorders>
              <w:left w:val="single" w:color="auto" w:sz="4" w:space="0"/>
              <w:bottom w:val="single" w:color="auto" w:sz="4" w:space="0"/>
              <w:right w:val="single" w:color="auto" w:sz="4" w:space="0"/>
            </w:tcBorders>
            <w:noWrap w:val="0"/>
            <w:vAlign w:val="center"/>
          </w:tcPr>
          <w:p w14:paraId="0CD9535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4" w:type="dxa"/>
            <w:vMerge w:val="continue"/>
            <w:tcBorders>
              <w:left w:val="single" w:color="auto" w:sz="4" w:space="0"/>
              <w:bottom w:val="single" w:color="auto" w:sz="4" w:space="0"/>
              <w:right w:val="single" w:color="auto" w:sz="4" w:space="0"/>
            </w:tcBorders>
            <w:noWrap w:val="0"/>
            <w:vAlign w:val="center"/>
          </w:tcPr>
          <w:p w14:paraId="20E8511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016" w:type="dxa"/>
            <w:vMerge w:val="continue"/>
            <w:tcBorders>
              <w:left w:val="single" w:color="auto" w:sz="4" w:space="0"/>
              <w:bottom w:val="single" w:color="auto" w:sz="4" w:space="0"/>
              <w:right w:val="single" w:color="auto" w:sz="4" w:space="0"/>
            </w:tcBorders>
            <w:noWrap w:val="0"/>
            <w:vAlign w:val="center"/>
          </w:tcPr>
          <w:p w14:paraId="2AF86C8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64" w:type="dxa"/>
            <w:vMerge w:val="continue"/>
            <w:tcBorders>
              <w:left w:val="single" w:color="auto" w:sz="4" w:space="0"/>
              <w:bottom w:val="single" w:color="auto" w:sz="4" w:space="0"/>
              <w:right w:val="single" w:color="auto" w:sz="4" w:space="0"/>
            </w:tcBorders>
            <w:noWrap w:val="0"/>
            <w:vAlign w:val="center"/>
          </w:tcPr>
          <w:p w14:paraId="0D5C438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9" w:type="dxa"/>
            <w:vMerge w:val="continue"/>
            <w:tcBorders>
              <w:left w:val="single" w:color="auto" w:sz="4" w:space="0"/>
              <w:bottom w:val="single" w:color="auto" w:sz="4" w:space="0"/>
              <w:right w:val="single" w:color="auto" w:sz="4" w:space="0"/>
            </w:tcBorders>
            <w:noWrap w:val="0"/>
            <w:vAlign w:val="center"/>
          </w:tcPr>
          <w:p w14:paraId="3296102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09" w:type="dxa"/>
            <w:tcBorders>
              <w:top w:val="single" w:color="auto" w:sz="4" w:space="0"/>
              <w:left w:val="single" w:color="auto" w:sz="4" w:space="0"/>
              <w:bottom w:val="single" w:color="auto" w:sz="4" w:space="0"/>
              <w:right w:val="single" w:color="auto" w:sz="4" w:space="0"/>
            </w:tcBorders>
            <w:noWrap w:val="0"/>
            <w:vAlign w:val="center"/>
          </w:tcPr>
          <w:p w14:paraId="79DBC2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活度（Bq）</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0F1CF07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贮存方式</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0AB93BA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数量</w:t>
            </w:r>
          </w:p>
        </w:tc>
        <w:tc>
          <w:tcPr>
            <w:tcW w:w="566" w:type="dxa"/>
            <w:vMerge w:val="continue"/>
            <w:tcBorders>
              <w:left w:val="single" w:color="auto" w:sz="4" w:space="0"/>
              <w:bottom w:val="single" w:color="auto" w:sz="4" w:space="0"/>
              <w:right w:val="single" w:color="auto" w:sz="4" w:space="0"/>
            </w:tcBorders>
            <w:noWrap w:val="0"/>
            <w:vAlign w:val="center"/>
          </w:tcPr>
          <w:p w14:paraId="3A8A089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332A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5439293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509" w:type="dxa"/>
            <w:tcBorders>
              <w:top w:val="single" w:color="auto" w:sz="4" w:space="0"/>
              <w:left w:val="single" w:color="auto" w:sz="4" w:space="0"/>
              <w:bottom w:val="single" w:color="auto" w:sz="4" w:space="0"/>
              <w:right w:val="single" w:color="auto" w:sz="4" w:space="0"/>
            </w:tcBorders>
            <w:noWrap w:val="0"/>
            <w:vAlign w:val="center"/>
          </w:tcPr>
          <w:p w14:paraId="4C624AB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472" w:type="dxa"/>
            <w:tcBorders>
              <w:top w:val="single" w:color="auto" w:sz="4" w:space="0"/>
              <w:left w:val="single" w:color="auto" w:sz="4" w:space="0"/>
              <w:bottom w:val="single" w:color="auto" w:sz="4" w:space="0"/>
              <w:right w:val="single" w:color="auto" w:sz="4" w:space="0"/>
            </w:tcBorders>
            <w:noWrap w:val="0"/>
            <w:vAlign w:val="center"/>
          </w:tcPr>
          <w:p w14:paraId="7127276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178AC15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35" w:type="dxa"/>
            <w:tcBorders>
              <w:top w:val="single" w:color="auto" w:sz="4" w:space="0"/>
              <w:left w:val="single" w:color="auto" w:sz="4" w:space="0"/>
              <w:bottom w:val="single" w:color="auto" w:sz="4" w:space="0"/>
              <w:right w:val="single" w:color="auto" w:sz="4" w:space="0"/>
            </w:tcBorders>
            <w:noWrap w:val="0"/>
            <w:vAlign w:val="center"/>
          </w:tcPr>
          <w:p w14:paraId="2B86628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95" w:type="dxa"/>
            <w:tcBorders>
              <w:top w:val="single" w:color="auto" w:sz="4" w:space="0"/>
              <w:left w:val="single" w:color="auto" w:sz="4" w:space="0"/>
              <w:bottom w:val="single" w:color="auto" w:sz="4" w:space="0"/>
              <w:right w:val="single" w:color="auto" w:sz="4" w:space="0"/>
            </w:tcBorders>
            <w:noWrap w:val="0"/>
            <w:vAlign w:val="center"/>
          </w:tcPr>
          <w:p w14:paraId="161B176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5ED46A6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227330</wp:posOffset>
                      </wp:positionH>
                      <wp:positionV relativeFrom="paragraph">
                        <wp:posOffset>161925</wp:posOffset>
                      </wp:positionV>
                      <wp:extent cx="1485900" cy="297180"/>
                      <wp:effectExtent l="4445" t="4445" r="14605" b="22225"/>
                      <wp:wrapNone/>
                      <wp:docPr id="19" name="Rectangle 4"/>
                      <wp:cNvGraphicFramePr/>
                      <a:graphic xmlns:a="http://schemas.openxmlformats.org/drawingml/2006/main">
                        <a:graphicData uri="http://schemas.microsoft.com/office/word/2010/wordprocessingShape">
                          <wps:wsp>
                            <wps:cNvSpPr/>
                            <wps:spPr>
                              <a:xfrm>
                                <a:off x="0" y="0"/>
                                <a:ext cx="14859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F16C673">
                                  <w:pPr>
                                    <w:pStyle w:val="36"/>
                                    <w:jc w:val="center"/>
                                    <w:rPr>
                                      <w:sz w:val="24"/>
                                    </w:rPr>
                                  </w:pPr>
                                  <w:r>
                                    <w:rPr>
                                      <w:rFonts w:hint="eastAsia"/>
                                      <w:sz w:val="24"/>
                                    </w:rPr>
                                    <w:t>本项目不涉及</w:t>
                                  </w:r>
                                </w:p>
                              </w:txbxContent>
                            </wps:txbx>
                            <wps:bodyPr vert="horz" wrap="square" anchor="t" anchorCtr="0" upright="1"/>
                          </wps:wsp>
                        </a:graphicData>
                      </a:graphic>
                    </wp:anchor>
                  </w:drawing>
                </mc:Choice>
                <mc:Fallback>
                  <w:pict>
                    <v:rect id="Rectangle 4" o:spid="_x0000_s1026" o:spt="1" style="position:absolute;left:0pt;margin-left:17.9pt;margin-top:12.75pt;height:23.4pt;width:117pt;z-index:251662336;mso-width-relative:page;mso-height-relative:page;" fillcolor="#FFFFFF" filled="t" stroked="t" coordsize="21600,21600" o:gfxdata="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QnXfx9cAAAAI&#10;AQAADwAAAAAAAAABACAAAAAiAAAAZHJzL2Rvd25yZXYueG1sUEsBAhQAFAAAAAgAh07iQMt1TpEd&#10;AgAAbgQAAA4AAAAAAAAAAQAgAAAAJgEAAGRycy9lMm9Eb2MueG1sUEsFBgAAAAAGAAYAWQEAALUF&#10;AAAAAA==&#10;">
                      <v:fill on="t" focussize="0,0"/>
                      <v:stroke color="#000000" joinstyle="miter"/>
                      <v:imagedata o:title=""/>
                      <o:lock v:ext="edit" aspectratio="f"/>
                      <v:textbox>
                        <w:txbxContent>
                          <w:p w14:paraId="2F16C673">
                            <w:pPr>
                              <w:pStyle w:val="36"/>
                              <w:jc w:val="center"/>
                              <w:rPr>
                                <w:sz w:val="24"/>
                              </w:rPr>
                            </w:pPr>
                            <w:r>
                              <w:rPr>
                                <w:rFonts w:hint="eastAsia"/>
                                <w:sz w:val="24"/>
                              </w:rPr>
                              <w:t>本项目不涉及</w:t>
                            </w:r>
                          </w:p>
                        </w:txbxContent>
                      </v:textbox>
                    </v:rect>
                  </w:pict>
                </mc:Fallback>
              </mc:AlternateContent>
            </w:r>
          </w:p>
        </w:tc>
        <w:tc>
          <w:tcPr>
            <w:tcW w:w="1016" w:type="dxa"/>
            <w:tcBorders>
              <w:top w:val="single" w:color="auto" w:sz="4" w:space="0"/>
              <w:left w:val="single" w:color="auto" w:sz="4" w:space="0"/>
              <w:bottom w:val="single" w:color="auto" w:sz="4" w:space="0"/>
              <w:right w:val="single" w:color="auto" w:sz="4" w:space="0"/>
            </w:tcBorders>
            <w:noWrap w:val="0"/>
            <w:vAlign w:val="center"/>
          </w:tcPr>
          <w:p w14:paraId="62548A5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2FF7627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9" w:type="dxa"/>
            <w:tcBorders>
              <w:top w:val="single" w:color="auto" w:sz="4" w:space="0"/>
              <w:left w:val="single" w:color="auto" w:sz="4" w:space="0"/>
              <w:bottom w:val="single" w:color="auto" w:sz="4" w:space="0"/>
              <w:right w:val="single" w:color="auto" w:sz="4" w:space="0"/>
            </w:tcBorders>
            <w:noWrap w:val="0"/>
            <w:vAlign w:val="center"/>
          </w:tcPr>
          <w:p w14:paraId="1478552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09" w:type="dxa"/>
            <w:tcBorders>
              <w:top w:val="single" w:color="auto" w:sz="4" w:space="0"/>
              <w:left w:val="single" w:color="auto" w:sz="4" w:space="0"/>
              <w:bottom w:val="single" w:color="auto" w:sz="4" w:space="0"/>
              <w:right w:val="single" w:color="auto" w:sz="4" w:space="0"/>
            </w:tcBorders>
            <w:noWrap w:val="0"/>
            <w:vAlign w:val="center"/>
          </w:tcPr>
          <w:p w14:paraId="252DA0E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9" w:type="dxa"/>
            <w:tcBorders>
              <w:top w:val="single" w:color="auto" w:sz="4" w:space="0"/>
              <w:left w:val="single" w:color="auto" w:sz="4" w:space="0"/>
              <w:bottom w:val="single" w:color="auto" w:sz="4" w:space="0"/>
              <w:right w:val="single" w:color="auto" w:sz="4" w:space="0"/>
            </w:tcBorders>
            <w:noWrap w:val="0"/>
            <w:vAlign w:val="center"/>
          </w:tcPr>
          <w:p w14:paraId="1380CF9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A10EE7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566" w:type="dxa"/>
            <w:tcBorders>
              <w:top w:val="single" w:color="auto" w:sz="4" w:space="0"/>
              <w:left w:val="single" w:color="auto" w:sz="4" w:space="0"/>
              <w:bottom w:val="single" w:color="auto" w:sz="4" w:space="0"/>
              <w:right w:val="single" w:color="auto" w:sz="4" w:space="0"/>
            </w:tcBorders>
            <w:noWrap w:val="0"/>
            <w:vAlign w:val="center"/>
          </w:tcPr>
          <w:p w14:paraId="2ADE5B0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6CD8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F4E94B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509" w:type="dxa"/>
            <w:tcBorders>
              <w:top w:val="single" w:color="auto" w:sz="4" w:space="0"/>
              <w:left w:val="single" w:color="auto" w:sz="4" w:space="0"/>
              <w:bottom w:val="single" w:color="auto" w:sz="4" w:space="0"/>
              <w:right w:val="single" w:color="auto" w:sz="4" w:space="0"/>
            </w:tcBorders>
            <w:noWrap w:val="0"/>
            <w:vAlign w:val="center"/>
          </w:tcPr>
          <w:p w14:paraId="67A7A0F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472" w:type="dxa"/>
            <w:tcBorders>
              <w:top w:val="single" w:color="auto" w:sz="4" w:space="0"/>
              <w:left w:val="single" w:color="auto" w:sz="4" w:space="0"/>
              <w:bottom w:val="single" w:color="auto" w:sz="4" w:space="0"/>
              <w:right w:val="single" w:color="auto" w:sz="4" w:space="0"/>
            </w:tcBorders>
            <w:noWrap w:val="0"/>
            <w:vAlign w:val="center"/>
          </w:tcPr>
          <w:p w14:paraId="3C8452C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456" w:type="dxa"/>
            <w:tcBorders>
              <w:top w:val="single" w:color="auto" w:sz="4" w:space="0"/>
              <w:left w:val="single" w:color="auto" w:sz="4" w:space="0"/>
              <w:bottom w:val="single" w:color="auto" w:sz="4" w:space="0"/>
              <w:right w:val="single" w:color="auto" w:sz="4" w:space="0"/>
            </w:tcBorders>
            <w:noWrap w:val="0"/>
            <w:vAlign w:val="center"/>
          </w:tcPr>
          <w:p w14:paraId="6839E37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35" w:type="dxa"/>
            <w:tcBorders>
              <w:top w:val="single" w:color="auto" w:sz="4" w:space="0"/>
              <w:left w:val="single" w:color="auto" w:sz="4" w:space="0"/>
              <w:bottom w:val="single" w:color="auto" w:sz="4" w:space="0"/>
              <w:right w:val="single" w:color="auto" w:sz="4" w:space="0"/>
            </w:tcBorders>
            <w:noWrap w:val="0"/>
            <w:vAlign w:val="center"/>
          </w:tcPr>
          <w:p w14:paraId="50A23FF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95" w:type="dxa"/>
            <w:tcBorders>
              <w:top w:val="single" w:color="auto" w:sz="4" w:space="0"/>
              <w:left w:val="single" w:color="auto" w:sz="4" w:space="0"/>
              <w:bottom w:val="single" w:color="auto" w:sz="4" w:space="0"/>
              <w:right w:val="single" w:color="auto" w:sz="4" w:space="0"/>
            </w:tcBorders>
            <w:noWrap w:val="0"/>
            <w:vAlign w:val="center"/>
          </w:tcPr>
          <w:p w14:paraId="565007B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6C254E3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016" w:type="dxa"/>
            <w:tcBorders>
              <w:top w:val="single" w:color="auto" w:sz="4" w:space="0"/>
              <w:left w:val="single" w:color="auto" w:sz="4" w:space="0"/>
              <w:bottom w:val="single" w:color="auto" w:sz="4" w:space="0"/>
              <w:right w:val="single" w:color="auto" w:sz="4" w:space="0"/>
            </w:tcBorders>
            <w:noWrap w:val="0"/>
            <w:vAlign w:val="center"/>
          </w:tcPr>
          <w:p w14:paraId="66C8D21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764" w:type="dxa"/>
            <w:tcBorders>
              <w:top w:val="single" w:color="auto" w:sz="4" w:space="0"/>
              <w:left w:val="single" w:color="auto" w:sz="4" w:space="0"/>
              <w:bottom w:val="single" w:color="auto" w:sz="4" w:space="0"/>
              <w:right w:val="single" w:color="auto" w:sz="4" w:space="0"/>
            </w:tcBorders>
            <w:noWrap w:val="0"/>
            <w:vAlign w:val="center"/>
          </w:tcPr>
          <w:p w14:paraId="2603BE2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9" w:type="dxa"/>
            <w:tcBorders>
              <w:top w:val="single" w:color="auto" w:sz="4" w:space="0"/>
              <w:left w:val="single" w:color="auto" w:sz="4" w:space="0"/>
              <w:bottom w:val="single" w:color="auto" w:sz="4" w:space="0"/>
              <w:right w:val="single" w:color="auto" w:sz="4" w:space="0"/>
            </w:tcBorders>
            <w:noWrap w:val="0"/>
            <w:vAlign w:val="center"/>
          </w:tcPr>
          <w:p w14:paraId="5ADBB16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09" w:type="dxa"/>
            <w:tcBorders>
              <w:top w:val="single" w:color="auto" w:sz="4" w:space="0"/>
              <w:left w:val="single" w:color="auto" w:sz="4" w:space="0"/>
              <w:bottom w:val="single" w:color="auto" w:sz="4" w:space="0"/>
              <w:right w:val="single" w:color="auto" w:sz="4" w:space="0"/>
            </w:tcBorders>
            <w:noWrap w:val="0"/>
            <w:vAlign w:val="center"/>
          </w:tcPr>
          <w:p w14:paraId="31CD24C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69" w:type="dxa"/>
            <w:tcBorders>
              <w:top w:val="single" w:color="auto" w:sz="4" w:space="0"/>
              <w:left w:val="single" w:color="auto" w:sz="4" w:space="0"/>
              <w:bottom w:val="single" w:color="auto" w:sz="4" w:space="0"/>
              <w:right w:val="single" w:color="auto" w:sz="4" w:space="0"/>
            </w:tcBorders>
            <w:noWrap w:val="0"/>
            <w:vAlign w:val="center"/>
          </w:tcPr>
          <w:p w14:paraId="3441D12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6E50681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566" w:type="dxa"/>
            <w:tcBorders>
              <w:top w:val="single" w:color="auto" w:sz="4" w:space="0"/>
              <w:left w:val="single" w:color="auto" w:sz="4" w:space="0"/>
              <w:bottom w:val="single" w:color="auto" w:sz="4" w:space="0"/>
              <w:right w:val="single" w:color="auto" w:sz="4" w:space="0"/>
            </w:tcBorders>
            <w:noWrap w:val="0"/>
            <w:vAlign w:val="center"/>
          </w:tcPr>
          <w:p w14:paraId="2FD0C12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bl>
    <w:p w14:paraId="7EAFCC62">
      <w:pPr>
        <w:ind w:firstLine="0" w:firstLineChars="0"/>
        <w:rPr>
          <w:rFonts w:hint="default" w:ascii="Times New Roman" w:hAnsi="Times New Roman" w:eastAsia="宋体" w:cs="Times New Roman"/>
          <w:color w:val="auto"/>
          <w:spacing w:val="0"/>
          <w:position w:val="0"/>
        </w:rPr>
      </w:pPr>
    </w:p>
    <w:p w14:paraId="7FEF169C">
      <w:pPr>
        <w:ind w:firstLine="0" w:firstLineChars="0"/>
        <w:rPr>
          <w:rFonts w:hint="default" w:ascii="Times New Roman" w:hAnsi="Times New Roman" w:eastAsia="宋体" w:cs="Times New Roman"/>
          <w:color w:val="auto"/>
          <w:spacing w:val="0"/>
          <w:position w:val="0"/>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6B5F1B0">
      <w:pPr>
        <w:pStyle w:val="2"/>
        <w:rPr>
          <w:rFonts w:hint="default" w:ascii="Times New Roman" w:hAnsi="Times New Roman" w:eastAsia="宋体" w:cs="Times New Roman"/>
          <w:color w:val="auto"/>
          <w:spacing w:val="0"/>
          <w:position w:val="0"/>
        </w:rPr>
      </w:pPr>
      <w:bookmarkStart w:id="24" w:name="_Toc30228"/>
      <w:bookmarkStart w:id="25" w:name="_Toc19135"/>
      <w:r>
        <w:rPr>
          <w:rFonts w:hint="default" w:ascii="Times New Roman" w:hAnsi="Times New Roman" w:eastAsia="宋体" w:cs="Times New Roman"/>
          <w:color w:val="auto"/>
          <w:spacing w:val="0"/>
          <w:position w:val="0"/>
        </w:rPr>
        <w:t>表5废弃物（重点是放射性废弃物）</w:t>
      </w:r>
      <w:bookmarkEnd w:id="24"/>
      <w:bookmarkEnd w:id="25"/>
    </w:p>
    <w:tbl>
      <w:tblPr>
        <w:tblStyle w:val="20"/>
        <w:tblW w:w="9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855"/>
        <w:gridCol w:w="945"/>
        <w:gridCol w:w="900"/>
        <w:gridCol w:w="1215"/>
        <w:gridCol w:w="1423"/>
        <w:gridCol w:w="962"/>
        <w:gridCol w:w="1200"/>
        <w:gridCol w:w="1307"/>
      </w:tblGrid>
      <w:tr w14:paraId="1E2A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6DB5574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名称</w:t>
            </w:r>
          </w:p>
        </w:tc>
        <w:tc>
          <w:tcPr>
            <w:tcW w:w="855" w:type="dxa"/>
            <w:noWrap w:val="0"/>
            <w:vAlign w:val="center"/>
          </w:tcPr>
          <w:p w14:paraId="54EF16A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状态</w:t>
            </w:r>
          </w:p>
        </w:tc>
        <w:tc>
          <w:tcPr>
            <w:tcW w:w="945" w:type="dxa"/>
            <w:noWrap w:val="0"/>
            <w:vAlign w:val="center"/>
          </w:tcPr>
          <w:p w14:paraId="56EC4AF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核素</w:t>
            </w:r>
          </w:p>
          <w:p w14:paraId="1ECBA30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名称</w:t>
            </w:r>
          </w:p>
        </w:tc>
        <w:tc>
          <w:tcPr>
            <w:tcW w:w="900" w:type="dxa"/>
            <w:noWrap w:val="0"/>
            <w:vAlign w:val="center"/>
          </w:tcPr>
          <w:p w14:paraId="4479469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活度</w:t>
            </w:r>
          </w:p>
        </w:tc>
        <w:tc>
          <w:tcPr>
            <w:tcW w:w="1215" w:type="dxa"/>
            <w:noWrap w:val="0"/>
            <w:vAlign w:val="center"/>
          </w:tcPr>
          <w:p w14:paraId="09C4C60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月排放量</w:t>
            </w:r>
          </w:p>
        </w:tc>
        <w:tc>
          <w:tcPr>
            <w:tcW w:w="1423" w:type="dxa"/>
            <w:noWrap w:val="0"/>
            <w:vAlign w:val="center"/>
          </w:tcPr>
          <w:p w14:paraId="6AE44A0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年排放总量</w:t>
            </w:r>
          </w:p>
        </w:tc>
        <w:tc>
          <w:tcPr>
            <w:tcW w:w="962" w:type="dxa"/>
            <w:noWrap w:val="0"/>
            <w:vAlign w:val="center"/>
          </w:tcPr>
          <w:p w14:paraId="2A15FF5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排放口</w:t>
            </w:r>
          </w:p>
          <w:p w14:paraId="20767AE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浓度</w:t>
            </w:r>
          </w:p>
        </w:tc>
        <w:tc>
          <w:tcPr>
            <w:tcW w:w="1200" w:type="dxa"/>
            <w:noWrap w:val="0"/>
            <w:vAlign w:val="center"/>
          </w:tcPr>
          <w:p w14:paraId="1458334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暂存情况</w:t>
            </w:r>
          </w:p>
        </w:tc>
        <w:tc>
          <w:tcPr>
            <w:tcW w:w="1307" w:type="dxa"/>
            <w:noWrap w:val="0"/>
            <w:vAlign w:val="center"/>
          </w:tcPr>
          <w:p w14:paraId="6B447AF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最终去向</w:t>
            </w:r>
          </w:p>
        </w:tc>
      </w:tr>
      <w:tr w14:paraId="3CDB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695CF1A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55" w:type="dxa"/>
            <w:noWrap w:val="0"/>
            <w:vAlign w:val="center"/>
          </w:tcPr>
          <w:p w14:paraId="57B43F1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5" w:type="dxa"/>
            <w:noWrap w:val="0"/>
            <w:vAlign w:val="center"/>
          </w:tcPr>
          <w:p w14:paraId="565A021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noWrap w:val="0"/>
            <w:vAlign w:val="center"/>
          </w:tcPr>
          <w:p w14:paraId="655BBBD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15" w:type="dxa"/>
            <w:noWrap w:val="0"/>
            <w:vAlign w:val="center"/>
          </w:tcPr>
          <w:p w14:paraId="77D621F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23" w:type="dxa"/>
            <w:noWrap w:val="0"/>
            <w:vAlign w:val="center"/>
          </w:tcPr>
          <w:p w14:paraId="7FDDA9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62" w:type="dxa"/>
            <w:noWrap w:val="0"/>
            <w:vAlign w:val="center"/>
          </w:tcPr>
          <w:p w14:paraId="1D3EEA5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00" w:type="dxa"/>
            <w:noWrap w:val="0"/>
            <w:vAlign w:val="center"/>
          </w:tcPr>
          <w:p w14:paraId="6FCEA4A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07" w:type="dxa"/>
            <w:noWrap w:val="0"/>
            <w:vAlign w:val="center"/>
          </w:tcPr>
          <w:p w14:paraId="6921495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72B4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39EDAAF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55" w:type="dxa"/>
            <w:noWrap w:val="0"/>
            <w:vAlign w:val="center"/>
          </w:tcPr>
          <w:p w14:paraId="11851BD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5" w:type="dxa"/>
            <w:noWrap w:val="0"/>
            <w:vAlign w:val="center"/>
          </w:tcPr>
          <w:p w14:paraId="614ED63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noWrap w:val="0"/>
            <w:vAlign w:val="center"/>
          </w:tcPr>
          <w:p w14:paraId="40DD51C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15" w:type="dxa"/>
            <w:noWrap w:val="0"/>
            <w:vAlign w:val="center"/>
          </w:tcPr>
          <w:p w14:paraId="5D3C36F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50800</wp:posOffset>
                      </wp:positionH>
                      <wp:positionV relativeFrom="paragraph">
                        <wp:posOffset>60960</wp:posOffset>
                      </wp:positionV>
                      <wp:extent cx="1485900" cy="297180"/>
                      <wp:effectExtent l="4445" t="4445" r="14605" b="22225"/>
                      <wp:wrapNone/>
                      <wp:docPr id="20" name="Rectangle 4"/>
                      <wp:cNvGraphicFramePr/>
                      <a:graphic xmlns:a="http://schemas.openxmlformats.org/drawingml/2006/main">
                        <a:graphicData uri="http://schemas.microsoft.com/office/word/2010/wordprocessingShape">
                          <wps:wsp>
                            <wps:cNvSpPr/>
                            <wps:spPr>
                              <a:xfrm>
                                <a:off x="0" y="0"/>
                                <a:ext cx="14859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49D1935">
                                  <w:pPr>
                                    <w:pStyle w:val="36"/>
                                    <w:jc w:val="center"/>
                                    <w:rPr>
                                      <w:sz w:val="24"/>
                                    </w:rPr>
                                  </w:pPr>
                                  <w:r>
                                    <w:rPr>
                                      <w:rFonts w:hint="eastAsia"/>
                                      <w:sz w:val="24"/>
                                    </w:rPr>
                                    <w:t>本项目不涉及</w:t>
                                  </w:r>
                                </w:p>
                              </w:txbxContent>
                            </wps:txbx>
                            <wps:bodyPr vert="horz" wrap="square" anchor="t" anchorCtr="0" upright="1"/>
                          </wps:wsp>
                        </a:graphicData>
                      </a:graphic>
                    </wp:anchor>
                  </w:drawing>
                </mc:Choice>
                <mc:Fallback>
                  <w:pict>
                    <v:rect id="Rectangle 4" o:spid="_x0000_s1026" o:spt="1" style="position:absolute;left:0pt;margin-left:4pt;margin-top:4.8pt;height:23.4pt;width:117pt;z-index:251663360;mso-width-relative:page;mso-height-relative:page;" fillcolor="#FFFFFF" filled="t" stroked="t" coordsize="21600,21600" o:gfxdata="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xqKbVAAAABgEA&#10;AA8AAAAAAAAAAQAgAAAAIgAAAGRycy9kb3ducmV2LnhtbFBLAQIUABQAAAAIAIdO4kDVLJacHQIA&#10;AG4EAAAOAAAAAAAAAAEAIAAAACQBAABkcnMvZTJvRG9jLnhtbFBLBQYAAAAABgAGAFkBAACzBQAA&#10;AAA=&#10;">
                      <v:fill on="t" focussize="0,0"/>
                      <v:stroke color="#000000" joinstyle="miter"/>
                      <v:imagedata o:title=""/>
                      <o:lock v:ext="edit" aspectratio="f"/>
                      <v:textbox>
                        <w:txbxContent>
                          <w:p w14:paraId="349D1935">
                            <w:pPr>
                              <w:pStyle w:val="36"/>
                              <w:jc w:val="center"/>
                              <w:rPr>
                                <w:sz w:val="24"/>
                              </w:rPr>
                            </w:pPr>
                            <w:r>
                              <w:rPr>
                                <w:rFonts w:hint="eastAsia"/>
                                <w:sz w:val="24"/>
                              </w:rPr>
                              <w:t>本项目不涉及</w:t>
                            </w:r>
                          </w:p>
                        </w:txbxContent>
                      </v:textbox>
                    </v:rect>
                  </w:pict>
                </mc:Fallback>
              </mc:AlternateContent>
            </w:r>
          </w:p>
        </w:tc>
        <w:tc>
          <w:tcPr>
            <w:tcW w:w="1423" w:type="dxa"/>
            <w:noWrap w:val="0"/>
            <w:vAlign w:val="center"/>
          </w:tcPr>
          <w:p w14:paraId="52F671B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62" w:type="dxa"/>
            <w:noWrap w:val="0"/>
            <w:vAlign w:val="center"/>
          </w:tcPr>
          <w:p w14:paraId="107EA23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00" w:type="dxa"/>
            <w:noWrap w:val="0"/>
            <w:vAlign w:val="center"/>
          </w:tcPr>
          <w:p w14:paraId="3DC71CF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07" w:type="dxa"/>
            <w:noWrap w:val="0"/>
            <w:vAlign w:val="center"/>
          </w:tcPr>
          <w:p w14:paraId="4D6511F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5579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304E9C6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55" w:type="dxa"/>
            <w:noWrap w:val="0"/>
            <w:vAlign w:val="center"/>
          </w:tcPr>
          <w:p w14:paraId="08AB9C0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5" w:type="dxa"/>
            <w:noWrap w:val="0"/>
            <w:vAlign w:val="center"/>
          </w:tcPr>
          <w:p w14:paraId="1AE4782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noWrap w:val="0"/>
            <w:vAlign w:val="center"/>
          </w:tcPr>
          <w:p w14:paraId="5B452A8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15" w:type="dxa"/>
            <w:noWrap w:val="0"/>
            <w:vAlign w:val="center"/>
          </w:tcPr>
          <w:p w14:paraId="56DC1C6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23" w:type="dxa"/>
            <w:noWrap w:val="0"/>
            <w:vAlign w:val="center"/>
          </w:tcPr>
          <w:p w14:paraId="76B0602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62" w:type="dxa"/>
            <w:noWrap w:val="0"/>
            <w:vAlign w:val="center"/>
          </w:tcPr>
          <w:p w14:paraId="243DEA1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00" w:type="dxa"/>
            <w:noWrap w:val="0"/>
            <w:vAlign w:val="center"/>
          </w:tcPr>
          <w:p w14:paraId="5F4F27A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07" w:type="dxa"/>
            <w:noWrap w:val="0"/>
            <w:vAlign w:val="center"/>
          </w:tcPr>
          <w:p w14:paraId="2891F1B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r w14:paraId="04D5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5" w:type="dxa"/>
            <w:noWrap w:val="0"/>
            <w:vAlign w:val="center"/>
          </w:tcPr>
          <w:p w14:paraId="005EAB6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855" w:type="dxa"/>
            <w:noWrap w:val="0"/>
            <w:vAlign w:val="center"/>
          </w:tcPr>
          <w:p w14:paraId="28C4E45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45" w:type="dxa"/>
            <w:noWrap w:val="0"/>
            <w:vAlign w:val="center"/>
          </w:tcPr>
          <w:p w14:paraId="5FA8823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00" w:type="dxa"/>
            <w:noWrap w:val="0"/>
            <w:vAlign w:val="center"/>
          </w:tcPr>
          <w:p w14:paraId="2A5DDC9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15" w:type="dxa"/>
            <w:noWrap w:val="0"/>
            <w:vAlign w:val="center"/>
          </w:tcPr>
          <w:p w14:paraId="21C80D9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423" w:type="dxa"/>
            <w:noWrap w:val="0"/>
            <w:vAlign w:val="center"/>
          </w:tcPr>
          <w:p w14:paraId="47C7299A">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962" w:type="dxa"/>
            <w:noWrap w:val="0"/>
            <w:vAlign w:val="center"/>
          </w:tcPr>
          <w:p w14:paraId="032EBC7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200" w:type="dxa"/>
            <w:noWrap w:val="0"/>
            <w:vAlign w:val="center"/>
          </w:tcPr>
          <w:p w14:paraId="1C82712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c>
          <w:tcPr>
            <w:tcW w:w="1307" w:type="dxa"/>
            <w:noWrap w:val="0"/>
            <w:vAlign w:val="center"/>
          </w:tcPr>
          <w:p w14:paraId="4AAB661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spacing w:val="0"/>
                <w:position w:val="0"/>
              </w:rPr>
            </w:pPr>
          </w:p>
        </w:tc>
      </w:tr>
    </w:tbl>
    <w:p w14:paraId="27C433E1">
      <w:pPr>
        <w:spacing w:line="240" w:lineRule="auto"/>
        <w:ind w:firstLine="0" w:firstLineChars="0"/>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注：1.常规废弃物排放浓度，对于液态单位为mg/L，固体为mg/kg，气态为mg/m</w:t>
      </w:r>
      <w:r>
        <w:rPr>
          <w:rFonts w:hint="default" w:ascii="Times New Roman" w:hAnsi="Times New Roman" w:eastAsia="宋体" w:cs="Times New Roman"/>
          <w:color w:val="auto"/>
          <w:spacing w:val="0"/>
          <w:position w:val="0"/>
          <w:sz w:val="21"/>
          <w:szCs w:val="21"/>
          <w:vertAlign w:val="superscript"/>
        </w:rPr>
        <w:t>3</w:t>
      </w:r>
      <w:r>
        <w:rPr>
          <w:rFonts w:hint="default" w:ascii="Times New Roman" w:hAnsi="Times New Roman" w:eastAsia="宋体" w:cs="Times New Roman"/>
          <w:color w:val="auto"/>
          <w:spacing w:val="0"/>
          <w:position w:val="0"/>
          <w:sz w:val="21"/>
          <w:szCs w:val="21"/>
        </w:rPr>
        <w:t>；年排放总量用kg。</w:t>
      </w:r>
    </w:p>
    <w:p w14:paraId="272AF3C3">
      <w:pPr>
        <w:spacing w:line="240" w:lineRule="auto"/>
        <w:ind w:firstLine="420"/>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eastAsia="zh-CN"/>
        </w:rPr>
        <w:t>2.</w:t>
      </w:r>
      <w:r>
        <w:rPr>
          <w:rFonts w:hint="default" w:ascii="Times New Roman" w:hAnsi="Times New Roman" w:eastAsia="宋体" w:cs="Times New Roman"/>
          <w:color w:val="auto"/>
          <w:spacing w:val="0"/>
          <w:position w:val="0"/>
          <w:sz w:val="21"/>
          <w:szCs w:val="21"/>
        </w:rPr>
        <w:t>含有放射性的废物要注明，其排放浓度、年排放总量分别用比活度（Bq/L或Bq/kg或Bq/m</w:t>
      </w:r>
      <w:r>
        <w:rPr>
          <w:rFonts w:hint="default" w:ascii="Times New Roman" w:hAnsi="Times New Roman" w:eastAsia="宋体" w:cs="Times New Roman"/>
          <w:color w:val="auto"/>
          <w:spacing w:val="0"/>
          <w:position w:val="0"/>
          <w:sz w:val="21"/>
          <w:szCs w:val="21"/>
          <w:vertAlign w:val="superscript"/>
        </w:rPr>
        <w:t>3</w:t>
      </w:r>
      <w:r>
        <w:rPr>
          <w:rFonts w:hint="default" w:ascii="Times New Roman" w:hAnsi="Times New Roman" w:eastAsia="宋体" w:cs="Times New Roman"/>
          <w:color w:val="auto"/>
          <w:spacing w:val="0"/>
          <w:position w:val="0"/>
          <w:sz w:val="21"/>
          <w:szCs w:val="21"/>
        </w:rPr>
        <w:t>）和活度（Bq）。</w:t>
      </w:r>
    </w:p>
    <w:p w14:paraId="411C7205">
      <w:pPr>
        <w:ind w:firstLine="0" w:firstLineChars="0"/>
        <w:rPr>
          <w:rFonts w:hint="default" w:ascii="Times New Roman" w:hAnsi="Times New Roman" w:eastAsia="宋体" w:cs="Times New Roman"/>
          <w:color w:val="auto"/>
          <w:spacing w:val="0"/>
          <w:position w:val="0"/>
        </w:rPr>
      </w:pPr>
    </w:p>
    <w:p w14:paraId="4694DED0">
      <w:pPr>
        <w:ind w:firstLine="0" w:firstLineChars="0"/>
        <w:rPr>
          <w:rFonts w:hint="default" w:ascii="Times New Roman" w:hAnsi="Times New Roman" w:eastAsia="宋体" w:cs="Times New Roman"/>
          <w:color w:val="auto"/>
          <w:spacing w:val="0"/>
          <w:position w:val="0"/>
        </w:rPr>
      </w:pPr>
    </w:p>
    <w:p w14:paraId="74882A1D">
      <w:pPr>
        <w:ind w:firstLine="0" w:firstLineChars="0"/>
        <w:rPr>
          <w:rFonts w:hint="default" w:ascii="Times New Roman" w:hAnsi="Times New Roman" w:eastAsia="宋体" w:cs="Times New Roman"/>
          <w:color w:val="auto"/>
          <w:spacing w:val="0"/>
          <w:position w:val="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43DDFF5">
      <w:pPr>
        <w:pStyle w:val="2"/>
        <w:rPr>
          <w:rFonts w:hint="default" w:ascii="Times New Roman" w:hAnsi="Times New Roman" w:eastAsia="宋体" w:cs="Times New Roman"/>
          <w:color w:val="auto"/>
          <w:spacing w:val="0"/>
          <w:position w:val="0"/>
        </w:rPr>
      </w:pPr>
      <w:bookmarkStart w:id="26" w:name="_Toc22691"/>
      <w:bookmarkStart w:id="27" w:name="_Toc15046"/>
      <w:r>
        <w:rPr>
          <w:rFonts w:hint="default" w:ascii="Times New Roman" w:hAnsi="Times New Roman" w:eastAsia="宋体" w:cs="Times New Roman"/>
          <w:color w:val="auto"/>
          <w:spacing w:val="0"/>
          <w:position w:val="0"/>
        </w:rPr>
        <w:t>表6评价依据</w:t>
      </w:r>
      <w:bookmarkEnd w:id="26"/>
      <w:bookmarkEnd w:id="27"/>
    </w:p>
    <w:tbl>
      <w:tblPr>
        <w:tblStyle w:val="20"/>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8598"/>
      </w:tblGrid>
      <w:tr w14:paraId="29E1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9" w:type="dxa"/>
            <w:noWrap w:val="0"/>
            <w:vAlign w:val="center"/>
          </w:tcPr>
          <w:p w14:paraId="6B125A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法规</w:t>
            </w:r>
          </w:p>
          <w:p w14:paraId="340EA08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sz w:val="28"/>
                <w:szCs w:val="28"/>
              </w:rPr>
              <w:t>文件</w:t>
            </w:r>
          </w:p>
        </w:tc>
        <w:tc>
          <w:tcPr>
            <w:tcW w:w="8598" w:type="dxa"/>
            <w:noWrap w:val="0"/>
            <w:vAlign w:val="center"/>
          </w:tcPr>
          <w:p w14:paraId="6AF766D7">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《中华人民共和国生态环境法典》，‌2026年8月15日起施行；</w:t>
            </w:r>
          </w:p>
          <w:p w14:paraId="178C0E76">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《产业结构调整指导目录（2024年本）》；</w:t>
            </w:r>
          </w:p>
          <w:p w14:paraId="5134D15A">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《建设项目环境保护管理条例》（中华人民共和国国务院令第682号，2017年10月1日起实施）；</w:t>
            </w:r>
          </w:p>
          <w:p w14:paraId="25A0BE96">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《放射性同位素与射线装置安全和防护条例》（中华人民共和国国务院令第449号令，2019年3月2日修正，自2019年3月2日起施行）；</w:t>
            </w:r>
          </w:p>
          <w:p w14:paraId="4DBECBE8">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《放射性同位素与射线装置安全许可管理办法》（2021年1月4日经生态环境部令第20号修改）；</w:t>
            </w:r>
          </w:p>
          <w:p w14:paraId="3E6CF600">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《放射性同位素与射线装置安全和防护管理办法》（</w:t>
            </w:r>
            <w:bookmarkStart w:id="66" w:name="_GoBack"/>
            <w:bookmarkEnd w:id="66"/>
            <w:r>
              <w:rPr>
                <w:rFonts w:hint="eastAsia" w:cs="Times New Roman"/>
                <w:color w:val="auto"/>
                <w:spacing w:val="0"/>
                <w:position w:val="0"/>
                <w:lang w:eastAsia="zh-CN"/>
              </w:rPr>
              <w:t>中华人民共和国生态环境部</w:t>
            </w:r>
            <w:r>
              <w:rPr>
                <w:rFonts w:hint="default" w:ascii="Times New Roman" w:hAnsi="Times New Roman" w:eastAsia="宋体" w:cs="Times New Roman"/>
                <w:color w:val="auto"/>
                <w:spacing w:val="0"/>
                <w:position w:val="0"/>
                <w:lang w:eastAsia="zh-CN"/>
              </w:rPr>
              <w:t>令第18号，自2011年5月1日起施行）；</w:t>
            </w:r>
          </w:p>
          <w:p w14:paraId="16541520">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《关于发布＜射线装置分类＞的公告》（环境保护部</w:t>
            </w:r>
            <w:r>
              <w:rPr>
                <w:rFonts w:hint="eastAsia" w:cs="Times New Roman"/>
                <w:color w:val="auto"/>
                <w:spacing w:val="0"/>
                <w:position w:val="0"/>
                <w:lang w:eastAsia="zh-CN"/>
              </w:rPr>
              <w:t>国家卫生健康委员会</w:t>
            </w:r>
            <w:r>
              <w:rPr>
                <w:rFonts w:hint="default" w:ascii="Times New Roman" w:hAnsi="Times New Roman" w:eastAsia="宋体" w:cs="Times New Roman"/>
                <w:color w:val="auto"/>
                <w:spacing w:val="0"/>
                <w:position w:val="0"/>
                <w:lang w:eastAsia="zh-CN"/>
              </w:rPr>
              <w:t>公告2017年第66号，自2017年12月6日起施行）；</w:t>
            </w:r>
          </w:p>
          <w:p w14:paraId="4785A52F">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《建设项目环境影响评价分类管理名录》（2021年版）（生态环境部令第16号）；</w:t>
            </w:r>
          </w:p>
          <w:p w14:paraId="1A8FE99E">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《关于建立放射性同位素与射线装置辐射事故分级处理和报告制度的通知》（环发〔2006〕145号）；</w:t>
            </w:r>
          </w:p>
          <w:p w14:paraId="08C5E085">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《关于加强放射性同位素与射线装置辐射安全和防护工作的通知》（环境保护部环发〔2008〕13号）；</w:t>
            </w:r>
          </w:p>
          <w:p w14:paraId="3A401E08">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《生态环境部（国家核安全局）核技术利用监督检查技术程序》（2020发布版）；</w:t>
            </w:r>
          </w:p>
          <w:p w14:paraId="5D6AB1CA">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《放射诊疗管理规定》，国家卫生部令第46号；</w:t>
            </w:r>
          </w:p>
          <w:p w14:paraId="75581ED8">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关于印发《核技术利用建设项目重大变动清单（试行）》的通知（环办辐射函〔2025〕313号）；</w:t>
            </w:r>
          </w:p>
          <w:p w14:paraId="28595AEE">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《云南省环保局关于〈在辐射安全许可证工作中确定电离辐射安全管理限值请示〉的复函》云环函〔2006〕727号，2006年12月；</w:t>
            </w:r>
          </w:p>
          <w:p w14:paraId="79F4A926">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aps w:val="0"/>
                <w:color w:val="auto"/>
                <w:spacing w:val="0"/>
                <w:position w:val="0"/>
                <w:highlight w:val="none"/>
                <w:lang w:eastAsia="zh-CN"/>
              </w:rPr>
            </w:pPr>
            <w:r>
              <w:rPr>
                <w:rFonts w:hint="default" w:ascii="Times New Roman" w:hAnsi="Times New Roman" w:eastAsia="宋体" w:cs="Times New Roman"/>
                <w:caps w:val="0"/>
                <w:color w:val="auto"/>
                <w:spacing w:val="0"/>
                <w:position w:val="0"/>
                <w:highlight w:val="none"/>
                <w:lang w:eastAsia="zh-CN"/>
              </w:rPr>
              <w:t>《关于印发＜云南省突发事件应急预案管理办法＞的通知》（云南省人民政府办公厅，云政办发〔2017〕62号；</w:t>
            </w:r>
          </w:p>
          <w:p w14:paraId="4847D4C6">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aps w:val="0"/>
                <w:color w:val="auto"/>
                <w:spacing w:val="0"/>
                <w:position w:val="0"/>
                <w:highlight w:val="none"/>
                <w:lang w:eastAsia="zh-CN"/>
              </w:rPr>
            </w:pPr>
            <w:r>
              <w:rPr>
                <w:rFonts w:hint="default" w:ascii="Times New Roman" w:hAnsi="Times New Roman" w:eastAsia="宋体" w:cs="Times New Roman"/>
                <w:caps w:val="0"/>
                <w:color w:val="auto"/>
                <w:spacing w:val="0"/>
                <w:position w:val="0"/>
                <w:highlight w:val="none"/>
                <w:lang w:eastAsia="zh-CN"/>
              </w:rPr>
              <w:t>《云南省生态环境厅辐射事故应急响应预案》（2022年修订）；</w:t>
            </w:r>
          </w:p>
          <w:p w14:paraId="36244EBE">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aps w:val="0"/>
                <w:color w:val="auto"/>
                <w:spacing w:val="0"/>
                <w:position w:val="0"/>
                <w:highlight w:val="none"/>
                <w:lang w:eastAsia="zh-CN"/>
              </w:rPr>
            </w:pPr>
            <w:r>
              <w:rPr>
                <w:rFonts w:hint="default" w:ascii="Times New Roman" w:hAnsi="Times New Roman" w:eastAsia="宋体" w:cs="Times New Roman"/>
                <w:caps w:val="0"/>
                <w:color w:val="auto"/>
                <w:spacing w:val="0"/>
                <w:position w:val="0"/>
                <w:highlight w:val="none"/>
                <w:lang w:eastAsia="zh-CN"/>
              </w:rPr>
              <w:t>《关于明确核技术利用辐射安全监管有关事项的通知》（环办辐射函〔2016〕430号文）；</w:t>
            </w:r>
          </w:p>
          <w:p w14:paraId="6EDC04D6">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aps w:val="0"/>
                <w:color w:val="auto"/>
                <w:spacing w:val="0"/>
                <w:position w:val="0"/>
                <w:highlight w:val="none"/>
                <w:lang w:eastAsia="zh-CN"/>
              </w:rPr>
            </w:pPr>
            <w:r>
              <w:rPr>
                <w:rFonts w:hint="default" w:ascii="Times New Roman" w:hAnsi="Times New Roman" w:eastAsia="宋体" w:cs="Times New Roman"/>
                <w:caps w:val="0"/>
                <w:color w:val="auto"/>
                <w:spacing w:val="0"/>
                <w:position w:val="0"/>
                <w:highlight w:val="none"/>
                <w:lang w:eastAsia="zh-CN"/>
              </w:rPr>
              <w:t>《关于核技术利用辐射安全与防护培训和考核有关事项的公告》生态环境部公告2019年第57号，2020年1月1日起施行）；</w:t>
            </w:r>
          </w:p>
          <w:p w14:paraId="08DEAC99">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aps w:val="0"/>
                <w:color w:val="auto"/>
                <w:spacing w:val="0"/>
                <w:position w:val="0"/>
                <w:highlight w:val="none"/>
                <w:lang w:eastAsia="zh-CN"/>
              </w:rPr>
            </w:pPr>
            <w:r>
              <w:rPr>
                <w:rFonts w:hint="default" w:ascii="Times New Roman" w:hAnsi="Times New Roman" w:eastAsia="宋体" w:cs="Times New Roman"/>
                <w:caps w:val="0"/>
                <w:color w:val="auto"/>
                <w:spacing w:val="0"/>
                <w:position w:val="0"/>
                <w:highlight w:val="none"/>
                <w:lang w:eastAsia="zh-CN"/>
              </w:rPr>
              <w:t>《关于进一步优化辐射安全考核的公告》（生态环境部公告2021年第9号）；</w:t>
            </w:r>
          </w:p>
          <w:p w14:paraId="39471E0B">
            <w:pPr>
              <w:keepNext w:val="0"/>
              <w:keepLines w:val="0"/>
              <w:pageBreakBefore w:val="0"/>
              <w:widowControl w:val="0"/>
              <w:numPr>
                <w:ilvl w:val="0"/>
                <w:numId w:val="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aps w:val="0"/>
                <w:color w:val="auto"/>
                <w:spacing w:val="0"/>
                <w:position w:val="0"/>
                <w:highlight w:val="none"/>
                <w:lang w:eastAsia="zh-CN"/>
              </w:rPr>
              <w:t>《云南省生态环境厅关于印发〈云南省核技术利用辐射安全和防护监督检查大纲（2021年版）〉和〈云南省核技术利用辐射安全和防护监督检查技术程序（2021年版）〉的通知》（云环通〔2021〕227号）。</w:t>
            </w:r>
          </w:p>
        </w:tc>
      </w:tr>
      <w:tr w14:paraId="2EEB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79" w:type="dxa"/>
            <w:noWrap w:val="0"/>
            <w:vAlign w:val="center"/>
          </w:tcPr>
          <w:p w14:paraId="0FF577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sz w:val="28"/>
                <w:szCs w:val="28"/>
              </w:rPr>
              <w:t>技术标准</w:t>
            </w:r>
          </w:p>
        </w:tc>
        <w:tc>
          <w:tcPr>
            <w:tcW w:w="8598" w:type="dxa"/>
            <w:noWrap w:val="0"/>
            <w:vAlign w:val="center"/>
          </w:tcPr>
          <w:p w14:paraId="3D12ED52">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（1）《辐射环境保护管理导则核技术利用建设项目环境影响评价文件的内容和格式》（HJ10.1-2016）；</w:t>
            </w:r>
          </w:p>
          <w:p w14:paraId="6BD50D5D">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（2）《电离辐射防护与辐射源安全基本标准》（GB18871-2002）；</w:t>
            </w:r>
          </w:p>
          <w:p w14:paraId="16A5F7A5">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（3）《放射诊断放射防护要求》（GBZ130-2020）；</w:t>
            </w:r>
          </w:p>
          <w:p w14:paraId="0DED0D57">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（4）《职业性外照射个人监测规范》（GBZ128-2019）；</w:t>
            </w:r>
          </w:p>
          <w:p w14:paraId="61174D48">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w:t>
            </w:r>
            <w:r>
              <w:rPr>
                <w:rFonts w:hint="eastAsia" w:cs="Times New Roman"/>
                <w:caps w:val="0"/>
                <w:color w:val="auto"/>
                <w:spacing w:val="0"/>
                <w:position w:val="0"/>
                <w:highlight w:val="none"/>
                <w:lang w:val="en-US" w:eastAsia="zh-CN"/>
              </w:rPr>
              <w:t>5</w:t>
            </w:r>
            <w:r>
              <w:rPr>
                <w:rFonts w:hint="default" w:ascii="Times New Roman" w:hAnsi="Times New Roman" w:eastAsia="宋体" w:cs="Times New Roman"/>
                <w:caps w:val="0"/>
                <w:color w:val="auto"/>
                <w:spacing w:val="0"/>
                <w:position w:val="0"/>
                <w:highlight w:val="none"/>
                <w:lang w:val="en-US" w:eastAsia="zh-CN"/>
              </w:rPr>
              <w:t>）《辐射环境监测技术规范》（HJ61-2021）；</w:t>
            </w:r>
          </w:p>
          <w:p w14:paraId="3781043B">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（6）《环境γ辐射剂量率测量技术规范》（HJ1157-2021）；</w:t>
            </w:r>
          </w:p>
          <w:p w14:paraId="648226F3">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（7）《大气污染物综合排放标准》（GB16297-1996）；</w:t>
            </w:r>
          </w:p>
          <w:p w14:paraId="4BC9578E">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（8）</w:t>
            </w:r>
            <w:r>
              <w:rPr>
                <w:rFonts w:hint="eastAsia" w:cs="Times New Roman"/>
                <w:caps w:val="0"/>
                <w:color w:val="auto"/>
                <w:spacing w:val="0"/>
                <w:position w:val="0"/>
                <w:highlight w:val="none"/>
                <w:lang w:val="en-US" w:eastAsia="zh-CN"/>
              </w:rPr>
              <w:t>《建筑施工噪声排放标准》</w:t>
            </w:r>
            <w:r>
              <w:rPr>
                <w:rFonts w:hint="default" w:ascii="Times New Roman" w:hAnsi="Times New Roman" w:eastAsia="宋体" w:cs="Times New Roman"/>
                <w:caps w:val="0"/>
                <w:color w:val="auto"/>
                <w:spacing w:val="0"/>
                <w:position w:val="0"/>
                <w:highlight w:val="none"/>
                <w:lang w:val="en-US" w:eastAsia="zh-CN"/>
              </w:rPr>
              <w:t>（</w:t>
            </w:r>
            <w:r>
              <w:rPr>
                <w:rFonts w:hint="eastAsia" w:cs="Times New Roman"/>
                <w:caps w:val="0"/>
                <w:color w:val="auto"/>
                <w:spacing w:val="0"/>
                <w:position w:val="0"/>
                <w:highlight w:val="none"/>
                <w:lang w:val="en-US" w:eastAsia="zh-CN"/>
              </w:rPr>
              <w:t>GB 12523-2025</w:t>
            </w:r>
            <w:r>
              <w:rPr>
                <w:rFonts w:hint="default" w:ascii="Times New Roman" w:hAnsi="Times New Roman" w:eastAsia="宋体" w:cs="Times New Roman"/>
                <w:caps w:val="0"/>
                <w:color w:val="auto"/>
                <w:spacing w:val="0"/>
                <w:position w:val="0"/>
                <w:highlight w:val="none"/>
                <w:lang w:val="en-US" w:eastAsia="zh-CN"/>
              </w:rPr>
              <w:t>）；</w:t>
            </w:r>
          </w:p>
          <w:p w14:paraId="0227624D">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（9）《工业企业厂界环境噪声排放标准》（GB12348-2008）；</w:t>
            </w:r>
          </w:p>
          <w:p w14:paraId="26C0A9DF">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pacing w:val="0"/>
                <w:position w:val="0"/>
                <w:highlight w:val="none"/>
                <w:lang w:val="en-US" w:eastAsia="zh-CN"/>
              </w:rPr>
            </w:pPr>
            <w:r>
              <w:rPr>
                <w:rFonts w:hint="default" w:ascii="Times New Roman" w:hAnsi="Times New Roman" w:eastAsia="宋体" w:cs="Times New Roman"/>
                <w:caps w:val="0"/>
                <w:color w:val="auto"/>
                <w:spacing w:val="0"/>
                <w:position w:val="0"/>
                <w:highlight w:val="none"/>
                <w:lang w:val="en-US" w:eastAsia="zh-CN"/>
              </w:rPr>
              <w:t>（10）《医疗机构水污染物排放标准》（GB18466—2005，含2026年修改单）；</w:t>
            </w:r>
          </w:p>
          <w:p w14:paraId="772CAC71">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aps w:val="0"/>
                <w:color w:val="auto"/>
                <w:spacing w:val="0"/>
                <w:position w:val="0"/>
                <w:highlight w:val="none"/>
                <w:lang w:val="en-US" w:eastAsia="zh-CN"/>
              </w:rPr>
              <w:t>（11）《建设项目竣工环境保护设施验收技术规范 核技术利用》（HJ1326-2023）。</w:t>
            </w:r>
          </w:p>
        </w:tc>
      </w:tr>
      <w:tr w14:paraId="6D7B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9" w:type="dxa"/>
            <w:noWrap w:val="0"/>
            <w:vAlign w:val="center"/>
          </w:tcPr>
          <w:p w14:paraId="583AD72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sz w:val="28"/>
                <w:szCs w:val="28"/>
              </w:rPr>
              <w:t>其他</w:t>
            </w:r>
          </w:p>
        </w:tc>
        <w:tc>
          <w:tcPr>
            <w:tcW w:w="8598" w:type="dxa"/>
            <w:noWrap w:val="0"/>
            <w:vAlign w:val="center"/>
          </w:tcPr>
          <w:p w14:paraId="1CF13002">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（1）《电离辐射剂量学》，原子能出版社，1986，第二版，李士骏主编</w:t>
            </w:r>
            <w:r>
              <w:rPr>
                <w:rFonts w:hint="default" w:ascii="Times New Roman" w:hAnsi="Times New Roman" w:eastAsia="宋体" w:cs="Times New Roman"/>
                <w:color w:val="auto"/>
                <w:spacing w:val="0"/>
                <w:position w:val="0"/>
                <w:lang w:eastAsia="zh-CN"/>
              </w:rPr>
              <w:t>；</w:t>
            </w:r>
          </w:p>
          <w:p w14:paraId="3301EAAE">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（2）《辐射防护手册》（第一分册），李德平、潘自强主编</w:t>
            </w:r>
            <w:r>
              <w:rPr>
                <w:rFonts w:hint="default" w:ascii="Times New Roman" w:hAnsi="Times New Roman" w:eastAsia="宋体" w:cs="Times New Roman"/>
                <w:color w:val="auto"/>
                <w:spacing w:val="0"/>
                <w:position w:val="0"/>
                <w:lang w:eastAsia="zh-CN"/>
              </w:rPr>
              <w:t>；</w:t>
            </w:r>
          </w:p>
          <w:p w14:paraId="118375A9">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（3）联合国原子辐射效应科学委员会（UNSCEAR）-2000年报告</w:t>
            </w:r>
            <w:r>
              <w:rPr>
                <w:rFonts w:hint="default" w:ascii="Times New Roman" w:hAnsi="Times New Roman" w:eastAsia="宋体" w:cs="Times New Roman"/>
                <w:color w:val="auto"/>
                <w:spacing w:val="0"/>
                <w:position w:val="0"/>
                <w:lang w:eastAsia="zh-CN"/>
              </w:rPr>
              <w:t>；</w:t>
            </w:r>
          </w:p>
          <w:p w14:paraId="6213CC1D">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（4）《X射线和γ射线防护手册》，苏森龄著</w:t>
            </w:r>
            <w:r>
              <w:rPr>
                <w:rFonts w:hint="default" w:ascii="Times New Roman" w:hAnsi="Times New Roman" w:eastAsia="宋体" w:cs="Times New Roman"/>
                <w:color w:val="auto"/>
                <w:spacing w:val="0"/>
                <w:position w:val="0"/>
                <w:lang w:eastAsia="zh-CN"/>
              </w:rPr>
              <w:t>；</w:t>
            </w:r>
          </w:p>
          <w:p w14:paraId="06D24C5C">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（5）NCRP147号报告“Structural Shielding Design For Medical X-Ray Imaging Facilities”；</w:t>
            </w:r>
          </w:p>
          <w:p w14:paraId="30D94CB4">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w:t>
            </w:r>
            <w:r>
              <w:rPr>
                <w:rFonts w:hint="eastAsia" w:cs="Times New Roman"/>
                <w:color w:val="auto"/>
                <w:spacing w:val="0"/>
                <w:position w:val="0"/>
                <w:lang w:val="en-US" w:eastAsia="zh-CN"/>
              </w:rPr>
              <w:t>6</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项目</w:t>
            </w:r>
            <w:r>
              <w:rPr>
                <w:rFonts w:hint="eastAsia" w:cs="Times New Roman"/>
                <w:color w:val="auto"/>
                <w:spacing w:val="0"/>
                <w:position w:val="0"/>
                <w:lang w:val="en-US" w:eastAsia="zh-CN"/>
              </w:rPr>
              <w:t>生态环境影响报告表</w:t>
            </w:r>
            <w:r>
              <w:rPr>
                <w:rFonts w:hint="default" w:ascii="Times New Roman" w:hAnsi="Times New Roman" w:eastAsia="宋体" w:cs="Times New Roman"/>
                <w:color w:val="auto"/>
                <w:spacing w:val="0"/>
                <w:position w:val="0"/>
                <w:lang w:val="en-US" w:eastAsia="zh-CN"/>
              </w:rPr>
              <w:t>编制委托书；</w:t>
            </w:r>
          </w:p>
          <w:p w14:paraId="17719019">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r>
              <w:rPr>
                <w:rFonts w:hint="eastAsia" w:cs="Times New Roman"/>
                <w:color w:val="auto"/>
                <w:spacing w:val="0"/>
                <w:position w:val="0"/>
                <w:lang w:val="en-US" w:eastAsia="zh-CN"/>
              </w:rPr>
              <w:t>7</w:t>
            </w:r>
            <w:r>
              <w:rPr>
                <w:rFonts w:hint="default" w:ascii="Times New Roman" w:hAnsi="Times New Roman" w:eastAsia="宋体" w:cs="Times New Roman"/>
                <w:color w:val="auto"/>
                <w:spacing w:val="0"/>
                <w:position w:val="0"/>
              </w:rPr>
              <w:t>）建设单位提供机房防护设计方案</w:t>
            </w:r>
          </w:p>
          <w:p w14:paraId="7715398B">
            <w:pPr>
              <w:keepNext w:val="0"/>
              <w:keepLines w:val="0"/>
              <w:suppressLineNumbers w:val="0"/>
              <w:snapToGrid w:val="0"/>
              <w:spacing w:before="0" w:beforeAutospacing="0" w:after="0" w:afterAutospacing="0"/>
              <w:ind w:left="0" w:right="0"/>
              <w:rPr>
                <w:rFonts w:hint="eastAsia" w:cs="Times New Roman"/>
                <w:color w:val="auto"/>
                <w:spacing w:val="0"/>
                <w:position w:val="0"/>
                <w:lang w:eastAsia="zh-CN"/>
              </w:rPr>
            </w:pPr>
            <w:r>
              <w:rPr>
                <w:rFonts w:hint="eastAsia" w:cs="Times New Roman"/>
                <w:color w:val="auto"/>
                <w:spacing w:val="0"/>
                <w:position w:val="0"/>
                <w:lang w:eastAsia="zh-CN"/>
              </w:rPr>
              <w:t>（</w:t>
            </w:r>
            <w:r>
              <w:rPr>
                <w:rFonts w:hint="eastAsia" w:cs="Times New Roman"/>
                <w:color w:val="auto"/>
                <w:spacing w:val="0"/>
                <w:position w:val="0"/>
                <w:lang w:val="en-US" w:eastAsia="zh-CN"/>
              </w:rPr>
              <w:t>8</w:t>
            </w:r>
            <w:r>
              <w:rPr>
                <w:rFonts w:hint="eastAsia" w:cs="Times New Roman"/>
                <w:color w:val="auto"/>
                <w:spacing w:val="0"/>
                <w:position w:val="0"/>
                <w:lang w:eastAsia="zh-CN"/>
              </w:rPr>
              <w:t>）建设单位提供DSA使用情况说明</w:t>
            </w:r>
          </w:p>
          <w:p w14:paraId="454A0B77">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eastAsia" w:cs="Times New Roman"/>
                <w:color w:val="auto"/>
                <w:spacing w:val="0"/>
                <w:position w:val="0"/>
                <w:lang w:eastAsia="zh-CN"/>
              </w:rPr>
              <w:t>（</w:t>
            </w:r>
            <w:r>
              <w:rPr>
                <w:rFonts w:hint="eastAsia" w:cs="Times New Roman"/>
                <w:color w:val="auto"/>
                <w:spacing w:val="0"/>
                <w:position w:val="0"/>
                <w:lang w:val="en-US" w:eastAsia="zh-CN"/>
              </w:rPr>
              <w:t>9</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建设单位提供资料</w:t>
            </w:r>
            <w:r>
              <w:rPr>
                <w:rFonts w:hint="default" w:ascii="Times New Roman" w:hAnsi="Times New Roman" w:eastAsia="宋体" w:cs="Times New Roman"/>
                <w:color w:val="auto"/>
                <w:spacing w:val="0"/>
                <w:position w:val="0"/>
                <w:lang w:eastAsia="zh-CN"/>
              </w:rPr>
              <w:t>。</w:t>
            </w:r>
          </w:p>
        </w:tc>
      </w:tr>
    </w:tbl>
    <w:p w14:paraId="2D090548">
      <w:pPr>
        <w:rPr>
          <w:rFonts w:hint="default" w:ascii="Times New Roman" w:hAnsi="Times New Roman" w:eastAsia="宋体" w:cs="Times New Roman"/>
          <w:color w:val="auto"/>
          <w:spacing w:val="0"/>
          <w:position w:val="0"/>
        </w:rPr>
      </w:pPr>
      <w:bookmarkStart w:id="28" w:name="_Toc4896"/>
      <w:r>
        <w:rPr>
          <w:rFonts w:hint="default" w:ascii="Times New Roman" w:hAnsi="Times New Roman" w:eastAsia="宋体" w:cs="Times New Roman"/>
          <w:color w:val="auto"/>
          <w:spacing w:val="0"/>
          <w:position w:val="0"/>
        </w:rPr>
        <w:br w:type="page"/>
      </w:r>
    </w:p>
    <w:p w14:paraId="3EC76C31">
      <w:pPr>
        <w:pStyle w:val="2"/>
        <w:rPr>
          <w:rFonts w:hint="default" w:ascii="Times New Roman" w:hAnsi="Times New Roman" w:eastAsia="宋体" w:cs="Times New Roman"/>
          <w:color w:val="auto"/>
          <w:spacing w:val="0"/>
          <w:position w:val="0"/>
        </w:rPr>
      </w:pPr>
      <w:bookmarkStart w:id="29" w:name="_Toc22284"/>
      <w:r>
        <w:rPr>
          <w:rFonts w:hint="default" w:ascii="Times New Roman" w:hAnsi="Times New Roman" w:eastAsia="宋体" w:cs="Times New Roman"/>
          <w:color w:val="auto"/>
          <w:spacing w:val="0"/>
          <w:position w:val="0"/>
        </w:rPr>
        <w:t>表7保护目标与评价标准</w:t>
      </w:r>
      <w:bookmarkEnd w:id="28"/>
      <w:bookmarkEnd w:id="29"/>
    </w:p>
    <w:tbl>
      <w:tblPr>
        <w:tblStyle w:val="20"/>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9"/>
      </w:tblGrid>
      <w:tr w14:paraId="661C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299" w:type="dxa"/>
            <w:tcBorders>
              <w:bottom w:val="single" w:color="auto" w:sz="4" w:space="0"/>
            </w:tcBorders>
            <w:noWrap w:val="0"/>
            <w:vAlign w:val="top"/>
          </w:tcPr>
          <w:p w14:paraId="448D6389">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7.1评价范围</w:t>
            </w:r>
          </w:p>
          <w:p w14:paraId="57C8CEF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aps w:val="0"/>
                <w:color w:val="auto"/>
                <w:spacing w:val="0"/>
                <w:position w:val="0"/>
                <w:highlight w:val="none"/>
                <w:lang w:eastAsia="zh-CN"/>
              </w:rPr>
              <w:t>本项目为使用医用Ⅱ类射线装置的核技术利用项目，项目主要影响人员为射线装置所在机房周围的职业人员和公众。依据《辐射环境保护管理导则核技术利用建设项目环境影响评价文件的内容和格式》（HJ10.1-2016）的有关规定，射线装置应用项目的评价范围，取装置所在场所实体屏蔽物边界外50m的范围。本项目</w:t>
            </w:r>
            <w:r>
              <w:rPr>
                <w:rFonts w:hint="default" w:ascii="Times New Roman" w:hAnsi="Times New Roman" w:eastAsia="宋体" w:cs="Times New Roman"/>
                <w:caps w:val="0"/>
                <w:color w:val="auto"/>
                <w:spacing w:val="0"/>
                <w:position w:val="0"/>
                <w:highlight w:val="none"/>
                <w:lang w:val="en-US" w:eastAsia="zh-CN"/>
              </w:rPr>
              <w:t>拟</w:t>
            </w:r>
            <w:r>
              <w:rPr>
                <w:rFonts w:hint="default" w:ascii="Times New Roman" w:hAnsi="Times New Roman" w:eastAsia="宋体" w:cs="Times New Roman"/>
                <w:caps w:val="0"/>
                <w:color w:val="auto"/>
                <w:spacing w:val="0"/>
                <w:position w:val="0"/>
                <w:highlight w:val="none"/>
                <w:lang w:eastAsia="zh-CN"/>
              </w:rPr>
              <w:t>使用</w:t>
            </w:r>
            <w:r>
              <w:rPr>
                <w:rFonts w:hint="default" w:ascii="Times New Roman" w:hAnsi="Times New Roman" w:eastAsia="宋体" w:cs="Times New Roman"/>
                <w:caps w:val="0"/>
                <w:color w:val="auto"/>
                <w:spacing w:val="0"/>
                <w:position w:val="0"/>
                <w:highlight w:val="none"/>
                <w:lang w:val="en-US" w:eastAsia="zh-CN"/>
              </w:rPr>
              <w:t>1</w:t>
            </w:r>
            <w:r>
              <w:rPr>
                <w:rFonts w:hint="default" w:ascii="Times New Roman" w:hAnsi="Times New Roman" w:eastAsia="宋体" w:cs="Times New Roman"/>
                <w:caps w:val="0"/>
                <w:color w:val="auto"/>
                <w:spacing w:val="0"/>
                <w:position w:val="0"/>
                <w:highlight w:val="none"/>
                <w:lang w:eastAsia="zh-CN"/>
              </w:rPr>
              <w:t>台Ⅱ类射线装置，设备限定在屏蔽机房内使用，评价范围</w:t>
            </w:r>
            <w:r>
              <w:rPr>
                <w:rFonts w:hint="default" w:ascii="Times New Roman" w:hAnsi="Times New Roman" w:eastAsia="宋体" w:cs="Times New Roman"/>
                <w:caps w:val="0"/>
                <w:color w:val="auto"/>
                <w:spacing w:val="0"/>
                <w:position w:val="0"/>
                <w:highlight w:val="none"/>
                <w:lang w:val="en-US" w:eastAsia="zh-CN"/>
              </w:rPr>
              <w:t>为</w:t>
            </w:r>
            <w:r>
              <w:rPr>
                <w:rFonts w:hint="default" w:ascii="Times New Roman" w:hAnsi="Times New Roman" w:eastAsia="宋体" w:cs="Times New Roman"/>
                <w:caps w:val="0"/>
                <w:color w:val="auto"/>
                <w:spacing w:val="0"/>
                <w:position w:val="0"/>
                <w:highlight w:val="none"/>
                <w:lang w:eastAsia="zh-CN"/>
              </w:rPr>
              <w:t>机房屏蔽墙外50m的范围</w:t>
            </w:r>
            <w:r>
              <w:rPr>
                <w:rFonts w:hint="default" w:ascii="Times New Roman" w:hAnsi="Times New Roman" w:eastAsia="宋体" w:cs="Times New Roman"/>
                <w:caps w:val="0"/>
                <w:color w:val="auto"/>
                <w:spacing w:val="0"/>
                <w:position w:val="0"/>
                <w:highlight w:val="none"/>
                <w:lang w:val="en-US" w:eastAsia="zh-CN"/>
              </w:rPr>
              <w:t>内</w:t>
            </w:r>
            <w:r>
              <w:rPr>
                <w:rFonts w:hint="default" w:ascii="Times New Roman" w:hAnsi="Times New Roman" w:eastAsia="宋体" w:cs="Times New Roman"/>
                <w:caps w:val="0"/>
                <w:color w:val="auto"/>
                <w:spacing w:val="0"/>
                <w:position w:val="0"/>
                <w:highlight w:val="none"/>
                <w:lang w:eastAsia="zh-CN"/>
              </w:rPr>
              <w:t>。本项目评价范围示意图见附图</w:t>
            </w:r>
            <w:r>
              <w:rPr>
                <w:rFonts w:hint="default" w:ascii="Times New Roman" w:hAnsi="Times New Roman" w:eastAsia="宋体" w:cs="Times New Roman"/>
                <w:caps w:val="0"/>
                <w:color w:val="auto"/>
                <w:spacing w:val="0"/>
                <w:position w:val="0"/>
                <w:highlight w:val="none"/>
                <w:lang w:val="en-US" w:eastAsia="zh-CN"/>
              </w:rPr>
              <w:t>4</w:t>
            </w:r>
            <w:r>
              <w:rPr>
                <w:rFonts w:hint="default" w:ascii="Times New Roman" w:hAnsi="Times New Roman" w:eastAsia="宋体" w:cs="Times New Roman"/>
                <w:caps w:val="0"/>
                <w:color w:val="auto"/>
                <w:spacing w:val="0"/>
                <w:position w:val="0"/>
                <w:sz w:val="24"/>
                <w:szCs w:val="24"/>
                <w:highlight w:val="none"/>
                <w:lang w:val="en-US" w:eastAsia="zh-CN"/>
              </w:rPr>
              <w:t>。</w:t>
            </w:r>
          </w:p>
        </w:tc>
      </w:tr>
      <w:tr w14:paraId="199A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7" w:hRule="atLeast"/>
          <w:jc w:val="center"/>
        </w:trPr>
        <w:tc>
          <w:tcPr>
            <w:tcW w:w="9299" w:type="dxa"/>
            <w:noWrap w:val="0"/>
            <w:vAlign w:val="top"/>
          </w:tcPr>
          <w:p w14:paraId="1F20516C">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7.2保护目标</w:t>
            </w:r>
          </w:p>
          <w:p w14:paraId="5DF7E80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项目</w:t>
            </w:r>
            <w:r>
              <w:rPr>
                <w:rFonts w:hint="default" w:ascii="Times New Roman" w:hAnsi="Times New Roman" w:eastAsia="宋体" w:cs="Times New Roman"/>
                <w:color w:val="auto"/>
                <w:spacing w:val="0"/>
                <w:position w:val="0"/>
              </w:rPr>
              <w:t>位于</w:t>
            </w:r>
            <w:r>
              <w:rPr>
                <w:rFonts w:hint="default" w:ascii="Times New Roman" w:hAnsi="Times New Roman" w:eastAsia="宋体" w:cs="Times New Roman"/>
                <w:color w:val="auto"/>
                <w:spacing w:val="0"/>
                <w:position w:val="0"/>
                <w:lang w:val="en-US" w:eastAsia="zh-CN"/>
              </w:rPr>
              <w:t>曲靖市麒麟区麒麟西路287号曲靖市第二人民医院住院楼5楼</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highlight w:val="none"/>
              </w:rPr>
              <w:t>医院周边情况如下：</w:t>
            </w:r>
            <w:r>
              <w:rPr>
                <w:rFonts w:hint="default" w:ascii="Times New Roman" w:hAnsi="Times New Roman" w:eastAsia="宋体" w:cs="Times New Roman"/>
                <w:color w:val="auto"/>
                <w:spacing w:val="0"/>
                <w:position w:val="0"/>
                <w:highlight w:val="none"/>
                <w:lang w:val="en-US" w:eastAsia="zh-CN"/>
              </w:rPr>
              <w:t>医院北面10m为</w:t>
            </w:r>
            <w:r>
              <w:rPr>
                <w:rFonts w:hint="eastAsia" w:cs="Times New Roman"/>
                <w:color w:val="auto"/>
                <w:spacing w:val="0"/>
                <w:position w:val="0"/>
                <w:highlight w:val="none"/>
                <w:lang w:val="en-US" w:eastAsia="zh-CN"/>
              </w:rPr>
              <w:t>百源花园小区</w:t>
            </w:r>
            <w:r>
              <w:rPr>
                <w:rFonts w:hint="default" w:ascii="Times New Roman" w:hAnsi="Times New Roman" w:eastAsia="宋体" w:cs="Times New Roman"/>
                <w:color w:val="auto"/>
                <w:spacing w:val="0"/>
                <w:position w:val="0"/>
                <w:highlight w:val="none"/>
                <w:lang w:val="en-US" w:eastAsia="zh-CN"/>
              </w:rPr>
              <w:t>，医院配套停车场；东北面35m为馨源现代城；东面20m为曲靖市第二人民医院生活区，东面60m为曲靖市第二小学（龙潭校区）；南面10m为曲靖市第二人民医院住宿区；西南面20m为麒麟西路石油西生活区</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rPr>
              <w:t>医院周围环境情况见附图</w:t>
            </w:r>
            <w:r>
              <w:rPr>
                <w:rFonts w:hint="default" w:ascii="Times New Roman" w:hAnsi="Times New Roman" w:eastAsia="宋体" w:cs="Times New Roman"/>
                <w:color w:val="auto"/>
                <w:spacing w:val="0"/>
                <w:position w:val="0"/>
                <w:lang w:val="en-US" w:eastAsia="zh-CN"/>
              </w:rPr>
              <w:t>4</w:t>
            </w:r>
            <w:r>
              <w:rPr>
                <w:rFonts w:hint="default" w:ascii="Times New Roman" w:hAnsi="Times New Roman" w:eastAsia="宋体" w:cs="Times New Roman"/>
                <w:color w:val="auto"/>
                <w:spacing w:val="0"/>
                <w:position w:val="0"/>
              </w:rPr>
              <w:t>。</w:t>
            </w:r>
          </w:p>
          <w:p w14:paraId="4D0B828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本项目DSA介入室拟建场</w:t>
            </w:r>
            <w:r>
              <w:rPr>
                <w:rFonts w:hint="default" w:ascii="Times New Roman" w:hAnsi="Times New Roman" w:eastAsia="宋体" w:cs="Times New Roman"/>
                <w:color w:val="auto"/>
                <w:spacing w:val="0"/>
                <w:position w:val="0"/>
                <w:lang w:val="en-US" w:eastAsia="zh-CN"/>
              </w:rPr>
              <w:t>所</w:t>
            </w:r>
            <w:r>
              <w:rPr>
                <w:rFonts w:hint="default" w:ascii="Times New Roman" w:hAnsi="Times New Roman" w:eastAsia="宋体" w:cs="Times New Roman"/>
                <w:color w:val="auto"/>
                <w:spacing w:val="0"/>
                <w:position w:val="0"/>
              </w:rPr>
              <w:t>为</w:t>
            </w:r>
            <w:r>
              <w:rPr>
                <w:rFonts w:hint="default" w:ascii="Times New Roman" w:hAnsi="Times New Roman" w:eastAsia="宋体" w:cs="Times New Roman"/>
                <w:color w:val="auto"/>
                <w:spacing w:val="0"/>
                <w:position w:val="0"/>
                <w:lang w:val="en-US" w:eastAsia="zh-CN"/>
              </w:rPr>
              <w:t>住院楼5楼第14号手术室、第15号手术室</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周边主要为门诊综合楼、住院楼及院内办公生活辅助用房</w:t>
            </w:r>
            <w:r>
              <w:rPr>
                <w:rFonts w:hint="default" w:ascii="Times New Roman" w:hAnsi="Times New Roman" w:eastAsia="宋体" w:cs="Times New Roman"/>
                <w:color w:val="auto"/>
                <w:spacing w:val="0"/>
                <w:position w:val="0"/>
              </w:rPr>
              <w:t>。</w:t>
            </w:r>
          </w:p>
          <w:p w14:paraId="734852C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本项目DSA介入室拟建场所北面依次为洁净通道、麻醉恢复区、空调机房。</w:t>
            </w:r>
          </w:p>
          <w:p w14:paraId="20AB5E6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东北面依次为换车区、楼梯间、楼梯前室、谈话间、家属等候区等。</w:t>
            </w:r>
          </w:p>
          <w:p w14:paraId="550894E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东面依次为16号手术室、污物打包间、电梯厅/污梯等。</w:t>
            </w:r>
          </w:p>
          <w:p w14:paraId="74B755A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东南面依次为护工休息室等。</w:t>
            </w:r>
          </w:p>
          <w:p w14:paraId="2F6507D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南面为污物通道。</w:t>
            </w:r>
          </w:p>
          <w:p w14:paraId="065817A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西面依次为13号手术室、12号手术室、11号手术室、机房等。</w:t>
            </w:r>
          </w:p>
          <w:p w14:paraId="7717FFC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西北面依次为麻醉准备间、药品间、一次性药品库、无菌包贮存间、医生休息室、二次换鞋区、楼梯间、电梯厅、机房等。</w:t>
            </w:r>
          </w:p>
          <w:p w14:paraId="72750E6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机房正上方为神经外科病房、癫痫病房。</w:t>
            </w:r>
          </w:p>
          <w:p w14:paraId="650CB9C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机房正下方为敷料打包室、库房、器械预清洗、2号手术室。</w:t>
            </w:r>
          </w:p>
          <w:p w14:paraId="5490AD4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本项目环境保护目标重点关注DSA辐射工作人员以及评价范围内DSA介入室周围的公众，本项目环境保护目标具体详见表7-1。</w:t>
            </w:r>
          </w:p>
          <w:p w14:paraId="5054233E">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表7-1本项目周围环境保护目标分布情况</w:t>
            </w:r>
          </w:p>
          <w:tbl>
            <w:tblPr>
              <w:tblStyle w:val="20"/>
              <w:tblW w:w="92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2"/>
              <w:gridCol w:w="740"/>
              <w:gridCol w:w="649"/>
              <w:gridCol w:w="2711"/>
              <w:gridCol w:w="1182"/>
              <w:gridCol w:w="1143"/>
              <w:gridCol w:w="1243"/>
              <w:gridCol w:w="858"/>
            </w:tblGrid>
            <w:tr w14:paraId="0D287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22" w:type="dxa"/>
                  <w:gridSpan w:val="2"/>
                  <w:vMerge w:val="restart"/>
                  <w:noWrap w:val="0"/>
                  <w:tcMar>
                    <w:left w:w="0" w:type="dxa"/>
                    <w:right w:w="0" w:type="dxa"/>
                  </w:tcMar>
                  <w:vAlign w:val="center"/>
                </w:tcPr>
                <w:p w14:paraId="3F02314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主要环境保护目标</w:t>
                  </w:r>
                </w:p>
              </w:tc>
              <w:tc>
                <w:tcPr>
                  <w:tcW w:w="649" w:type="dxa"/>
                  <w:vMerge w:val="restart"/>
                  <w:noWrap w:val="0"/>
                  <w:tcMar>
                    <w:left w:w="0" w:type="dxa"/>
                    <w:right w:w="0" w:type="dxa"/>
                  </w:tcMar>
                  <w:vAlign w:val="center"/>
                </w:tcPr>
                <w:p w14:paraId="6052F828">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方位</w:t>
                  </w:r>
                </w:p>
              </w:tc>
              <w:tc>
                <w:tcPr>
                  <w:tcW w:w="2711" w:type="dxa"/>
                  <w:vMerge w:val="restart"/>
                  <w:noWrap w:val="0"/>
                  <w:tcMar>
                    <w:left w:w="0" w:type="dxa"/>
                    <w:right w:w="0" w:type="dxa"/>
                  </w:tcMar>
                  <w:vAlign w:val="center"/>
                </w:tcPr>
                <w:p w14:paraId="0FC2FD68">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场所名称</w:t>
                  </w:r>
                </w:p>
              </w:tc>
              <w:tc>
                <w:tcPr>
                  <w:tcW w:w="2325" w:type="dxa"/>
                  <w:gridSpan w:val="2"/>
                  <w:noWrap w:val="0"/>
                  <w:tcMar>
                    <w:left w:w="0" w:type="dxa"/>
                    <w:right w:w="0" w:type="dxa"/>
                  </w:tcMar>
                  <w:vAlign w:val="center"/>
                </w:tcPr>
                <w:p w14:paraId="09C3F31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距DSA手术室最近距离</w:t>
                  </w:r>
                </w:p>
              </w:tc>
              <w:tc>
                <w:tcPr>
                  <w:tcW w:w="1243" w:type="dxa"/>
                  <w:vMerge w:val="restart"/>
                  <w:noWrap w:val="0"/>
                  <w:tcMar>
                    <w:left w:w="0" w:type="dxa"/>
                    <w:right w:w="0" w:type="dxa"/>
                  </w:tcMar>
                  <w:vAlign w:val="center"/>
                </w:tcPr>
                <w:p w14:paraId="253AB55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rPr>
                    <w:t>规模</w:t>
                  </w:r>
                  <w:r>
                    <w:rPr>
                      <w:rFonts w:hint="default" w:ascii="Times New Roman" w:hAnsi="Times New Roman" w:eastAsia="宋体" w:cs="Times New Roman"/>
                      <w:color w:val="auto"/>
                      <w:spacing w:val="0"/>
                      <w:position w:val="0"/>
                      <w:sz w:val="21"/>
                      <w:szCs w:val="21"/>
                      <w:lang w:eastAsia="zh-CN"/>
                    </w:rPr>
                    <w:t>（</w:t>
                  </w:r>
                  <w:r>
                    <w:rPr>
                      <w:rFonts w:hint="eastAsia" w:cs="Times New Roman"/>
                      <w:color w:val="auto"/>
                      <w:spacing w:val="0"/>
                      <w:position w:val="0"/>
                      <w:sz w:val="21"/>
                      <w:szCs w:val="21"/>
                      <w:lang w:val="en-US" w:eastAsia="zh-CN"/>
                    </w:rPr>
                    <w:t>人数</w:t>
                  </w:r>
                  <w:r>
                    <w:rPr>
                      <w:rFonts w:hint="default" w:ascii="Times New Roman" w:hAnsi="Times New Roman" w:eastAsia="宋体" w:cs="Times New Roman"/>
                      <w:color w:val="auto"/>
                      <w:spacing w:val="0"/>
                      <w:position w:val="0"/>
                      <w:sz w:val="21"/>
                      <w:szCs w:val="21"/>
                      <w:lang w:eastAsia="zh-CN"/>
                    </w:rPr>
                    <w:t>）</w:t>
                  </w:r>
                </w:p>
              </w:tc>
              <w:tc>
                <w:tcPr>
                  <w:tcW w:w="858" w:type="dxa"/>
                  <w:vMerge w:val="restart"/>
                  <w:noWrap w:val="0"/>
                  <w:vAlign w:val="center"/>
                </w:tcPr>
                <w:p w14:paraId="684F6FE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保护要求</w:t>
                  </w:r>
                </w:p>
              </w:tc>
            </w:tr>
            <w:tr w14:paraId="1D64E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422" w:type="dxa"/>
                  <w:gridSpan w:val="2"/>
                  <w:vMerge w:val="continue"/>
                  <w:noWrap w:val="0"/>
                  <w:tcMar>
                    <w:left w:w="0" w:type="dxa"/>
                    <w:right w:w="0" w:type="dxa"/>
                  </w:tcMar>
                  <w:vAlign w:val="center"/>
                </w:tcPr>
                <w:p w14:paraId="23887F0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219A92A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2711" w:type="dxa"/>
                  <w:vMerge w:val="continue"/>
                  <w:noWrap w:val="0"/>
                  <w:tcMar>
                    <w:left w:w="0" w:type="dxa"/>
                    <w:right w:w="0" w:type="dxa"/>
                  </w:tcMar>
                  <w:vAlign w:val="center"/>
                </w:tcPr>
                <w:p w14:paraId="047C139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1182" w:type="dxa"/>
                  <w:noWrap w:val="0"/>
                  <w:tcMar>
                    <w:left w:w="0" w:type="dxa"/>
                    <w:right w:w="0" w:type="dxa"/>
                  </w:tcMar>
                  <w:vAlign w:val="center"/>
                </w:tcPr>
                <w:p w14:paraId="17B525F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水平</w:t>
                  </w:r>
                  <w:r>
                    <w:rPr>
                      <w:rFonts w:hint="default" w:ascii="Times New Roman" w:hAnsi="Times New Roman" w:eastAsia="宋体" w:cs="Times New Roman"/>
                      <w:color w:val="auto"/>
                      <w:spacing w:val="0"/>
                      <w:position w:val="0"/>
                      <w:sz w:val="21"/>
                      <w:szCs w:val="21"/>
                      <w:lang w:eastAsia="zh-CN"/>
                    </w:rPr>
                    <w:t>（m）</w:t>
                  </w:r>
                </w:p>
              </w:tc>
              <w:tc>
                <w:tcPr>
                  <w:tcW w:w="1143" w:type="dxa"/>
                  <w:noWrap w:val="0"/>
                  <w:tcMar>
                    <w:left w:w="0" w:type="dxa"/>
                    <w:right w:w="0" w:type="dxa"/>
                  </w:tcMar>
                  <w:vAlign w:val="center"/>
                </w:tcPr>
                <w:p w14:paraId="76C60EE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垂直</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m</w:t>
                  </w:r>
                  <w:r>
                    <w:rPr>
                      <w:rFonts w:hint="default" w:ascii="Times New Roman" w:hAnsi="Times New Roman" w:eastAsia="宋体" w:cs="Times New Roman"/>
                      <w:color w:val="auto"/>
                      <w:spacing w:val="0"/>
                      <w:position w:val="0"/>
                      <w:sz w:val="21"/>
                      <w:szCs w:val="21"/>
                      <w:lang w:eastAsia="zh-CN"/>
                    </w:rPr>
                    <w:t>）</w:t>
                  </w:r>
                </w:p>
              </w:tc>
              <w:tc>
                <w:tcPr>
                  <w:tcW w:w="1243" w:type="dxa"/>
                  <w:vMerge w:val="continue"/>
                  <w:noWrap w:val="0"/>
                  <w:tcMar>
                    <w:left w:w="0" w:type="dxa"/>
                    <w:right w:w="0" w:type="dxa"/>
                  </w:tcMar>
                  <w:vAlign w:val="center"/>
                </w:tcPr>
                <w:p w14:paraId="5DD9927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858" w:type="dxa"/>
                  <w:vMerge w:val="continue"/>
                  <w:noWrap w:val="0"/>
                  <w:vAlign w:val="center"/>
                </w:tcPr>
                <w:p w14:paraId="1FD2841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63C39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restart"/>
                  <w:noWrap w:val="0"/>
                  <w:tcMar>
                    <w:left w:w="0" w:type="dxa"/>
                    <w:right w:w="0" w:type="dxa"/>
                  </w:tcMar>
                  <w:vAlign w:val="center"/>
                </w:tcPr>
                <w:p w14:paraId="55B45F6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职业</w:t>
                  </w:r>
                </w:p>
                <w:p w14:paraId="3F3AF6B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人员</w:t>
                  </w:r>
                </w:p>
              </w:tc>
              <w:tc>
                <w:tcPr>
                  <w:tcW w:w="740" w:type="dxa"/>
                  <w:vMerge w:val="restart"/>
                  <w:noWrap w:val="0"/>
                  <w:tcMar>
                    <w:left w:w="0" w:type="dxa"/>
                    <w:right w:w="0" w:type="dxa"/>
                  </w:tcMar>
                  <w:vAlign w:val="center"/>
                </w:tcPr>
                <w:p w14:paraId="5AEE36F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工作</w:t>
                  </w:r>
                </w:p>
                <w:p w14:paraId="1072D6D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人员</w:t>
                  </w:r>
                </w:p>
              </w:tc>
              <w:tc>
                <w:tcPr>
                  <w:tcW w:w="649" w:type="dxa"/>
                  <w:noWrap w:val="0"/>
                  <w:tcMar>
                    <w:left w:w="0" w:type="dxa"/>
                    <w:right w:w="0" w:type="dxa"/>
                  </w:tcMar>
                  <w:vAlign w:val="center"/>
                </w:tcPr>
                <w:p w14:paraId="45975C8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p>
              </w:tc>
              <w:tc>
                <w:tcPr>
                  <w:tcW w:w="2711" w:type="dxa"/>
                  <w:noWrap w:val="0"/>
                  <w:tcMar>
                    <w:left w:w="0" w:type="dxa"/>
                    <w:right w:w="0" w:type="dxa"/>
                  </w:tcMar>
                  <w:vAlign w:val="center"/>
                </w:tcPr>
                <w:p w14:paraId="64E98C0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DSA</w:t>
                  </w:r>
                  <w:r>
                    <w:rPr>
                      <w:rFonts w:hint="default" w:ascii="Times New Roman" w:hAnsi="Times New Roman" w:eastAsia="宋体" w:cs="Times New Roman"/>
                      <w:color w:val="auto"/>
                      <w:spacing w:val="0"/>
                      <w:position w:val="0"/>
                      <w:sz w:val="21"/>
                      <w:szCs w:val="21"/>
                      <w:lang w:val="en-US" w:eastAsia="zh-CN"/>
                    </w:rPr>
                    <w:t>机房</w:t>
                  </w:r>
                </w:p>
              </w:tc>
              <w:tc>
                <w:tcPr>
                  <w:tcW w:w="1182" w:type="dxa"/>
                  <w:noWrap w:val="0"/>
                  <w:tcMar>
                    <w:left w:w="0" w:type="dxa"/>
                    <w:right w:w="0" w:type="dxa"/>
                  </w:tcMar>
                  <w:vAlign w:val="center"/>
                </w:tcPr>
                <w:p w14:paraId="0C3EAE9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143" w:type="dxa"/>
                  <w:noWrap w:val="0"/>
                  <w:tcMar>
                    <w:left w:w="0" w:type="dxa"/>
                    <w:right w:w="0" w:type="dxa"/>
                  </w:tcMar>
                  <w:vAlign w:val="center"/>
                </w:tcPr>
                <w:p w14:paraId="18B7225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3DB408B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highlight w:val="none"/>
                      <w:lang w:val="en-US"/>
                    </w:rPr>
                  </w:pPr>
                  <w:r>
                    <w:rPr>
                      <w:rFonts w:hint="eastAsia" w:cs="Times New Roman"/>
                      <w:color w:val="auto"/>
                      <w:spacing w:val="0"/>
                      <w:position w:val="0"/>
                      <w:sz w:val="21"/>
                      <w:szCs w:val="21"/>
                      <w:highlight w:val="none"/>
                      <w:lang w:val="en-US" w:eastAsia="zh-CN"/>
                    </w:rPr>
                    <w:t>19人</w:t>
                  </w:r>
                </w:p>
              </w:tc>
              <w:tc>
                <w:tcPr>
                  <w:tcW w:w="858" w:type="dxa"/>
                  <w:vMerge w:val="restart"/>
                  <w:noWrap w:val="0"/>
                  <w:vAlign w:val="center"/>
                </w:tcPr>
                <w:p w14:paraId="2B6F693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5mSv/a</w:t>
                  </w:r>
                </w:p>
              </w:tc>
            </w:tr>
            <w:tr w14:paraId="160FC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42E2897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887FDC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noWrap w:val="0"/>
                  <w:tcMar>
                    <w:left w:w="0" w:type="dxa"/>
                    <w:right w:w="0" w:type="dxa"/>
                  </w:tcMar>
                  <w:vAlign w:val="center"/>
                </w:tcPr>
                <w:p w14:paraId="7B1EF24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p>
              </w:tc>
              <w:tc>
                <w:tcPr>
                  <w:tcW w:w="2711" w:type="dxa"/>
                  <w:noWrap w:val="0"/>
                  <w:tcMar>
                    <w:left w:w="0" w:type="dxa"/>
                    <w:right w:w="0" w:type="dxa"/>
                  </w:tcMar>
                  <w:vAlign w:val="center"/>
                </w:tcPr>
                <w:p w14:paraId="355FBFE8">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控制室</w:t>
                  </w:r>
                </w:p>
              </w:tc>
              <w:tc>
                <w:tcPr>
                  <w:tcW w:w="1182" w:type="dxa"/>
                  <w:noWrap w:val="0"/>
                  <w:tcMar>
                    <w:left w:w="0" w:type="dxa"/>
                    <w:right w:w="0" w:type="dxa"/>
                  </w:tcMar>
                  <w:vAlign w:val="center"/>
                </w:tcPr>
                <w:p w14:paraId="205C0E4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0.3</w:t>
                  </w:r>
                </w:p>
              </w:tc>
              <w:tc>
                <w:tcPr>
                  <w:tcW w:w="1143" w:type="dxa"/>
                  <w:noWrap w:val="0"/>
                  <w:tcMar>
                    <w:left w:w="0" w:type="dxa"/>
                    <w:right w:w="0" w:type="dxa"/>
                  </w:tcMar>
                  <w:vAlign w:val="center"/>
                </w:tcPr>
                <w:p w14:paraId="2A6DD93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360AD32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11人</w:t>
                  </w:r>
                </w:p>
              </w:tc>
              <w:tc>
                <w:tcPr>
                  <w:tcW w:w="858" w:type="dxa"/>
                  <w:vMerge w:val="continue"/>
                  <w:noWrap w:val="0"/>
                  <w:vAlign w:val="center"/>
                </w:tcPr>
                <w:p w14:paraId="3D6742F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67283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restart"/>
                  <w:noWrap w:val="0"/>
                  <w:tcMar>
                    <w:left w:w="0" w:type="dxa"/>
                    <w:right w:w="0" w:type="dxa"/>
                  </w:tcMar>
                  <w:vAlign w:val="center"/>
                </w:tcPr>
                <w:p w14:paraId="02888AB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公众</w:t>
                  </w:r>
                </w:p>
              </w:tc>
              <w:tc>
                <w:tcPr>
                  <w:tcW w:w="740" w:type="dxa"/>
                  <w:vMerge w:val="restart"/>
                  <w:noWrap w:val="0"/>
                  <w:tcMar>
                    <w:left w:w="0" w:type="dxa"/>
                    <w:right w:w="0" w:type="dxa"/>
                  </w:tcMar>
                  <w:vAlign w:val="center"/>
                </w:tcPr>
                <w:p w14:paraId="6CB8FCB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DSA</w:t>
                  </w:r>
                  <w:r>
                    <w:rPr>
                      <w:rFonts w:hint="default" w:ascii="Times New Roman" w:hAnsi="Times New Roman" w:eastAsia="宋体" w:cs="Times New Roman"/>
                      <w:color w:val="auto"/>
                      <w:spacing w:val="0"/>
                      <w:position w:val="0"/>
                      <w:sz w:val="21"/>
                      <w:szCs w:val="21"/>
                      <w:lang w:val="en-US" w:eastAsia="zh-CN"/>
                    </w:rPr>
                    <w:t>手术室</w:t>
                  </w:r>
                  <w:r>
                    <w:rPr>
                      <w:rFonts w:hint="default" w:ascii="Times New Roman" w:hAnsi="Times New Roman" w:eastAsia="宋体" w:cs="Times New Roman"/>
                      <w:color w:val="auto"/>
                      <w:spacing w:val="0"/>
                      <w:position w:val="0"/>
                      <w:sz w:val="21"/>
                      <w:szCs w:val="21"/>
                    </w:rPr>
                    <w:t>附近其他人员</w:t>
                  </w:r>
                </w:p>
              </w:tc>
              <w:tc>
                <w:tcPr>
                  <w:tcW w:w="649" w:type="dxa"/>
                  <w:vMerge w:val="restart"/>
                  <w:noWrap w:val="0"/>
                  <w:tcMar>
                    <w:left w:w="0" w:type="dxa"/>
                    <w:right w:w="0" w:type="dxa"/>
                  </w:tcMar>
                  <w:vAlign w:val="center"/>
                </w:tcPr>
                <w:p w14:paraId="255005F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北面</w:t>
                  </w:r>
                </w:p>
              </w:tc>
              <w:tc>
                <w:tcPr>
                  <w:tcW w:w="2711" w:type="dxa"/>
                  <w:noWrap w:val="0"/>
                  <w:tcMar>
                    <w:left w:w="0" w:type="dxa"/>
                    <w:right w:w="0" w:type="dxa"/>
                  </w:tcMar>
                  <w:vAlign w:val="center"/>
                </w:tcPr>
                <w:p w14:paraId="76FB2C5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洁净通道</w:t>
                  </w:r>
                </w:p>
              </w:tc>
              <w:tc>
                <w:tcPr>
                  <w:tcW w:w="1182" w:type="dxa"/>
                  <w:noWrap w:val="0"/>
                  <w:tcMar>
                    <w:left w:w="0" w:type="dxa"/>
                    <w:right w:w="0" w:type="dxa"/>
                  </w:tcMar>
                  <w:vAlign w:val="center"/>
                </w:tcPr>
                <w:p w14:paraId="6FD265C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0.3</w:t>
                  </w:r>
                </w:p>
              </w:tc>
              <w:tc>
                <w:tcPr>
                  <w:tcW w:w="1143" w:type="dxa"/>
                  <w:noWrap w:val="0"/>
                  <w:tcMar>
                    <w:left w:w="0" w:type="dxa"/>
                    <w:right w:w="0" w:type="dxa"/>
                  </w:tcMar>
                  <w:vAlign w:val="center"/>
                </w:tcPr>
                <w:p w14:paraId="3C51F36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4B44C7E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restart"/>
                  <w:noWrap w:val="0"/>
                  <w:vAlign w:val="center"/>
                </w:tcPr>
                <w:p w14:paraId="28BBDB7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0.25</w:t>
                  </w:r>
                </w:p>
                <w:p w14:paraId="31928A8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mSv/a</w:t>
                  </w:r>
                </w:p>
              </w:tc>
            </w:tr>
            <w:tr w14:paraId="4E35D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31A8262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7CB53A8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3FA1B1C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15CC17E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麻醉恢复区</w:t>
                  </w:r>
                </w:p>
              </w:tc>
              <w:tc>
                <w:tcPr>
                  <w:tcW w:w="1182" w:type="dxa"/>
                  <w:noWrap w:val="0"/>
                  <w:tcMar>
                    <w:left w:w="0" w:type="dxa"/>
                    <w:right w:w="0" w:type="dxa"/>
                  </w:tcMar>
                  <w:vAlign w:val="center"/>
                </w:tcPr>
                <w:p w14:paraId="13505F9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5.3</w:t>
                  </w:r>
                </w:p>
              </w:tc>
              <w:tc>
                <w:tcPr>
                  <w:tcW w:w="1143" w:type="dxa"/>
                  <w:noWrap w:val="0"/>
                  <w:tcMar>
                    <w:left w:w="0" w:type="dxa"/>
                    <w:right w:w="0" w:type="dxa"/>
                  </w:tcMar>
                  <w:vAlign w:val="center"/>
                </w:tcPr>
                <w:p w14:paraId="1FE2D5B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05F77E7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continue"/>
                  <w:noWrap w:val="0"/>
                  <w:vAlign w:val="center"/>
                </w:tcPr>
                <w:p w14:paraId="18EE03E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1F753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7277EA7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1F044D0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770B82D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499AA7E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百源花园小区道路</w:t>
                  </w:r>
                </w:p>
              </w:tc>
              <w:tc>
                <w:tcPr>
                  <w:tcW w:w="1182" w:type="dxa"/>
                  <w:noWrap w:val="0"/>
                  <w:tcMar>
                    <w:left w:w="0" w:type="dxa"/>
                    <w:right w:w="0" w:type="dxa"/>
                  </w:tcMar>
                  <w:vAlign w:val="center"/>
                </w:tcPr>
                <w:p w14:paraId="3D52E7F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47</w:t>
                  </w:r>
                </w:p>
              </w:tc>
              <w:tc>
                <w:tcPr>
                  <w:tcW w:w="1143" w:type="dxa"/>
                  <w:noWrap w:val="0"/>
                  <w:tcMar>
                    <w:left w:w="0" w:type="dxa"/>
                    <w:right w:w="0" w:type="dxa"/>
                  </w:tcMar>
                  <w:vAlign w:val="center"/>
                </w:tcPr>
                <w:p w14:paraId="0D2FA5E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-18.1</w:t>
                  </w:r>
                </w:p>
              </w:tc>
              <w:tc>
                <w:tcPr>
                  <w:tcW w:w="1243" w:type="dxa"/>
                  <w:noWrap w:val="0"/>
                  <w:tcMar>
                    <w:left w:w="0" w:type="dxa"/>
                    <w:right w:w="0" w:type="dxa"/>
                  </w:tcMar>
                  <w:vAlign w:val="center"/>
                </w:tcPr>
                <w:p w14:paraId="36EBA64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014875C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43800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56FEDB5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4AB34A0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5996B88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020A949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医院配套停车场</w:t>
                  </w:r>
                </w:p>
              </w:tc>
              <w:tc>
                <w:tcPr>
                  <w:tcW w:w="1182" w:type="dxa"/>
                  <w:noWrap w:val="0"/>
                  <w:tcMar>
                    <w:left w:w="0" w:type="dxa"/>
                    <w:right w:w="0" w:type="dxa"/>
                  </w:tcMar>
                  <w:vAlign w:val="center"/>
                </w:tcPr>
                <w:p w14:paraId="5FBC487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49</w:t>
                  </w:r>
                </w:p>
              </w:tc>
              <w:tc>
                <w:tcPr>
                  <w:tcW w:w="1143" w:type="dxa"/>
                  <w:noWrap w:val="0"/>
                  <w:tcMar>
                    <w:left w:w="0" w:type="dxa"/>
                    <w:right w:w="0" w:type="dxa"/>
                  </w:tcMar>
                  <w:vAlign w:val="center"/>
                </w:tcPr>
                <w:p w14:paraId="76AF6A7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-18.1</w:t>
                  </w:r>
                </w:p>
              </w:tc>
              <w:tc>
                <w:tcPr>
                  <w:tcW w:w="1243" w:type="dxa"/>
                  <w:noWrap w:val="0"/>
                  <w:tcMar>
                    <w:left w:w="0" w:type="dxa"/>
                    <w:right w:w="0" w:type="dxa"/>
                  </w:tcMar>
                  <w:vAlign w:val="center"/>
                </w:tcPr>
                <w:p w14:paraId="31C5537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约30人</w:t>
                  </w:r>
                </w:p>
              </w:tc>
              <w:tc>
                <w:tcPr>
                  <w:tcW w:w="858" w:type="dxa"/>
                  <w:vMerge w:val="continue"/>
                  <w:noWrap w:val="0"/>
                  <w:vAlign w:val="center"/>
                </w:tcPr>
                <w:p w14:paraId="020AD6F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5B16D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0F534BE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002B40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restart"/>
                  <w:noWrap w:val="0"/>
                  <w:tcMar>
                    <w:left w:w="0" w:type="dxa"/>
                    <w:right w:w="0" w:type="dxa"/>
                  </w:tcMar>
                  <w:vAlign w:val="center"/>
                </w:tcPr>
                <w:p w14:paraId="16877878">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东北面</w:t>
                  </w:r>
                </w:p>
              </w:tc>
              <w:tc>
                <w:tcPr>
                  <w:tcW w:w="2711" w:type="dxa"/>
                  <w:noWrap w:val="0"/>
                  <w:tcMar>
                    <w:left w:w="0" w:type="dxa"/>
                    <w:right w:w="0" w:type="dxa"/>
                  </w:tcMar>
                  <w:vAlign w:val="center"/>
                </w:tcPr>
                <w:p w14:paraId="0A19D11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换车区</w:t>
                  </w:r>
                </w:p>
              </w:tc>
              <w:tc>
                <w:tcPr>
                  <w:tcW w:w="1182" w:type="dxa"/>
                  <w:noWrap w:val="0"/>
                  <w:tcMar>
                    <w:left w:w="0" w:type="dxa"/>
                    <w:right w:w="0" w:type="dxa"/>
                  </w:tcMar>
                  <w:vAlign w:val="center"/>
                </w:tcPr>
                <w:p w14:paraId="14A7764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0.3</w:t>
                  </w:r>
                </w:p>
              </w:tc>
              <w:tc>
                <w:tcPr>
                  <w:tcW w:w="1143" w:type="dxa"/>
                  <w:noWrap w:val="0"/>
                  <w:tcMar>
                    <w:left w:w="0" w:type="dxa"/>
                    <w:right w:w="0" w:type="dxa"/>
                  </w:tcMar>
                  <w:vAlign w:val="center"/>
                </w:tcPr>
                <w:p w14:paraId="4646424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6DE4C54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144FF36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319C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036B1DB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9D6623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3822DCA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49FD120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楼梯间</w:t>
                  </w:r>
                </w:p>
              </w:tc>
              <w:tc>
                <w:tcPr>
                  <w:tcW w:w="1182" w:type="dxa"/>
                  <w:noWrap w:val="0"/>
                  <w:tcMar>
                    <w:left w:w="0" w:type="dxa"/>
                    <w:right w:w="0" w:type="dxa"/>
                  </w:tcMar>
                  <w:vAlign w:val="center"/>
                </w:tcPr>
                <w:p w14:paraId="092F876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5.4</w:t>
                  </w:r>
                </w:p>
              </w:tc>
              <w:tc>
                <w:tcPr>
                  <w:tcW w:w="1143" w:type="dxa"/>
                  <w:noWrap w:val="0"/>
                  <w:tcMar>
                    <w:left w:w="0" w:type="dxa"/>
                    <w:right w:w="0" w:type="dxa"/>
                  </w:tcMar>
                  <w:vAlign w:val="center"/>
                </w:tcPr>
                <w:p w14:paraId="5AE6709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364E524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24D756E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6EE17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540B691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E7A0F0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6B551E5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784860F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楼梯前室</w:t>
                  </w:r>
                </w:p>
              </w:tc>
              <w:tc>
                <w:tcPr>
                  <w:tcW w:w="1182" w:type="dxa"/>
                  <w:noWrap w:val="0"/>
                  <w:tcMar>
                    <w:left w:w="0" w:type="dxa"/>
                    <w:right w:w="0" w:type="dxa"/>
                  </w:tcMar>
                  <w:vAlign w:val="center"/>
                </w:tcPr>
                <w:p w14:paraId="54B5358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8.6</w:t>
                  </w:r>
                </w:p>
              </w:tc>
              <w:tc>
                <w:tcPr>
                  <w:tcW w:w="1143" w:type="dxa"/>
                  <w:noWrap w:val="0"/>
                  <w:tcMar>
                    <w:left w:w="0" w:type="dxa"/>
                    <w:right w:w="0" w:type="dxa"/>
                  </w:tcMar>
                  <w:vAlign w:val="center"/>
                </w:tcPr>
                <w:p w14:paraId="2B4ADA4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44E3256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560DA79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103E9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062AFFD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C025DD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3641D98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6B368FA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谈话间</w:t>
                  </w:r>
                </w:p>
              </w:tc>
              <w:tc>
                <w:tcPr>
                  <w:tcW w:w="1182" w:type="dxa"/>
                  <w:noWrap w:val="0"/>
                  <w:tcMar>
                    <w:left w:w="0" w:type="dxa"/>
                    <w:right w:w="0" w:type="dxa"/>
                  </w:tcMar>
                  <w:vAlign w:val="center"/>
                </w:tcPr>
                <w:p w14:paraId="2E0D326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bidi="ar-SA"/>
                    </w:rPr>
                    <w:t>6.8</w:t>
                  </w:r>
                </w:p>
              </w:tc>
              <w:tc>
                <w:tcPr>
                  <w:tcW w:w="1143" w:type="dxa"/>
                  <w:noWrap w:val="0"/>
                  <w:tcMar>
                    <w:left w:w="0" w:type="dxa"/>
                    <w:right w:w="0" w:type="dxa"/>
                  </w:tcMar>
                  <w:vAlign w:val="center"/>
                </w:tcPr>
                <w:p w14:paraId="4FDB445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5F3C299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约5人</w:t>
                  </w:r>
                </w:p>
              </w:tc>
              <w:tc>
                <w:tcPr>
                  <w:tcW w:w="858" w:type="dxa"/>
                  <w:vMerge w:val="continue"/>
                  <w:noWrap w:val="0"/>
                  <w:vAlign w:val="center"/>
                </w:tcPr>
                <w:p w14:paraId="23BE80C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70783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5F0B7F1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3751C7C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5C13F2E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44314DF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家属等候区</w:t>
                  </w:r>
                </w:p>
              </w:tc>
              <w:tc>
                <w:tcPr>
                  <w:tcW w:w="1182" w:type="dxa"/>
                  <w:noWrap w:val="0"/>
                  <w:tcMar>
                    <w:left w:w="0" w:type="dxa"/>
                    <w:right w:w="0" w:type="dxa"/>
                  </w:tcMar>
                  <w:vAlign w:val="center"/>
                </w:tcPr>
                <w:p w14:paraId="1071738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10</w:t>
                  </w:r>
                </w:p>
              </w:tc>
              <w:tc>
                <w:tcPr>
                  <w:tcW w:w="1143" w:type="dxa"/>
                  <w:noWrap w:val="0"/>
                  <w:tcMar>
                    <w:left w:w="0" w:type="dxa"/>
                    <w:right w:w="0" w:type="dxa"/>
                  </w:tcMar>
                  <w:vAlign w:val="center"/>
                </w:tcPr>
                <w:p w14:paraId="4E88DC5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1711FE0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约10人</w:t>
                  </w:r>
                </w:p>
              </w:tc>
              <w:tc>
                <w:tcPr>
                  <w:tcW w:w="858" w:type="dxa"/>
                  <w:vMerge w:val="continue"/>
                  <w:noWrap w:val="0"/>
                  <w:vAlign w:val="center"/>
                </w:tcPr>
                <w:p w14:paraId="633CB14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5267D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2" w:type="dxa"/>
                  <w:vMerge w:val="continue"/>
                  <w:noWrap w:val="0"/>
                  <w:tcMar>
                    <w:left w:w="0" w:type="dxa"/>
                    <w:right w:w="0" w:type="dxa"/>
                  </w:tcMar>
                  <w:vAlign w:val="center"/>
                </w:tcPr>
                <w:p w14:paraId="1CBA3C5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6C2B5B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restart"/>
                  <w:noWrap w:val="0"/>
                  <w:tcMar>
                    <w:left w:w="0" w:type="dxa"/>
                    <w:right w:w="0" w:type="dxa"/>
                  </w:tcMar>
                  <w:vAlign w:val="center"/>
                </w:tcPr>
                <w:p w14:paraId="5617990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东面</w:t>
                  </w:r>
                </w:p>
              </w:tc>
              <w:tc>
                <w:tcPr>
                  <w:tcW w:w="2711" w:type="dxa"/>
                  <w:noWrap w:val="0"/>
                  <w:tcMar>
                    <w:left w:w="0" w:type="dxa"/>
                    <w:right w:w="0" w:type="dxa"/>
                  </w:tcMar>
                  <w:vAlign w:val="center"/>
                </w:tcPr>
                <w:p w14:paraId="3C2A7FC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16号手术室</w:t>
                  </w:r>
                </w:p>
              </w:tc>
              <w:tc>
                <w:tcPr>
                  <w:tcW w:w="1182" w:type="dxa"/>
                  <w:noWrap w:val="0"/>
                  <w:tcMar>
                    <w:left w:w="0" w:type="dxa"/>
                    <w:right w:w="0" w:type="dxa"/>
                  </w:tcMar>
                  <w:vAlign w:val="center"/>
                </w:tcPr>
                <w:p w14:paraId="5249A1D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0.3</w:t>
                  </w:r>
                </w:p>
              </w:tc>
              <w:tc>
                <w:tcPr>
                  <w:tcW w:w="1143" w:type="dxa"/>
                  <w:noWrap w:val="0"/>
                  <w:tcMar>
                    <w:left w:w="0" w:type="dxa"/>
                    <w:right w:w="0" w:type="dxa"/>
                  </w:tcMar>
                  <w:vAlign w:val="center"/>
                </w:tcPr>
                <w:p w14:paraId="62DBCD0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765F464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6144BD0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17810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2" w:type="dxa"/>
                  <w:vMerge w:val="continue"/>
                  <w:noWrap w:val="0"/>
                  <w:tcMar>
                    <w:left w:w="0" w:type="dxa"/>
                    <w:right w:w="0" w:type="dxa"/>
                  </w:tcMar>
                  <w:vAlign w:val="center"/>
                </w:tcPr>
                <w:p w14:paraId="152941C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BA90C3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62AD555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6C76713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污物打包间</w:t>
                  </w:r>
                </w:p>
              </w:tc>
              <w:tc>
                <w:tcPr>
                  <w:tcW w:w="1182" w:type="dxa"/>
                  <w:noWrap w:val="0"/>
                  <w:tcMar>
                    <w:left w:w="0" w:type="dxa"/>
                    <w:right w:w="0" w:type="dxa"/>
                  </w:tcMar>
                  <w:vAlign w:val="center"/>
                </w:tcPr>
                <w:p w14:paraId="4D46514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5.0</w:t>
                  </w:r>
                </w:p>
              </w:tc>
              <w:tc>
                <w:tcPr>
                  <w:tcW w:w="1143" w:type="dxa"/>
                  <w:noWrap w:val="0"/>
                  <w:tcMar>
                    <w:left w:w="0" w:type="dxa"/>
                    <w:right w:w="0" w:type="dxa"/>
                  </w:tcMar>
                  <w:vAlign w:val="center"/>
                </w:tcPr>
                <w:p w14:paraId="19B46BA8">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694C9D0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continue"/>
                  <w:noWrap w:val="0"/>
                  <w:vAlign w:val="center"/>
                </w:tcPr>
                <w:p w14:paraId="7A9749F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6B567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2" w:type="dxa"/>
                  <w:vMerge w:val="continue"/>
                  <w:noWrap w:val="0"/>
                  <w:tcMar>
                    <w:left w:w="0" w:type="dxa"/>
                    <w:right w:w="0" w:type="dxa"/>
                  </w:tcMar>
                  <w:vAlign w:val="center"/>
                </w:tcPr>
                <w:p w14:paraId="488E451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62E82FC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02CCE93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7AF1D30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电梯厅/污梯</w:t>
                  </w:r>
                </w:p>
              </w:tc>
              <w:tc>
                <w:tcPr>
                  <w:tcW w:w="1182" w:type="dxa"/>
                  <w:noWrap w:val="0"/>
                  <w:tcMar>
                    <w:left w:w="0" w:type="dxa"/>
                    <w:right w:w="0" w:type="dxa"/>
                  </w:tcMar>
                  <w:vAlign w:val="center"/>
                </w:tcPr>
                <w:p w14:paraId="78D9AE8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8.2</w:t>
                  </w:r>
                </w:p>
              </w:tc>
              <w:tc>
                <w:tcPr>
                  <w:tcW w:w="1143" w:type="dxa"/>
                  <w:noWrap w:val="0"/>
                  <w:tcMar>
                    <w:left w:w="0" w:type="dxa"/>
                    <w:right w:w="0" w:type="dxa"/>
                  </w:tcMar>
                  <w:vAlign w:val="center"/>
                </w:tcPr>
                <w:p w14:paraId="44633C6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7D82409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约5人</w:t>
                  </w:r>
                </w:p>
              </w:tc>
              <w:tc>
                <w:tcPr>
                  <w:tcW w:w="858" w:type="dxa"/>
                  <w:vMerge w:val="continue"/>
                  <w:noWrap w:val="0"/>
                  <w:vAlign w:val="center"/>
                </w:tcPr>
                <w:p w14:paraId="32B8A6B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4CDA0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2" w:type="dxa"/>
                  <w:vMerge w:val="continue"/>
                  <w:noWrap w:val="0"/>
                  <w:tcMar>
                    <w:left w:w="0" w:type="dxa"/>
                    <w:right w:w="0" w:type="dxa"/>
                  </w:tcMar>
                  <w:vAlign w:val="center"/>
                </w:tcPr>
                <w:p w14:paraId="08BD4B3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1F2CDE9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6992FAA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0722668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曲靖市第二人民医院生活区</w:t>
                  </w:r>
                  <w:r>
                    <w:rPr>
                      <w:rFonts w:hint="eastAsia" w:cs="Times New Roman"/>
                      <w:color w:val="auto"/>
                      <w:spacing w:val="0"/>
                      <w:position w:val="0"/>
                      <w:sz w:val="21"/>
                      <w:szCs w:val="21"/>
                      <w:lang w:val="en-US" w:eastAsia="zh-CN"/>
                    </w:rPr>
                    <w:t>2栋</w:t>
                  </w:r>
                </w:p>
              </w:tc>
              <w:tc>
                <w:tcPr>
                  <w:tcW w:w="1182" w:type="dxa"/>
                  <w:noWrap w:val="0"/>
                  <w:tcMar>
                    <w:left w:w="0" w:type="dxa"/>
                    <w:right w:w="0" w:type="dxa"/>
                  </w:tcMar>
                  <w:vAlign w:val="center"/>
                </w:tcPr>
                <w:p w14:paraId="003B205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35.5</w:t>
                  </w:r>
                </w:p>
              </w:tc>
              <w:tc>
                <w:tcPr>
                  <w:tcW w:w="1143" w:type="dxa"/>
                  <w:noWrap w:val="0"/>
                  <w:tcMar>
                    <w:left w:w="0" w:type="dxa"/>
                    <w:right w:w="0" w:type="dxa"/>
                  </w:tcMar>
                  <w:vAlign w:val="center"/>
                </w:tcPr>
                <w:p w14:paraId="6716953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eastAsia" w:cs="Times New Roman"/>
                      <w:color w:val="auto"/>
                      <w:spacing w:val="0"/>
                      <w:position w:val="0"/>
                      <w:sz w:val="21"/>
                      <w:szCs w:val="21"/>
                      <w:lang w:val="en-US" w:eastAsia="zh-CN"/>
                    </w:rPr>
                    <w:t>0</w:t>
                  </w:r>
                </w:p>
              </w:tc>
              <w:tc>
                <w:tcPr>
                  <w:tcW w:w="1243" w:type="dxa"/>
                  <w:noWrap w:val="0"/>
                  <w:tcMar>
                    <w:left w:w="0" w:type="dxa"/>
                    <w:right w:w="0" w:type="dxa"/>
                  </w:tcMar>
                  <w:vAlign w:val="center"/>
                </w:tcPr>
                <w:p w14:paraId="7ABEC66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eastAsia="zh-CN"/>
                    </w:rPr>
                    <w:t>约200人</w:t>
                  </w:r>
                </w:p>
              </w:tc>
              <w:tc>
                <w:tcPr>
                  <w:tcW w:w="858" w:type="dxa"/>
                  <w:vMerge w:val="continue"/>
                  <w:noWrap w:val="0"/>
                  <w:vAlign w:val="center"/>
                </w:tcPr>
                <w:p w14:paraId="7D6450F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623BB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6582502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2DD2EEF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noWrap w:val="0"/>
                  <w:tcMar>
                    <w:left w:w="0" w:type="dxa"/>
                    <w:right w:w="0" w:type="dxa"/>
                  </w:tcMar>
                  <w:vAlign w:val="center"/>
                </w:tcPr>
                <w:p w14:paraId="093C95B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东南面</w:t>
                  </w:r>
                </w:p>
              </w:tc>
              <w:tc>
                <w:tcPr>
                  <w:tcW w:w="2711" w:type="dxa"/>
                  <w:noWrap w:val="0"/>
                  <w:tcMar>
                    <w:left w:w="0" w:type="dxa"/>
                    <w:right w:w="0" w:type="dxa"/>
                  </w:tcMar>
                  <w:vAlign w:val="center"/>
                </w:tcPr>
                <w:p w14:paraId="3967F45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护工休息室</w:t>
                  </w:r>
                </w:p>
              </w:tc>
              <w:tc>
                <w:tcPr>
                  <w:tcW w:w="1182" w:type="dxa"/>
                  <w:noWrap w:val="0"/>
                  <w:tcMar>
                    <w:left w:w="0" w:type="dxa"/>
                    <w:right w:w="0" w:type="dxa"/>
                  </w:tcMar>
                  <w:vAlign w:val="center"/>
                </w:tcPr>
                <w:p w14:paraId="5F11BE8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12.3</w:t>
                  </w:r>
                </w:p>
              </w:tc>
              <w:tc>
                <w:tcPr>
                  <w:tcW w:w="1143" w:type="dxa"/>
                  <w:noWrap w:val="0"/>
                  <w:tcMar>
                    <w:left w:w="0" w:type="dxa"/>
                    <w:right w:w="0" w:type="dxa"/>
                  </w:tcMar>
                  <w:vAlign w:val="center"/>
                </w:tcPr>
                <w:p w14:paraId="09E4B05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0B55886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189F9E9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65C96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177BAF4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74FFC76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restart"/>
                  <w:noWrap w:val="0"/>
                  <w:tcMar>
                    <w:left w:w="0" w:type="dxa"/>
                    <w:right w:w="0" w:type="dxa"/>
                  </w:tcMar>
                  <w:vAlign w:val="center"/>
                </w:tcPr>
                <w:p w14:paraId="7D08191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南面</w:t>
                  </w:r>
                </w:p>
              </w:tc>
              <w:tc>
                <w:tcPr>
                  <w:tcW w:w="2711" w:type="dxa"/>
                  <w:noWrap w:val="0"/>
                  <w:tcMar>
                    <w:left w:w="0" w:type="dxa"/>
                    <w:right w:w="0" w:type="dxa"/>
                  </w:tcMar>
                  <w:vAlign w:val="center"/>
                </w:tcPr>
                <w:p w14:paraId="2C27EE08">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污物通道</w:t>
                  </w:r>
                </w:p>
              </w:tc>
              <w:tc>
                <w:tcPr>
                  <w:tcW w:w="1182" w:type="dxa"/>
                  <w:noWrap w:val="0"/>
                  <w:tcMar>
                    <w:left w:w="0" w:type="dxa"/>
                    <w:right w:w="0" w:type="dxa"/>
                  </w:tcMar>
                  <w:vAlign w:val="center"/>
                </w:tcPr>
                <w:p w14:paraId="5D4686C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0.3</w:t>
                  </w:r>
                </w:p>
              </w:tc>
              <w:tc>
                <w:tcPr>
                  <w:tcW w:w="1143" w:type="dxa"/>
                  <w:noWrap w:val="0"/>
                  <w:tcMar>
                    <w:left w:w="0" w:type="dxa"/>
                    <w:right w:w="0" w:type="dxa"/>
                  </w:tcMar>
                  <w:vAlign w:val="center"/>
                </w:tcPr>
                <w:p w14:paraId="2B4F07F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28F7C27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continue"/>
                  <w:noWrap w:val="0"/>
                  <w:vAlign w:val="center"/>
                </w:tcPr>
                <w:p w14:paraId="0FA1B8C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77A45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784C23F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2565863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1E96A7D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4429A8E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设备间</w:t>
                  </w:r>
                </w:p>
              </w:tc>
              <w:tc>
                <w:tcPr>
                  <w:tcW w:w="1182" w:type="dxa"/>
                  <w:noWrap w:val="0"/>
                  <w:tcMar>
                    <w:left w:w="0" w:type="dxa"/>
                    <w:right w:w="0" w:type="dxa"/>
                  </w:tcMar>
                  <w:vAlign w:val="center"/>
                </w:tcPr>
                <w:p w14:paraId="20BD7C8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0.3</w:t>
                  </w:r>
                </w:p>
              </w:tc>
              <w:tc>
                <w:tcPr>
                  <w:tcW w:w="1143" w:type="dxa"/>
                  <w:noWrap w:val="0"/>
                  <w:tcMar>
                    <w:left w:w="0" w:type="dxa"/>
                    <w:right w:w="0" w:type="dxa"/>
                  </w:tcMar>
                  <w:vAlign w:val="center"/>
                </w:tcPr>
                <w:p w14:paraId="45D7750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2FC5AB4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continue"/>
                  <w:noWrap w:val="0"/>
                  <w:vAlign w:val="center"/>
                </w:tcPr>
                <w:p w14:paraId="1444219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327AC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4FD4D60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2D57527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3097D76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1C78644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曲靖市第二人民医院住宿区</w:t>
                  </w:r>
                  <w:r>
                    <w:rPr>
                      <w:rFonts w:hint="eastAsia" w:cs="Times New Roman"/>
                      <w:color w:val="auto"/>
                      <w:spacing w:val="0"/>
                      <w:position w:val="0"/>
                      <w:sz w:val="21"/>
                      <w:szCs w:val="21"/>
                      <w:lang w:val="en-US" w:eastAsia="zh-CN"/>
                    </w:rPr>
                    <w:t>22栋</w:t>
                  </w:r>
                </w:p>
              </w:tc>
              <w:tc>
                <w:tcPr>
                  <w:tcW w:w="1182" w:type="dxa"/>
                  <w:noWrap w:val="0"/>
                  <w:tcMar>
                    <w:left w:w="0" w:type="dxa"/>
                    <w:right w:w="0" w:type="dxa"/>
                  </w:tcMar>
                  <w:vAlign w:val="center"/>
                </w:tcPr>
                <w:p w14:paraId="6A2CD66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20</w:t>
                  </w:r>
                </w:p>
              </w:tc>
              <w:tc>
                <w:tcPr>
                  <w:tcW w:w="1143" w:type="dxa"/>
                  <w:noWrap w:val="0"/>
                  <w:tcMar>
                    <w:left w:w="0" w:type="dxa"/>
                    <w:right w:w="0" w:type="dxa"/>
                  </w:tcMar>
                  <w:vAlign w:val="center"/>
                </w:tcPr>
                <w:p w14:paraId="20C7D26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0</w:t>
                  </w:r>
                </w:p>
              </w:tc>
              <w:tc>
                <w:tcPr>
                  <w:tcW w:w="1243" w:type="dxa"/>
                  <w:noWrap w:val="0"/>
                  <w:tcMar>
                    <w:left w:w="0" w:type="dxa"/>
                    <w:right w:w="0" w:type="dxa"/>
                  </w:tcMar>
                  <w:vAlign w:val="center"/>
                </w:tcPr>
                <w:p w14:paraId="4C9FA08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约300人</w:t>
                  </w:r>
                </w:p>
              </w:tc>
              <w:tc>
                <w:tcPr>
                  <w:tcW w:w="858" w:type="dxa"/>
                  <w:vMerge w:val="continue"/>
                  <w:noWrap w:val="0"/>
                  <w:vAlign w:val="center"/>
                </w:tcPr>
                <w:p w14:paraId="24F066F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4DDB6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5B5F37D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14CF6A7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restart"/>
                  <w:noWrap w:val="0"/>
                  <w:tcMar>
                    <w:left w:w="0" w:type="dxa"/>
                    <w:right w:w="0" w:type="dxa"/>
                  </w:tcMar>
                  <w:vAlign w:val="center"/>
                </w:tcPr>
                <w:p w14:paraId="6EF4A04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西面</w:t>
                  </w:r>
                </w:p>
              </w:tc>
              <w:tc>
                <w:tcPr>
                  <w:tcW w:w="2711" w:type="dxa"/>
                  <w:noWrap w:val="0"/>
                  <w:tcMar>
                    <w:left w:w="0" w:type="dxa"/>
                    <w:right w:w="0" w:type="dxa"/>
                  </w:tcMar>
                  <w:vAlign w:val="center"/>
                </w:tcPr>
                <w:p w14:paraId="66D6E94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13号手术室</w:t>
                  </w:r>
                </w:p>
              </w:tc>
              <w:tc>
                <w:tcPr>
                  <w:tcW w:w="1182" w:type="dxa"/>
                  <w:noWrap w:val="0"/>
                  <w:tcMar>
                    <w:left w:w="0" w:type="dxa"/>
                    <w:right w:w="0" w:type="dxa"/>
                  </w:tcMar>
                  <w:vAlign w:val="center"/>
                </w:tcPr>
                <w:p w14:paraId="3DB8D81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2.5</w:t>
                  </w:r>
                </w:p>
              </w:tc>
              <w:tc>
                <w:tcPr>
                  <w:tcW w:w="1143" w:type="dxa"/>
                  <w:noWrap w:val="0"/>
                  <w:tcMar>
                    <w:left w:w="0" w:type="dxa"/>
                    <w:right w:w="0" w:type="dxa"/>
                  </w:tcMar>
                  <w:vAlign w:val="center"/>
                </w:tcPr>
                <w:p w14:paraId="41A7B81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751C863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2A43A12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0E7E4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2657B63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1482086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1903D91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43C1417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12号手术室</w:t>
                  </w:r>
                </w:p>
              </w:tc>
              <w:tc>
                <w:tcPr>
                  <w:tcW w:w="1182" w:type="dxa"/>
                  <w:noWrap w:val="0"/>
                  <w:tcMar>
                    <w:left w:w="0" w:type="dxa"/>
                    <w:right w:w="0" w:type="dxa"/>
                  </w:tcMar>
                  <w:vAlign w:val="center"/>
                </w:tcPr>
                <w:p w14:paraId="7DA6BDF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8.2</w:t>
                  </w:r>
                </w:p>
              </w:tc>
              <w:tc>
                <w:tcPr>
                  <w:tcW w:w="1143" w:type="dxa"/>
                  <w:noWrap w:val="0"/>
                  <w:tcMar>
                    <w:left w:w="0" w:type="dxa"/>
                    <w:right w:w="0" w:type="dxa"/>
                  </w:tcMar>
                  <w:vAlign w:val="center"/>
                </w:tcPr>
                <w:p w14:paraId="5039170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7576935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13006DB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458D7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7D517B8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C4AC3D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3B080CD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44F638A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11号手术室</w:t>
                  </w:r>
                </w:p>
              </w:tc>
              <w:tc>
                <w:tcPr>
                  <w:tcW w:w="1182" w:type="dxa"/>
                  <w:noWrap w:val="0"/>
                  <w:tcMar>
                    <w:left w:w="0" w:type="dxa"/>
                    <w:right w:w="0" w:type="dxa"/>
                  </w:tcMar>
                  <w:vAlign w:val="center"/>
                </w:tcPr>
                <w:p w14:paraId="4488973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15</w:t>
                  </w:r>
                </w:p>
              </w:tc>
              <w:tc>
                <w:tcPr>
                  <w:tcW w:w="1143" w:type="dxa"/>
                  <w:noWrap w:val="0"/>
                  <w:tcMar>
                    <w:left w:w="0" w:type="dxa"/>
                    <w:right w:w="0" w:type="dxa"/>
                  </w:tcMar>
                  <w:vAlign w:val="center"/>
                </w:tcPr>
                <w:p w14:paraId="12E94F0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0C603F6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38080A9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629DB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27ADFF5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E5D94A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restart"/>
                  <w:noWrap w:val="0"/>
                  <w:tcMar>
                    <w:left w:w="0" w:type="dxa"/>
                    <w:right w:w="0" w:type="dxa"/>
                  </w:tcMar>
                  <w:vAlign w:val="center"/>
                </w:tcPr>
                <w:p w14:paraId="56B9B79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西北面</w:t>
                  </w:r>
                </w:p>
              </w:tc>
              <w:tc>
                <w:tcPr>
                  <w:tcW w:w="2711" w:type="dxa"/>
                  <w:noWrap w:val="0"/>
                  <w:tcMar>
                    <w:left w:w="0" w:type="dxa"/>
                    <w:right w:w="0" w:type="dxa"/>
                  </w:tcMar>
                  <w:vAlign w:val="center"/>
                </w:tcPr>
                <w:p w14:paraId="5983ED6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麻醉准备间</w:t>
                  </w:r>
                </w:p>
              </w:tc>
              <w:tc>
                <w:tcPr>
                  <w:tcW w:w="1182" w:type="dxa"/>
                  <w:noWrap w:val="0"/>
                  <w:tcMar>
                    <w:left w:w="0" w:type="dxa"/>
                    <w:right w:w="0" w:type="dxa"/>
                  </w:tcMar>
                  <w:vAlign w:val="center"/>
                </w:tcPr>
                <w:p w14:paraId="6D67B96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7.0</w:t>
                  </w:r>
                </w:p>
              </w:tc>
              <w:tc>
                <w:tcPr>
                  <w:tcW w:w="1143" w:type="dxa"/>
                  <w:noWrap w:val="0"/>
                  <w:tcMar>
                    <w:left w:w="0" w:type="dxa"/>
                    <w:right w:w="0" w:type="dxa"/>
                  </w:tcMar>
                  <w:vAlign w:val="center"/>
                </w:tcPr>
                <w:p w14:paraId="30097CD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243" w:type="dxa"/>
                  <w:noWrap w:val="0"/>
                  <w:tcMar>
                    <w:left w:w="0" w:type="dxa"/>
                    <w:right w:w="0" w:type="dxa"/>
                  </w:tcMar>
                  <w:vAlign w:val="center"/>
                </w:tcPr>
                <w:p w14:paraId="620CE45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5360452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58DF1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337EB70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7C92AE8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2EA4544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7F36D8A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药品间</w:t>
                  </w:r>
                </w:p>
              </w:tc>
              <w:tc>
                <w:tcPr>
                  <w:tcW w:w="1182" w:type="dxa"/>
                  <w:noWrap w:val="0"/>
                  <w:tcMar>
                    <w:left w:w="0" w:type="dxa"/>
                    <w:right w:w="0" w:type="dxa"/>
                  </w:tcMar>
                  <w:vAlign w:val="center"/>
                </w:tcPr>
                <w:p w14:paraId="7762C15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13.1</w:t>
                  </w:r>
                </w:p>
              </w:tc>
              <w:tc>
                <w:tcPr>
                  <w:tcW w:w="1143" w:type="dxa"/>
                  <w:noWrap w:val="0"/>
                  <w:tcMar>
                    <w:left w:w="0" w:type="dxa"/>
                    <w:right w:w="0" w:type="dxa"/>
                  </w:tcMar>
                  <w:vAlign w:val="center"/>
                </w:tcPr>
                <w:p w14:paraId="41DBDE7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4CE06D0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11FBDC6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001AC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3C2CC3E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98C647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214FECB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17E526F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一次性药品库</w:t>
                  </w:r>
                </w:p>
              </w:tc>
              <w:tc>
                <w:tcPr>
                  <w:tcW w:w="1182" w:type="dxa"/>
                  <w:noWrap w:val="0"/>
                  <w:tcMar>
                    <w:left w:w="0" w:type="dxa"/>
                    <w:right w:w="0" w:type="dxa"/>
                  </w:tcMar>
                  <w:vAlign w:val="center"/>
                </w:tcPr>
                <w:p w14:paraId="46641E5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10.7</w:t>
                  </w:r>
                </w:p>
              </w:tc>
              <w:tc>
                <w:tcPr>
                  <w:tcW w:w="1143" w:type="dxa"/>
                  <w:noWrap w:val="0"/>
                  <w:tcMar>
                    <w:left w:w="0" w:type="dxa"/>
                    <w:right w:w="0" w:type="dxa"/>
                  </w:tcMar>
                  <w:vAlign w:val="center"/>
                </w:tcPr>
                <w:p w14:paraId="206D882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748228D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continue"/>
                  <w:noWrap w:val="0"/>
                  <w:vAlign w:val="center"/>
                </w:tcPr>
                <w:p w14:paraId="6A363B8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5EDFB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11C7484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41ADB91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507496C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5565503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无菌包贮存间</w:t>
                  </w:r>
                </w:p>
              </w:tc>
              <w:tc>
                <w:tcPr>
                  <w:tcW w:w="1182" w:type="dxa"/>
                  <w:noWrap w:val="0"/>
                  <w:tcMar>
                    <w:left w:w="0" w:type="dxa"/>
                    <w:right w:w="0" w:type="dxa"/>
                  </w:tcMar>
                  <w:vAlign w:val="center"/>
                </w:tcPr>
                <w:p w14:paraId="79A36C0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15.0</w:t>
                  </w:r>
                </w:p>
              </w:tc>
              <w:tc>
                <w:tcPr>
                  <w:tcW w:w="1143" w:type="dxa"/>
                  <w:noWrap w:val="0"/>
                  <w:tcMar>
                    <w:left w:w="0" w:type="dxa"/>
                    <w:right w:w="0" w:type="dxa"/>
                  </w:tcMar>
                  <w:vAlign w:val="center"/>
                </w:tcPr>
                <w:p w14:paraId="029F04A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4DD0418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continue"/>
                  <w:noWrap w:val="0"/>
                  <w:vAlign w:val="center"/>
                </w:tcPr>
                <w:p w14:paraId="1D0E8BA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775BE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5DBA67C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3F1D573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524EBE8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4B48227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医生休息室</w:t>
                  </w:r>
                </w:p>
              </w:tc>
              <w:tc>
                <w:tcPr>
                  <w:tcW w:w="1182" w:type="dxa"/>
                  <w:noWrap w:val="0"/>
                  <w:tcMar>
                    <w:left w:w="0" w:type="dxa"/>
                    <w:right w:w="0" w:type="dxa"/>
                  </w:tcMar>
                  <w:vAlign w:val="center"/>
                </w:tcPr>
                <w:p w14:paraId="420CDBC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18.7</w:t>
                  </w:r>
                </w:p>
              </w:tc>
              <w:tc>
                <w:tcPr>
                  <w:tcW w:w="1143" w:type="dxa"/>
                  <w:noWrap w:val="0"/>
                  <w:tcMar>
                    <w:left w:w="0" w:type="dxa"/>
                    <w:right w:w="0" w:type="dxa"/>
                  </w:tcMar>
                  <w:vAlign w:val="center"/>
                </w:tcPr>
                <w:p w14:paraId="16E8B17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0332A66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约6人</w:t>
                  </w:r>
                </w:p>
              </w:tc>
              <w:tc>
                <w:tcPr>
                  <w:tcW w:w="858" w:type="dxa"/>
                  <w:vMerge w:val="continue"/>
                  <w:noWrap w:val="0"/>
                  <w:vAlign w:val="center"/>
                </w:tcPr>
                <w:p w14:paraId="1F1C337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109BA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1CBB64B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7EB1D84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3381DD2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5A8B63E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二次换鞋区</w:t>
                  </w:r>
                </w:p>
              </w:tc>
              <w:tc>
                <w:tcPr>
                  <w:tcW w:w="1182" w:type="dxa"/>
                  <w:noWrap w:val="0"/>
                  <w:tcMar>
                    <w:left w:w="0" w:type="dxa"/>
                    <w:right w:w="0" w:type="dxa"/>
                  </w:tcMar>
                  <w:vAlign w:val="center"/>
                </w:tcPr>
                <w:p w14:paraId="5979D3B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22.3</w:t>
                  </w:r>
                </w:p>
              </w:tc>
              <w:tc>
                <w:tcPr>
                  <w:tcW w:w="1143" w:type="dxa"/>
                  <w:noWrap w:val="0"/>
                  <w:tcMar>
                    <w:left w:w="0" w:type="dxa"/>
                    <w:right w:w="0" w:type="dxa"/>
                  </w:tcMar>
                  <w:vAlign w:val="center"/>
                </w:tcPr>
                <w:p w14:paraId="09F5A6A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676C890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7A2F7E3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7A0F9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6552D86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48CFD24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014DE6B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7E265AB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楼梯间</w:t>
                  </w:r>
                </w:p>
              </w:tc>
              <w:tc>
                <w:tcPr>
                  <w:tcW w:w="1182" w:type="dxa"/>
                  <w:noWrap w:val="0"/>
                  <w:tcMar>
                    <w:left w:w="0" w:type="dxa"/>
                    <w:right w:w="0" w:type="dxa"/>
                  </w:tcMar>
                  <w:vAlign w:val="center"/>
                </w:tcPr>
                <w:p w14:paraId="192C4F5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38.5</w:t>
                  </w:r>
                </w:p>
              </w:tc>
              <w:tc>
                <w:tcPr>
                  <w:tcW w:w="1143" w:type="dxa"/>
                  <w:noWrap w:val="0"/>
                  <w:tcMar>
                    <w:left w:w="0" w:type="dxa"/>
                    <w:right w:w="0" w:type="dxa"/>
                  </w:tcMar>
                  <w:vAlign w:val="center"/>
                </w:tcPr>
                <w:p w14:paraId="70BD234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3E24155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约4人</w:t>
                  </w:r>
                </w:p>
              </w:tc>
              <w:tc>
                <w:tcPr>
                  <w:tcW w:w="858" w:type="dxa"/>
                  <w:vMerge w:val="continue"/>
                  <w:noWrap w:val="0"/>
                  <w:vAlign w:val="center"/>
                </w:tcPr>
                <w:p w14:paraId="24F29BB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0F50B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82" w:type="dxa"/>
                  <w:vMerge w:val="continue"/>
                  <w:noWrap w:val="0"/>
                  <w:tcMar>
                    <w:left w:w="0" w:type="dxa"/>
                    <w:right w:w="0" w:type="dxa"/>
                  </w:tcMar>
                  <w:vAlign w:val="center"/>
                </w:tcPr>
                <w:p w14:paraId="00398A9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3D23B948">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1038322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711" w:type="dxa"/>
                  <w:noWrap w:val="0"/>
                  <w:tcMar>
                    <w:left w:w="0" w:type="dxa"/>
                    <w:right w:w="0" w:type="dxa"/>
                  </w:tcMar>
                  <w:vAlign w:val="center"/>
                </w:tcPr>
                <w:p w14:paraId="06CE1FB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电梯厅</w:t>
                  </w:r>
                </w:p>
              </w:tc>
              <w:tc>
                <w:tcPr>
                  <w:tcW w:w="1182" w:type="dxa"/>
                  <w:noWrap w:val="0"/>
                  <w:tcMar>
                    <w:left w:w="0" w:type="dxa"/>
                    <w:right w:w="0" w:type="dxa"/>
                  </w:tcMar>
                  <w:vAlign w:val="center"/>
                </w:tcPr>
                <w:p w14:paraId="6481E9E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30.0</w:t>
                  </w:r>
                </w:p>
              </w:tc>
              <w:tc>
                <w:tcPr>
                  <w:tcW w:w="1143" w:type="dxa"/>
                  <w:noWrap w:val="0"/>
                  <w:tcMar>
                    <w:left w:w="0" w:type="dxa"/>
                    <w:right w:w="0" w:type="dxa"/>
                  </w:tcMar>
                  <w:vAlign w:val="center"/>
                </w:tcPr>
                <w:p w14:paraId="555FB5B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243" w:type="dxa"/>
                  <w:noWrap w:val="0"/>
                  <w:tcMar>
                    <w:left w:w="0" w:type="dxa"/>
                    <w:right w:w="0" w:type="dxa"/>
                  </w:tcMar>
                  <w:vAlign w:val="center"/>
                </w:tcPr>
                <w:p w14:paraId="792B9FC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约8人</w:t>
                  </w:r>
                </w:p>
              </w:tc>
              <w:tc>
                <w:tcPr>
                  <w:tcW w:w="858" w:type="dxa"/>
                  <w:vMerge w:val="continue"/>
                  <w:noWrap w:val="0"/>
                  <w:vAlign w:val="center"/>
                </w:tcPr>
                <w:p w14:paraId="6653845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06A30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682" w:type="dxa"/>
                  <w:vMerge w:val="continue"/>
                  <w:noWrap w:val="0"/>
                  <w:tcMar>
                    <w:left w:w="0" w:type="dxa"/>
                    <w:right w:w="0" w:type="dxa"/>
                  </w:tcMar>
                  <w:vAlign w:val="center"/>
                </w:tcPr>
                <w:p w14:paraId="10B5C22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67685B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restart"/>
                  <w:noWrap w:val="0"/>
                  <w:tcMar>
                    <w:left w:w="0" w:type="dxa"/>
                    <w:right w:w="0" w:type="dxa"/>
                  </w:tcMar>
                  <w:vAlign w:val="center"/>
                </w:tcPr>
                <w:p w14:paraId="0FADD4B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楼上</w:t>
                  </w:r>
                </w:p>
              </w:tc>
              <w:tc>
                <w:tcPr>
                  <w:tcW w:w="2711" w:type="dxa"/>
                  <w:noWrap w:val="0"/>
                  <w:tcMar>
                    <w:left w:w="0" w:type="dxa"/>
                    <w:right w:w="0" w:type="dxa"/>
                  </w:tcMar>
                  <w:vAlign w:val="center"/>
                </w:tcPr>
                <w:p w14:paraId="34B7DCC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神经外科病房（两间）</w:t>
                  </w:r>
                </w:p>
              </w:tc>
              <w:tc>
                <w:tcPr>
                  <w:tcW w:w="1182" w:type="dxa"/>
                  <w:noWrap w:val="0"/>
                  <w:tcMar>
                    <w:left w:w="0" w:type="dxa"/>
                    <w:right w:w="0" w:type="dxa"/>
                  </w:tcMar>
                  <w:vAlign w:val="center"/>
                </w:tcPr>
                <w:p w14:paraId="7A1958B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0</w:t>
                  </w:r>
                </w:p>
              </w:tc>
              <w:tc>
                <w:tcPr>
                  <w:tcW w:w="1143" w:type="dxa"/>
                  <w:noWrap w:val="0"/>
                  <w:tcMar>
                    <w:left w:w="0" w:type="dxa"/>
                    <w:right w:w="0" w:type="dxa"/>
                  </w:tcMar>
                  <w:vAlign w:val="center"/>
                </w:tcPr>
                <w:p w14:paraId="368C4E0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eastAsia="zh-CN"/>
                    </w:rPr>
                    <w:t>+0.6</w:t>
                  </w:r>
                </w:p>
              </w:tc>
              <w:tc>
                <w:tcPr>
                  <w:tcW w:w="1243" w:type="dxa"/>
                  <w:noWrap w:val="0"/>
                  <w:tcMar>
                    <w:left w:w="0" w:type="dxa"/>
                    <w:right w:w="0" w:type="dxa"/>
                  </w:tcMar>
                  <w:vAlign w:val="center"/>
                </w:tcPr>
                <w:p w14:paraId="5353F475">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约18人</w:t>
                  </w:r>
                </w:p>
              </w:tc>
              <w:tc>
                <w:tcPr>
                  <w:tcW w:w="858" w:type="dxa"/>
                  <w:vMerge w:val="continue"/>
                  <w:noWrap w:val="0"/>
                  <w:vAlign w:val="center"/>
                </w:tcPr>
                <w:p w14:paraId="0D28B47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41E5A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682" w:type="dxa"/>
                  <w:vMerge w:val="continue"/>
                  <w:noWrap w:val="0"/>
                  <w:tcMar>
                    <w:left w:w="0" w:type="dxa"/>
                    <w:right w:w="0" w:type="dxa"/>
                  </w:tcMar>
                  <w:vAlign w:val="center"/>
                </w:tcPr>
                <w:p w14:paraId="468B6BD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54C9A56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59563C9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2711" w:type="dxa"/>
                  <w:noWrap w:val="0"/>
                  <w:tcMar>
                    <w:left w:w="0" w:type="dxa"/>
                    <w:right w:w="0" w:type="dxa"/>
                  </w:tcMar>
                  <w:vAlign w:val="center"/>
                </w:tcPr>
                <w:p w14:paraId="471343C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癫痫病房</w:t>
                  </w:r>
                </w:p>
              </w:tc>
              <w:tc>
                <w:tcPr>
                  <w:tcW w:w="1182" w:type="dxa"/>
                  <w:noWrap w:val="0"/>
                  <w:tcMar>
                    <w:left w:w="0" w:type="dxa"/>
                    <w:right w:w="0" w:type="dxa"/>
                  </w:tcMar>
                  <w:vAlign w:val="center"/>
                </w:tcPr>
                <w:p w14:paraId="75AB547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143" w:type="dxa"/>
                  <w:noWrap w:val="0"/>
                  <w:tcMar>
                    <w:left w:w="0" w:type="dxa"/>
                    <w:right w:w="0" w:type="dxa"/>
                  </w:tcMar>
                  <w:vAlign w:val="center"/>
                </w:tcPr>
                <w:p w14:paraId="5BCFA9D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+0.6</w:t>
                  </w:r>
                </w:p>
              </w:tc>
              <w:tc>
                <w:tcPr>
                  <w:tcW w:w="1243" w:type="dxa"/>
                  <w:noWrap w:val="0"/>
                  <w:tcMar>
                    <w:left w:w="0" w:type="dxa"/>
                    <w:right w:w="0" w:type="dxa"/>
                  </w:tcMar>
                  <w:vAlign w:val="center"/>
                </w:tcPr>
                <w:p w14:paraId="635033D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52AC0CB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16A97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682" w:type="dxa"/>
                  <w:vMerge w:val="continue"/>
                  <w:noWrap w:val="0"/>
                  <w:tcMar>
                    <w:left w:w="0" w:type="dxa"/>
                    <w:right w:w="0" w:type="dxa"/>
                  </w:tcMar>
                  <w:vAlign w:val="center"/>
                </w:tcPr>
                <w:p w14:paraId="309462D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5CAC9EFD">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restart"/>
                  <w:noWrap w:val="0"/>
                  <w:tcMar>
                    <w:left w:w="0" w:type="dxa"/>
                    <w:right w:w="0" w:type="dxa"/>
                  </w:tcMar>
                  <w:vAlign w:val="center"/>
                </w:tcPr>
                <w:p w14:paraId="011D0ED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楼下</w:t>
                  </w:r>
                </w:p>
              </w:tc>
              <w:tc>
                <w:tcPr>
                  <w:tcW w:w="2711" w:type="dxa"/>
                  <w:noWrap w:val="0"/>
                  <w:tcMar>
                    <w:left w:w="0" w:type="dxa"/>
                    <w:right w:w="0" w:type="dxa"/>
                  </w:tcMar>
                  <w:vAlign w:val="center"/>
                </w:tcPr>
                <w:p w14:paraId="32A0098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敷料打包室</w:t>
                  </w:r>
                </w:p>
              </w:tc>
              <w:tc>
                <w:tcPr>
                  <w:tcW w:w="1182" w:type="dxa"/>
                  <w:noWrap w:val="0"/>
                  <w:tcMar>
                    <w:left w:w="0" w:type="dxa"/>
                    <w:right w:w="0" w:type="dxa"/>
                  </w:tcMar>
                  <w:vAlign w:val="center"/>
                </w:tcPr>
                <w:p w14:paraId="31F2BAD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143" w:type="dxa"/>
                  <w:noWrap w:val="0"/>
                  <w:tcMar>
                    <w:left w:w="0" w:type="dxa"/>
                    <w:right w:w="0" w:type="dxa"/>
                  </w:tcMar>
                  <w:vAlign w:val="center"/>
                </w:tcPr>
                <w:p w14:paraId="2C2FDD79">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-3.1</w:t>
                  </w:r>
                </w:p>
              </w:tc>
              <w:tc>
                <w:tcPr>
                  <w:tcW w:w="1243" w:type="dxa"/>
                  <w:noWrap w:val="0"/>
                  <w:tcMar>
                    <w:left w:w="0" w:type="dxa"/>
                    <w:right w:w="0" w:type="dxa"/>
                  </w:tcMar>
                  <w:vAlign w:val="center"/>
                </w:tcPr>
                <w:p w14:paraId="597511B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162FA4C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0DE5F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682" w:type="dxa"/>
                  <w:vMerge w:val="continue"/>
                  <w:noWrap w:val="0"/>
                  <w:tcMar>
                    <w:left w:w="0" w:type="dxa"/>
                    <w:right w:w="0" w:type="dxa"/>
                  </w:tcMar>
                  <w:vAlign w:val="center"/>
                </w:tcPr>
                <w:p w14:paraId="422CE31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1F4B768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7C3B540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2711" w:type="dxa"/>
                  <w:noWrap w:val="0"/>
                  <w:tcMar>
                    <w:left w:w="0" w:type="dxa"/>
                    <w:right w:w="0" w:type="dxa"/>
                  </w:tcMar>
                  <w:vAlign w:val="center"/>
                </w:tcPr>
                <w:p w14:paraId="1FF6CC1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库房</w:t>
                  </w:r>
                </w:p>
              </w:tc>
              <w:tc>
                <w:tcPr>
                  <w:tcW w:w="1182" w:type="dxa"/>
                  <w:noWrap w:val="0"/>
                  <w:tcMar>
                    <w:left w:w="0" w:type="dxa"/>
                    <w:right w:w="0" w:type="dxa"/>
                  </w:tcMar>
                  <w:vAlign w:val="center"/>
                </w:tcPr>
                <w:p w14:paraId="10F2D39E">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143" w:type="dxa"/>
                  <w:noWrap w:val="0"/>
                  <w:tcMar>
                    <w:left w:w="0" w:type="dxa"/>
                    <w:right w:w="0" w:type="dxa"/>
                  </w:tcMar>
                  <w:vAlign w:val="center"/>
                </w:tcPr>
                <w:p w14:paraId="7131FCD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-3.1</w:t>
                  </w:r>
                </w:p>
              </w:tc>
              <w:tc>
                <w:tcPr>
                  <w:tcW w:w="1243" w:type="dxa"/>
                  <w:noWrap w:val="0"/>
                  <w:tcMar>
                    <w:left w:w="0" w:type="dxa"/>
                    <w:right w:w="0" w:type="dxa"/>
                  </w:tcMar>
                  <w:vAlign w:val="center"/>
                </w:tcPr>
                <w:p w14:paraId="23A6B2F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约1人</w:t>
                  </w:r>
                </w:p>
              </w:tc>
              <w:tc>
                <w:tcPr>
                  <w:tcW w:w="858" w:type="dxa"/>
                  <w:vMerge w:val="continue"/>
                  <w:noWrap w:val="0"/>
                  <w:vAlign w:val="center"/>
                </w:tcPr>
                <w:p w14:paraId="3D3D346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239C0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682" w:type="dxa"/>
                  <w:vMerge w:val="continue"/>
                  <w:noWrap w:val="0"/>
                  <w:tcMar>
                    <w:left w:w="0" w:type="dxa"/>
                    <w:right w:w="0" w:type="dxa"/>
                  </w:tcMar>
                  <w:vAlign w:val="center"/>
                </w:tcPr>
                <w:p w14:paraId="0F20BC0F">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3F4F048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5F55084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2711" w:type="dxa"/>
                  <w:noWrap w:val="0"/>
                  <w:tcMar>
                    <w:left w:w="0" w:type="dxa"/>
                    <w:right w:w="0" w:type="dxa"/>
                  </w:tcMar>
                  <w:vAlign w:val="center"/>
                </w:tcPr>
                <w:p w14:paraId="505E3422">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器械预清洗</w:t>
                  </w:r>
                </w:p>
              </w:tc>
              <w:tc>
                <w:tcPr>
                  <w:tcW w:w="1182" w:type="dxa"/>
                  <w:noWrap w:val="0"/>
                  <w:tcMar>
                    <w:left w:w="0" w:type="dxa"/>
                    <w:right w:w="0" w:type="dxa"/>
                  </w:tcMar>
                  <w:vAlign w:val="center"/>
                </w:tcPr>
                <w:p w14:paraId="0B5A2746">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143" w:type="dxa"/>
                  <w:noWrap w:val="0"/>
                  <w:tcMar>
                    <w:left w:w="0" w:type="dxa"/>
                    <w:right w:w="0" w:type="dxa"/>
                  </w:tcMar>
                  <w:vAlign w:val="center"/>
                </w:tcPr>
                <w:p w14:paraId="70517BE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-3.1</w:t>
                  </w:r>
                </w:p>
              </w:tc>
              <w:tc>
                <w:tcPr>
                  <w:tcW w:w="1243" w:type="dxa"/>
                  <w:noWrap w:val="0"/>
                  <w:tcMar>
                    <w:left w:w="0" w:type="dxa"/>
                    <w:right w:w="0" w:type="dxa"/>
                  </w:tcMar>
                  <w:vAlign w:val="center"/>
                </w:tcPr>
                <w:p w14:paraId="7E4D0FA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约2人</w:t>
                  </w:r>
                </w:p>
              </w:tc>
              <w:tc>
                <w:tcPr>
                  <w:tcW w:w="858" w:type="dxa"/>
                  <w:vMerge w:val="continue"/>
                  <w:noWrap w:val="0"/>
                  <w:vAlign w:val="center"/>
                </w:tcPr>
                <w:p w14:paraId="1CFD0223">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r w14:paraId="3E0FE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682" w:type="dxa"/>
                  <w:vMerge w:val="continue"/>
                  <w:noWrap w:val="0"/>
                  <w:tcMar>
                    <w:left w:w="0" w:type="dxa"/>
                    <w:right w:w="0" w:type="dxa"/>
                  </w:tcMar>
                  <w:vAlign w:val="center"/>
                </w:tcPr>
                <w:p w14:paraId="0D79AB47">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740" w:type="dxa"/>
                  <w:vMerge w:val="continue"/>
                  <w:noWrap w:val="0"/>
                  <w:tcMar>
                    <w:left w:w="0" w:type="dxa"/>
                    <w:right w:w="0" w:type="dxa"/>
                  </w:tcMar>
                  <w:vAlign w:val="center"/>
                </w:tcPr>
                <w:p w14:paraId="04DC8C2A">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649" w:type="dxa"/>
                  <w:vMerge w:val="continue"/>
                  <w:noWrap w:val="0"/>
                  <w:tcMar>
                    <w:left w:w="0" w:type="dxa"/>
                    <w:right w:w="0" w:type="dxa"/>
                  </w:tcMar>
                  <w:vAlign w:val="center"/>
                </w:tcPr>
                <w:p w14:paraId="1D8D71BC">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c>
                <w:tcPr>
                  <w:tcW w:w="2711" w:type="dxa"/>
                  <w:noWrap w:val="0"/>
                  <w:tcMar>
                    <w:left w:w="0" w:type="dxa"/>
                    <w:right w:w="0" w:type="dxa"/>
                  </w:tcMar>
                  <w:vAlign w:val="center"/>
                </w:tcPr>
                <w:p w14:paraId="53D619F0">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2号手术室</w:t>
                  </w:r>
                </w:p>
              </w:tc>
              <w:tc>
                <w:tcPr>
                  <w:tcW w:w="1182" w:type="dxa"/>
                  <w:noWrap w:val="0"/>
                  <w:tcMar>
                    <w:left w:w="0" w:type="dxa"/>
                    <w:right w:w="0" w:type="dxa"/>
                  </w:tcMar>
                  <w:vAlign w:val="center"/>
                </w:tcPr>
                <w:p w14:paraId="052DAE64">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w:t>
                  </w:r>
                </w:p>
              </w:tc>
              <w:tc>
                <w:tcPr>
                  <w:tcW w:w="1143" w:type="dxa"/>
                  <w:noWrap w:val="0"/>
                  <w:tcMar>
                    <w:left w:w="0" w:type="dxa"/>
                    <w:right w:w="0" w:type="dxa"/>
                  </w:tcMar>
                  <w:vAlign w:val="center"/>
                </w:tcPr>
                <w:p w14:paraId="07592A3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-3.1</w:t>
                  </w:r>
                </w:p>
              </w:tc>
              <w:tc>
                <w:tcPr>
                  <w:tcW w:w="1243" w:type="dxa"/>
                  <w:noWrap w:val="0"/>
                  <w:tcMar>
                    <w:left w:w="0" w:type="dxa"/>
                    <w:right w:w="0" w:type="dxa"/>
                  </w:tcMar>
                  <w:vAlign w:val="center"/>
                </w:tcPr>
                <w:p w14:paraId="5F434D4B">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约3人</w:t>
                  </w:r>
                </w:p>
              </w:tc>
              <w:tc>
                <w:tcPr>
                  <w:tcW w:w="858" w:type="dxa"/>
                  <w:vMerge w:val="continue"/>
                  <w:noWrap w:val="0"/>
                  <w:vAlign w:val="center"/>
                </w:tcPr>
                <w:p w14:paraId="41344141">
                  <w:pPr>
                    <w:pStyle w:val="8"/>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p>
              </w:tc>
            </w:tr>
          </w:tbl>
          <w:p w14:paraId="18B3097C">
            <w:pPr>
              <w:pStyle w:val="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spacing w:val="0"/>
                <w:position w:val="0"/>
                <w:sz w:val="21"/>
                <w:szCs w:val="18"/>
              </w:rPr>
            </w:pPr>
          </w:p>
        </w:tc>
      </w:tr>
      <w:tr w14:paraId="06F7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99" w:type="dxa"/>
            <w:noWrap w:val="0"/>
            <w:vAlign w:val="top"/>
          </w:tcPr>
          <w:p w14:paraId="74AD8E89">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7.3评价标准</w:t>
            </w:r>
          </w:p>
          <w:p w14:paraId="6FE9A55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（1）剂量限值和剂量约束值</w:t>
            </w:r>
          </w:p>
          <w:p w14:paraId="42C46282">
            <w:pPr>
              <w:pStyle w:val="33"/>
              <w:keepNext w:val="0"/>
              <w:keepLines w:val="0"/>
              <w:suppressLineNumbers w:val="0"/>
              <w:bidi w:val="0"/>
              <w:spacing w:before="0" w:beforeAutospacing="0" w:after="0" w:afterAutospacing="0"/>
              <w:ind w:left="0" w:right="0"/>
              <w:rPr>
                <w:rFonts w:hint="default" w:ascii="Times New Roman" w:hAnsi="Times New Roman" w:eastAsia="宋体" w:cs="Times New Roman"/>
                <w:b w:val="0"/>
                <w:color w:val="auto"/>
                <w:spacing w:val="0"/>
                <w:kern w:val="2"/>
                <w:position w:val="0"/>
                <w:sz w:val="24"/>
                <w:szCs w:val="24"/>
                <w:lang w:val="en-US" w:eastAsia="zh-CN" w:bidi="ar-SA"/>
              </w:rPr>
            </w:pPr>
            <w:r>
              <w:rPr>
                <w:rFonts w:hint="default" w:ascii="Times New Roman" w:hAnsi="Times New Roman" w:eastAsia="宋体" w:cs="Times New Roman"/>
                <w:b w:val="0"/>
                <w:color w:val="auto"/>
                <w:spacing w:val="0"/>
                <w:kern w:val="2"/>
                <w:position w:val="0"/>
                <w:sz w:val="24"/>
                <w:szCs w:val="24"/>
                <w:lang w:val="en-US" w:eastAsia="zh-CN" w:bidi="ar-SA"/>
              </w:rPr>
              <w:t>执行《电离辐射防护与辐射源安全基本标准》（GB 18871-2002）规定的剂量限值列于表7-2。</w:t>
            </w:r>
          </w:p>
          <w:p w14:paraId="163C2D61">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eastAsia="zh-CN"/>
              </w:rPr>
            </w:pPr>
            <w:r>
              <w:rPr>
                <w:rFonts w:hint="default" w:ascii="Times New Roman" w:hAnsi="Times New Roman" w:eastAsia="宋体" w:cs="Times New Roman"/>
                <w:b/>
                <w:caps w:val="0"/>
                <w:color w:val="auto"/>
                <w:spacing w:val="0"/>
                <w:position w:val="0"/>
                <w:sz w:val="21"/>
                <w:szCs w:val="21"/>
                <w:highlight w:val="none"/>
                <w:lang w:eastAsia="zh-CN"/>
              </w:rPr>
              <w:t>表7-</w:t>
            </w:r>
            <w:r>
              <w:rPr>
                <w:rFonts w:hint="default" w:ascii="Times New Roman" w:hAnsi="Times New Roman" w:eastAsia="宋体" w:cs="Times New Roman"/>
                <w:b/>
                <w:caps w:val="0"/>
                <w:color w:val="auto"/>
                <w:spacing w:val="0"/>
                <w:position w:val="0"/>
                <w:sz w:val="21"/>
                <w:szCs w:val="21"/>
                <w:highlight w:val="none"/>
                <w:lang w:val="en-US" w:eastAsia="zh-CN"/>
              </w:rPr>
              <w:t>2</w:t>
            </w:r>
            <w:r>
              <w:rPr>
                <w:rFonts w:hint="default" w:ascii="Times New Roman" w:hAnsi="Times New Roman" w:eastAsia="宋体" w:cs="Times New Roman"/>
                <w:b/>
                <w:caps w:val="0"/>
                <w:color w:val="auto"/>
                <w:spacing w:val="0"/>
                <w:position w:val="0"/>
                <w:sz w:val="21"/>
                <w:szCs w:val="21"/>
                <w:highlight w:val="none"/>
                <w:lang w:eastAsia="zh-CN"/>
              </w:rPr>
              <w:tab/>
            </w:r>
            <w:r>
              <w:rPr>
                <w:rFonts w:hint="default" w:ascii="Times New Roman" w:hAnsi="Times New Roman" w:eastAsia="宋体" w:cs="Times New Roman"/>
                <w:b/>
                <w:caps w:val="0"/>
                <w:color w:val="auto"/>
                <w:spacing w:val="0"/>
                <w:position w:val="0"/>
                <w:sz w:val="21"/>
                <w:szCs w:val="21"/>
                <w:highlight w:val="none"/>
                <w:lang w:eastAsia="zh-CN"/>
              </w:rPr>
              <w:t xml:space="preserve"> 工作人员职业照射和公众照射剂量限值（GB 18871-2002）</w:t>
            </w:r>
          </w:p>
          <w:tbl>
            <w:tblPr>
              <w:tblStyle w:val="20"/>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1667"/>
              <w:gridCol w:w="1160"/>
              <w:gridCol w:w="5142"/>
            </w:tblGrid>
            <w:tr w14:paraId="6F80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061" w:type="dxa"/>
                  <w:tcBorders>
                    <w:tl2br w:val="nil"/>
                    <w:tr2bl w:val="nil"/>
                  </w:tcBorders>
                  <w:noWrap w:val="0"/>
                  <w:vAlign w:val="center"/>
                </w:tcPr>
                <w:p w14:paraId="42475390">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aps w:val="0"/>
                      <w:color w:val="auto"/>
                      <w:spacing w:val="0"/>
                      <w:position w:val="0"/>
                      <w:sz w:val="21"/>
                      <w:szCs w:val="21"/>
                      <w:highlight w:val="none"/>
                      <w:lang w:val="en-US" w:eastAsia="zh-CN"/>
                    </w:rPr>
                  </w:pPr>
                  <w:r>
                    <w:rPr>
                      <w:rFonts w:hint="default" w:ascii="Times New Roman" w:hAnsi="Times New Roman" w:eastAsia="宋体" w:cs="Times New Roman"/>
                      <w:b/>
                      <w:bCs/>
                      <w:caps w:val="0"/>
                      <w:color w:val="auto"/>
                      <w:spacing w:val="0"/>
                      <w:position w:val="0"/>
                      <w:sz w:val="21"/>
                      <w:szCs w:val="21"/>
                      <w:highlight w:val="none"/>
                      <w:lang w:val="en-US" w:eastAsia="zh-CN"/>
                    </w:rPr>
                    <w:t>指标</w:t>
                  </w:r>
                </w:p>
              </w:tc>
              <w:tc>
                <w:tcPr>
                  <w:tcW w:w="1756" w:type="dxa"/>
                  <w:tcBorders>
                    <w:tl2br w:val="nil"/>
                    <w:tr2bl w:val="nil"/>
                  </w:tcBorders>
                  <w:noWrap w:val="0"/>
                  <w:vAlign w:val="center"/>
                </w:tcPr>
                <w:p w14:paraId="600882E0">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aps w:val="0"/>
                      <w:color w:val="auto"/>
                      <w:spacing w:val="0"/>
                      <w:position w:val="0"/>
                      <w:sz w:val="21"/>
                      <w:szCs w:val="21"/>
                      <w:highlight w:val="none"/>
                      <w:lang w:val="en-US" w:eastAsia="zh-CN"/>
                    </w:rPr>
                  </w:pPr>
                  <w:r>
                    <w:rPr>
                      <w:rFonts w:hint="default" w:ascii="Times New Roman" w:hAnsi="Times New Roman" w:eastAsia="宋体" w:cs="Times New Roman"/>
                      <w:b/>
                      <w:bCs/>
                      <w:caps w:val="0"/>
                      <w:color w:val="auto"/>
                      <w:spacing w:val="0"/>
                      <w:position w:val="0"/>
                      <w:sz w:val="21"/>
                      <w:szCs w:val="21"/>
                      <w:highlight w:val="none"/>
                      <w:lang w:val="en-US" w:eastAsia="zh-CN"/>
                    </w:rPr>
                    <w:t>标准</w:t>
                  </w:r>
                </w:p>
              </w:tc>
              <w:tc>
                <w:tcPr>
                  <w:tcW w:w="1218" w:type="dxa"/>
                  <w:tcBorders>
                    <w:tl2br w:val="nil"/>
                    <w:tr2bl w:val="nil"/>
                  </w:tcBorders>
                  <w:noWrap w:val="0"/>
                  <w:vAlign w:val="center"/>
                </w:tcPr>
                <w:p w14:paraId="382DF02A">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aps w:val="0"/>
                      <w:color w:val="auto"/>
                      <w:spacing w:val="0"/>
                      <w:position w:val="0"/>
                      <w:sz w:val="21"/>
                      <w:szCs w:val="21"/>
                      <w:highlight w:val="none"/>
                      <w:lang w:val="en-US" w:eastAsia="zh-CN"/>
                    </w:rPr>
                  </w:pPr>
                  <w:r>
                    <w:rPr>
                      <w:rFonts w:hint="default" w:ascii="Times New Roman" w:hAnsi="Times New Roman" w:eastAsia="宋体" w:cs="Times New Roman"/>
                      <w:b/>
                      <w:bCs/>
                      <w:caps w:val="0"/>
                      <w:color w:val="auto"/>
                      <w:spacing w:val="0"/>
                      <w:position w:val="0"/>
                      <w:sz w:val="21"/>
                      <w:szCs w:val="21"/>
                      <w:highlight w:val="none"/>
                      <w:lang w:val="en-US" w:eastAsia="zh-CN"/>
                    </w:rPr>
                    <w:t>章节</w:t>
                  </w:r>
                </w:p>
              </w:tc>
              <w:tc>
                <w:tcPr>
                  <w:tcW w:w="5443" w:type="dxa"/>
                  <w:tcBorders>
                    <w:tl2br w:val="nil"/>
                    <w:tr2bl w:val="nil"/>
                  </w:tcBorders>
                  <w:noWrap w:val="0"/>
                  <w:vAlign w:val="center"/>
                </w:tcPr>
                <w:p w14:paraId="20A519A5">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aps w:val="0"/>
                      <w:color w:val="auto"/>
                      <w:spacing w:val="0"/>
                      <w:position w:val="0"/>
                      <w:sz w:val="21"/>
                      <w:szCs w:val="21"/>
                      <w:highlight w:val="none"/>
                    </w:rPr>
                  </w:pPr>
                  <w:r>
                    <w:rPr>
                      <w:rFonts w:hint="default" w:ascii="Times New Roman" w:hAnsi="Times New Roman" w:eastAsia="宋体" w:cs="Times New Roman"/>
                      <w:b/>
                      <w:bCs/>
                      <w:caps w:val="0"/>
                      <w:color w:val="auto"/>
                      <w:spacing w:val="0"/>
                      <w:position w:val="0"/>
                      <w:sz w:val="21"/>
                      <w:szCs w:val="21"/>
                      <w:highlight w:val="none"/>
                    </w:rPr>
                    <w:t>具体内容</w:t>
                  </w:r>
                </w:p>
              </w:tc>
            </w:tr>
            <w:tr w14:paraId="2FE4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tcBorders>
                    <w:tl2br w:val="nil"/>
                    <w:tr2bl w:val="nil"/>
                  </w:tcBorders>
                  <w:noWrap w:val="0"/>
                  <w:vAlign w:val="center"/>
                </w:tcPr>
                <w:p w14:paraId="0C7A61B3">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剂量</w:t>
                  </w:r>
                </w:p>
                <w:p w14:paraId="65081F0A">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限值</w:t>
                  </w:r>
                </w:p>
              </w:tc>
              <w:tc>
                <w:tcPr>
                  <w:tcW w:w="1756" w:type="dxa"/>
                  <w:vMerge w:val="restart"/>
                  <w:tcBorders>
                    <w:tl2br w:val="nil"/>
                    <w:tr2bl w:val="nil"/>
                  </w:tcBorders>
                  <w:noWrap w:val="0"/>
                  <w:vAlign w:val="center"/>
                </w:tcPr>
                <w:p w14:paraId="3813556D">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《电离辐射防护与辐射源安全基本标准》</w:t>
                  </w:r>
                  <w:r>
                    <w:rPr>
                      <w:rFonts w:hint="default" w:ascii="Times New Roman" w:hAnsi="Times New Roman" w:eastAsia="宋体" w:cs="Times New Roman"/>
                      <w:caps w:val="0"/>
                      <w:color w:val="auto"/>
                      <w:spacing w:val="0"/>
                      <w:position w:val="0"/>
                      <w:sz w:val="21"/>
                      <w:szCs w:val="21"/>
                      <w:highlight w:val="none"/>
                      <w:lang w:eastAsia="zh-CN"/>
                    </w:rPr>
                    <w:t>（</w:t>
                  </w:r>
                  <w:r>
                    <w:rPr>
                      <w:rFonts w:hint="default" w:ascii="Times New Roman" w:hAnsi="Times New Roman" w:eastAsia="宋体" w:cs="Times New Roman"/>
                      <w:caps w:val="0"/>
                      <w:color w:val="auto"/>
                      <w:spacing w:val="0"/>
                      <w:position w:val="0"/>
                      <w:sz w:val="21"/>
                      <w:szCs w:val="21"/>
                      <w:highlight w:val="none"/>
                    </w:rPr>
                    <w:t>GB 18871-2002</w:t>
                  </w:r>
                  <w:r>
                    <w:rPr>
                      <w:rFonts w:hint="default" w:ascii="Times New Roman" w:hAnsi="Times New Roman" w:eastAsia="宋体" w:cs="Times New Roman"/>
                      <w:caps w:val="0"/>
                      <w:color w:val="auto"/>
                      <w:spacing w:val="0"/>
                      <w:position w:val="0"/>
                      <w:sz w:val="21"/>
                      <w:szCs w:val="21"/>
                      <w:highlight w:val="none"/>
                      <w:lang w:eastAsia="zh-CN"/>
                    </w:rPr>
                    <w:t>）</w:t>
                  </w:r>
                </w:p>
              </w:tc>
              <w:tc>
                <w:tcPr>
                  <w:tcW w:w="1218" w:type="dxa"/>
                  <w:tcBorders>
                    <w:tl2br w:val="nil"/>
                    <w:tr2bl w:val="nil"/>
                  </w:tcBorders>
                  <w:noWrap w:val="0"/>
                  <w:vAlign w:val="center"/>
                </w:tcPr>
                <w:p w14:paraId="29B1DFD6">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B1.1</w:t>
                  </w:r>
                </w:p>
                <w:p w14:paraId="1604CA9A">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职业照射</w:t>
                  </w:r>
                </w:p>
              </w:tc>
              <w:tc>
                <w:tcPr>
                  <w:tcW w:w="5443" w:type="dxa"/>
                  <w:tcBorders>
                    <w:tl2br w:val="nil"/>
                    <w:tr2bl w:val="nil"/>
                  </w:tcBorders>
                  <w:noWrap w:val="0"/>
                  <w:vAlign w:val="center"/>
                </w:tcPr>
                <w:p w14:paraId="06E8141A">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B1.1.1.1 应对任何工作人员的职业照射水平进行控制，使之不超过下述限值：</w:t>
                  </w:r>
                </w:p>
                <w:p w14:paraId="74B3DAE4">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a）由审管部门决定的连续5年的年平均有效剂量（但不可作任何追溯性平均），20mSv；</w:t>
                  </w:r>
                </w:p>
                <w:p w14:paraId="1903CEF6">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lang w:val="en-US" w:eastAsia="zh-CN"/>
                    </w:rPr>
                  </w:pPr>
                  <w:r>
                    <w:rPr>
                      <w:rFonts w:hint="default" w:ascii="Times New Roman" w:hAnsi="Times New Roman" w:eastAsia="宋体" w:cs="Times New Roman"/>
                      <w:caps w:val="0"/>
                      <w:color w:val="auto"/>
                      <w:spacing w:val="0"/>
                      <w:position w:val="0"/>
                      <w:sz w:val="21"/>
                      <w:szCs w:val="21"/>
                      <w:highlight w:val="none"/>
                    </w:rPr>
                    <w:t>b）任何一年中的有效剂量，50mSv。</w:t>
                  </w:r>
                </w:p>
              </w:tc>
            </w:tr>
            <w:tr w14:paraId="46BD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tcBorders>
                    <w:tl2br w:val="nil"/>
                    <w:tr2bl w:val="nil"/>
                  </w:tcBorders>
                  <w:noWrap w:val="0"/>
                  <w:vAlign w:val="center"/>
                </w:tcPr>
                <w:p w14:paraId="510C3D3C">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rPr>
                  </w:pPr>
                </w:p>
              </w:tc>
              <w:tc>
                <w:tcPr>
                  <w:tcW w:w="1756" w:type="dxa"/>
                  <w:vMerge w:val="continue"/>
                  <w:tcBorders>
                    <w:tl2br w:val="nil"/>
                    <w:tr2bl w:val="nil"/>
                  </w:tcBorders>
                  <w:noWrap w:val="0"/>
                  <w:vAlign w:val="center"/>
                </w:tcPr>
                <w:p w14:paraId="210D16BF">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rPr>
                  </w:pPr>
                </w:p>
              </w:tc>
              <w:tc>
                <w:tcPr>
                  <w:tcW w:w="1218" w:type="dxa"/>
                  <w:tcBorders>
                    <w:tl2br w:val="nil"/>
                    <w:tr2bl w:val="nil"/>
                  </w:tcBorders>
                  <w:noWrap w:val="0"/>
                  <w:vAlign w:val="center"/>
                </w:tcPr>
                <w:p w14:paraId="0934675D">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B1.2</w:t>
                  </w:r>
                </w:p>
                <w:p w14:paraId="68A13B0E">
                  <w:pPr>
                    <w:pStyle w:val="39"/>
                    <w:keepNext w:val="0"/>
                    <w:keepLines w:val="0"/>
                    <w:suppressLineNumbers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公众照射</w:t>
                  </w:r>
                </w:p>
              </w:tc>
              <w:tc>
                <w:tcPr>
                  <w:tcW w:w="5443" w:type="dxa"/>
                  <w:tcBorders>
                    <w:tl2br w:val="nil"/>
                    <w:tr2bl w:val="nil"/>
                  </w:tcBorders>
                  <w:noWrap w:val="0"/>
                  <w:vAlign w:val="center"/>
                </w:tcPr>
                <w:p w14:paraId="29F21D74">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B1.2.1 实践使公众中有关关键人群的成员所受到的平均剂量估计值不应超过下述限值：</w:t>
                  </w:r>
                </w:p>
                <w:p w14:paraId="03AED974">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a）年有效剂量，1mSv；</w:t>
                  </w:r>
                </w:p>
                <w:p w14:paraId="42B7082E">
                  <w:pPr>
                    <w:pStyle w:val="39"/>
                    <w:keepNext w:val="0"/>
                    <w:keepLines w:val="0"/>
                    <w:suppressLineNumbers w:val="0"/>
                    <w:snapToGrid/>
                    <w:spacing w:before="0" w:beforeAutospacing="0" w:after="0" w:afterAutospacing="0" w:line="240" w:lineRule="auto"/>
                    <w:ind w:left="0" w:leftChars="0" w:right="0" w:rightChars="0" w:firstLine="0" w:firstLineChars="0"/>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b）特殊情况下，如果5个连续年的年平均剂量不超过1mSv，则某一单一年份的有效剂量可提高到5mSv。</w:t>
                  </w:r>
                </w:p>
              </w:tc>
            </w:tr>
          </w:tbl>
          <w:p w14:paraId="2E9287A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根据《云南省环保局关于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在辐射安全许可工作中确定电离项目辐射安全管理限值请示</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的复函》（云环函</w:t>
            </w:r>
            <w:r>
              <w:rPr>
                <w:rFonts w:hint="default" w:ascii="Times New Roman" w:hAnsi="Times New Roman" w:eastAsia="宋体" w:cs="Times New Roman"/>
                <w:color w:val="auto"/>
                <w:spacing w:val="0"/>
                <w:position w:val="0"/>
                <w:lang w:eastAsia="zh-CN"/>
              </w:rPr>
              <w:t>〔2006〕727号</w:t>
            </w:r>
            <w:r>
              <w:rPr>
                <w:rFonts w:hint="default" w:ascii="Times New Roman" w:hAnsi="Times New Roman" w:eastAsia="宋体" w:cs="Times New Roman"/>
                <w:color w:val="auto"/>
                <w:spacing w:val="0"/>
                <w:position w:val="0"/>
              </w:rPr>
              <w:t>）规定，单一项目取《电离辐射防护与辐射源安全基本标准》（GB18871-2002）的四分之一，即：职业照射个人受照剂量管理限值取5mSv/a，公众照射个人受照剂量管理限值取0.25mSv/a。</w:t>
            </w:r>
          </w:p>
          <w:p w14:paraId="6837A87F">
            <w:pPr>
              <w:pStyle w:val="3"/>
              <w:keepNext w:val="0"/>
              <w:keepLines w:val="0"/>
              <w:suppressLineNumbers w:val="0"/>
              <w:spacing w:before="0" w:beforeAutospacing="0" w:after="0" w:afterAutospacing="0"/>
              <w:rPr>
                <w:rFonts w:hint="default" w:ascii="Times New Roman" w:hAnsi="Times New Roman" w:eastAsia="宋体" w:cs="Times New Roman"/>
                <w:b/>
                <w:bCs/>
                <w:color w:val="auto"/>
                <w:spacing w:val="0"/>
                <w:kern w:val="2"/>
                <w:position w:val="0"/>
                <w:sz w:val="24"/>
                <w:szCs w:val="24"/>
                <w:lang w:val="en-US" w:eastAsia="zh-CN" w:bidi="ar-SA"/>
              </w:rPr>
            </w:pPr>
            <w:r>
              <w:rPr>
                <w:rFonts w:hint="default" w:ascii="Times New Roman" w:hAnsi="Times New Roman" w:eastAsia="宋体" w:cs="Times New Roman"/>
                <w:b/>
                <w:bCs/>
                <w:color w:val="auto"/>
                <w:spacing w:val="0"/>
                <w:kern w:val="2"/>
                <w:position w:val="0"/>
                <w:sz w:val="24"/>
                <w:szCs w:val="24"/>
                <w:lang w:val="en-US" w:eastAsia="zh-CN" w:bidi="ar-SA"/>
              </w:rPr>
              <w:t>本评价项目管理目标为：即辐射工作人员的年有效剂量约束值不超过5mSv，公众的年有效剂量约束值不超过0.25mSv。</w:t>
            </w:r>
          </w:p>
          <w:p w14:paraId="607DC384">
            <w:pPr>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w:t>（2）</w:t>
            </w:r>
            <w:r>
              <w:rPr>
                <w:rFonts w:hint="default" w:ascii="Times New Roman" w:hAnsi="Times New Roman" w:eastAsia="宋体" w:cs="Times New Roman"/>
                <w:color w:val="auto"/>
                <w:spacing w:val="0"/>
                <w:position w:val="0"/>
              </w:rPr>
              <w:t>辐射工作场所边界周围剂量率控制水平</w:t>
            </w:r>
          </w:p>
          <w:p w14:paraId="4B9D2038">
            <w:pPr>
              <w:pStyle w:val="39"/>
              <w:keepNext w:val="0"/>
              <w:keepLines w:val="0"/>
              <w:suppressLineNumbers w:val="0"/>
              <w:spacing w:before="0" w:beforeAutospacing="0" w:after="0" w:afterAutospacing="0"/>
              <w:ind w:left="0" w:leftChars="0" w:right="72" w:rightChars="30" w:firstLine="480"/>
              <w:jc w:val="left"/>
              <w:rPr>
                <w:rFonts w:hint="default" w:ascii="Times New Roman" w:hAnsi="Times New Roman" w:eastAsia="宋体" w:cs="Times New Roman"/>
                <w:b w:val="0"/>
                <w:bCs w:val="0"/>
                <w:caps w:val="0"/>
                <w:color w:val="auto"/>
                <w:spacing w:val="0"/>
                <w:position w:val="0"/>
                <w:highlight w:val="none"/>
              </w:rPr>
            </w:pPr>
            <w:r>
              <w:rPr>
                <w:rFonts w:hint="default" w:ascii="Times New Roman" w:hAnsi="Times New Roman" w:eastAsia="宋体" w:cs="Times New Roman"/>
                <w:b w:val="0"/>
                <w:bCs w:val="0"/>
                <w:caps w:val="0"/>
                <w:color w:val="auto"/>
                <w:spacing w:val="0"/>
                <w:position w:val="0"/>
                <w:highlight w:val="none"/>
              </w:rPr>
              <w:t>根据《放射诊断放射防护要求》（GBZ130-2020）第6.3.1款，机房的辐射屏蔽防护，应满足下列要求：</w:t>
            </w:r>
          </w:p>
          <w:p w14:paraId="212C07B4">
            <w:pPr>
              <w:pStyle w:val="39"/>
              <w:keepNext w:val="0"/>
              <w:keepLines w:val="0"/>
              <w:suppressLineNumbers w:val="0"/>
              <w:spacing w:before="0" w:beforeAutospacing="0" w:after="0" w:afterAutospacing="0"/>
              <w:ind w:left="0" w:leftChars="0" w:right="72" w:rightChars="30" w:firstLine="480"/>
              <w:jc w:val="left"/>
              <w:rPr>
                <w:rFonts w:hint="default" w:ascii="Times New Roman" w:hAnsi="Times New Roman" w:eastAsia="宋体" w:cs="Times New Roman"/>
                <w:b w:val="0"/>
                <w:bCs w:val="0"/>
                <w:caps w:val="0"/>
                <w:color w:val="auto"/>
                <w:spacing w:val="0"/>
                <w:position w:val="0"/>
                <w:highlight w:val="none"/>
              </w:rPr>
            </w:pPr>
            <w:r>
              <w:rPr>
                <w:rFonts w:hint="default" w:ascii="Times New Roman" w:hAnsi="Times New Roman" w:eastAsia="宋体" w:cs="Times New Roman"/>
                <w:b w:val="0"/>
                <w:bCs w:val="0"/>
                <w:caps w:val="0"/>
                <w:color w:val="auto"/>
                <w:spacing w:val="0"/>
                <w:position w:val="0"/>
                <w:highlight w:val="none"/>
              </w:rPr>
              <w:t>（</w:t>
            </w:r>
            <w:r>
              <w:rPr>
                <w:rFonts w:hint="default" w:ascii="Times New Roman" w:hAnsi="Times New Roman" w:eastAsia="宋体" w:cs="Times New Roman"/>
                <w:b w:val="0"/>
                <w:bCs w:val="0"/>
                <w:caps w:val="0"/>
                <w:color w:val="auto"/>
                <w:spacing w:val="0"/>
                <w:position w:val="0"/>
                <w:highlight w:val="none"/>
                <w:lang w:val="en-US" w:eastAsia="zh-CN"/>
              </w:rPr>
              <w:t>a</w:t>
            </w:r>
            <w:r>
              <w:rPr>
                <w:rFonts w:hint="default" w:ascii="Times New Roman" w:hAnsi="Times New Roman" w:eastAsia="宋体" w:cs="Times New Roman"/>
                <w:b w:val="0"/>
                <w:bCs w:val="0"/>
                <w:caps w:val="0"/>
                <w:color w:val="auto"/>
                <w:spacing w:val="0"/>
                <w:position w:val="0"/>
                <w:highlight w:val="none"/>
              </w:rPr>
              <w:t>）具有透视功能的X射线设备在透视条件下检测时，周围剂量当量率应不大于2.5μSv/h；测量时，X射线设备连续出束时间应大于仪器响应时间；</w:t>
            </w:r>
          </w:p>
          <w:p w14:paraId="4A39AE54">
            <w:pPr>
              <w:pStyle w:val="39"/>
              <w:keepNext w:val="0"/>
              <w:keepLines w:val="0"/>
              <w:suppressLineNumbers w:val="0"/>
              <w:spacing w:before="0" w:beforeAutospacing="0" w:after="0" w:afterAutospacing="0"/>
              <w:ind w:left="0" w:leftChars="0" w:right="72" w:rightChars="30" w:firstLine="480"/>
              <w:jc w:val="left"/>
              <w:rPr>
                <w:rFonts w:hint="default" w:ascii="Times New Roman" w:hAnsi="Times New Roman" w:eastAsia="宋体" w:cs="Times New Roman"/>
                <w:b w:val="0"/>
                <w:bCs w:val="0"/>
                <w:caps w:val="0"/>
                <w:color w:val="auto"/>
                <w:spacing w:val="0"/>
                <w:position w:val="0"/>
                <w:highlight w:val="none"/>
              </w:rPr>
            </w:pPr>
            <w:r>
              <w:rPr>
                <w:rFonts w:hint="default" w:ascii="Times New Roman" w:hAnsi="Times New Roman" w:eastAsia="宋体" w:cs="Times New Roman"/>
                <w:b w:val="0"/>
                <w:bCs w:val="0"/>
                <w:caps w:val="0"/>
                <w:color w:val="auto"/>
                <w:spacing w:val="0"/>
                <w:position w:val="0"/>
                <w:highlight w:val="none"/>
              </w:rPr>
              <w:t>（</w:t>
            </w:r>
            <w:r>
              <w:rPr>
                <w:rFonts w:hint="default" w:ascii="Times New Roman" w:hAnsi="Times New Roman" w:eastAsia="宋体" w:cs="Times New Roman"/>
                <w:b w:val="0"/>
                <w:bCs w:val="0"/>
                <w:caps w:val="0"/>
                <w:color w:val="auto"/>
                <w:spacing w:val="0"/>
                <w:position w:val="0"/>
                <w:highlight w:val="none"/>
                <w:lang w:val="en-US" w:eastAsia="zh-CN"/>
              </w:rPr>
              <w:t>b</w:t>
            </w:r>
            <w:r>
              <w:rPr>
                <w:rFonts w:hint="default" w:ascii="Times New Roman" w:hAnsi="Times New Roman" w:eastAsia="宋体" w:cs="Times New Roman"/>
                <w:b w:val="0"/>
                <w:bCs w:val="0"/>
                <w:caps w:val="0"/>
                <w:color w:val="auto"/>
                <w:spacing w:val="0"/>
                <w:position w:val="0"/>
                <w:highlight w:val="none"/>
              </w:rPr>
              <w:t>）具有短时、高剂量率曝光的摄影程序（如DR、CR、屏片摄影）机房外的周围剂量当量率应不大于25μSv/h，当超过时应进行机房外人员的年有效剂量评估，应不大于0.25mSv。</w:t>
            </w:r>
          </w:p>
          <w:p w14:paraId="0544F476">
            <w:pPr>
              <w:pStyle w:val="33"/>
              <w:keepNext w:val="0"/>
              <w:keepLines w:val="0"/>
              <w:suppressLineNumbers w:val="0"/>
              <w:bidi w:val="0"/>
              <w:spacing w:before="0" w:beforeAutospacing="0" w:after="0" w:afterAutospacing="0"/>
              <w:ind w:left="0" w:right="0"/>
              <w:jc w:val="both"/>
              <w:rPr>
                <w:rFonts w:hint="default" w:ascii="Times New Roman" w:hAnsi="Times New Roman" w:eastAsia="宋体" w:cs="Times New Roman"/>
                <w:b w:val="0"/>
                <w:bCs w:val="0"/>
                <w:caps w:val="0"/>
                <w:color w:val="auto"/>
                <w:spacing w:val="0"/>
                <w:position w:val="0"/>
                <w:highlight w:val="none"/>
                <w:lang w:val="en-US" w:eastAsia="zh-CN"/>
              </w:rPr>
            </w:pPr>
            <w:r>
              <w:rPr>
                <w:rFonts w:hint="default" w:ascii="Times New Roman" w:hAnsi="Times New Roman" w:eastAsia="宋体" w:cs="Times New Roman"/>
                <w:b w:val="0"/>
                <w:bCs w:val="0"/>
                <w:caps w:val="0"/>
                <w:color w:val="auto"/>
                <w:spacing w:val="0"/>
                <w:kern w:val="2"/>
                <w:position w:val="0"/>
                <w:sz w:val="24"/>
                <w:szCs w:val="24"/>
                <w:highlight w:val="none"/>
                <w:lang w:val="en-US" w:eastAsia="zh-CN" w:bidi="ar-SA"/>
              </w:rPr>
              <w:t>因此，本次评价项目的辐射工作场所周围剂量当量率控制水平为：在开机状态下，机房外距墙体、门、窗表面30cm处的周围剂量当量率不大于</w:t>
            </w:r>
            <w:r>
              <w:rPr>
                <w:rFonts w:hint="default" w:ascii="Times New Roman" w:hAnsi="Times New Roman" w:eastAsia="宋体" w:cs="Times New Roman"/>
                <w:b/>
                <w:bCs/>
                <w:caps w:val="0"/>
                <w:color w:val="auto"/>
                <w:spacing w:val="0"/>
                <w:kern w:val="2"/>
                <w:position w:val="0"/>
                <w:sz w:val="24"/>
                <w:szCs w:val="24"/>
                <w:highlight w:val="none"/>
                <w:lang w:val="en-US" w:eastAsia="zh-CN" w:bidi="ar-SA"/>
              </w:rPr>
              <w:t>2.5μSv/h。</w:t>
            </w:r>
          </w:p>
          <w:p w14:paraId="5B50E327">
            <w:pPr>
              <w:pStyle w:val="3"/>
              <w:keepNext w:val="0"/>
              <w:keepLines w:val="0"/>
              <w:numPr>
                <w:ilvl w:val="0"/>
                <w:numId w:val="0"/>
              </w:numPr>
              <w:suppressLineNumbers w:val="0"/>
              <w:spacing w:before="0" w:beforeAutospacing="0" w:after="0" w:afterAutospacing="0"/>
              <w:ind w:leftChars="200" w:right="0" w:rightChars="0"/>
              <w:rPr>
                <w:rFonts w:hint="default" w:ascii="Times New Roman" w:hAnsi="Times New Roman" w:eastAsia="宋体" w:cs="Times New Roman"/>
                <w:b w:val="0"/>
                <w:color w:val="auto"/>
                <w:spacing w:val="0"/>
                <w:kern w:val="2"/>
                <w:position w:val="0"/>
                <w:sz w:val="24"/>
                <w:szCs w:val="24"/>
                <w:lang w:val="en-US" w:eastAsia="zh-CN" w:bidi="ar-SA"/>
              </w:rPr>
            </w:pPr>
            <w:r>
              <w:rPr>
                <w:rFonts w:hint="default" w:ascii="Times New Roman" w:hAnsi="Times New Roman" w:eastAsia="宋体" w:cs="Times New Roman"/>
                <w:b w:val="0"/>
                <w:color w:val="auto"/>
                <w:spacing w:val="0"/>
                <w:kern w:val="2"/>
                <w:position w:val="0"/>
                <w:sz w:val="24"/>
                <w:szCs w:val="24"/>
                <w:lang w:val="en-US" w:eastAsia="zh-CN" w:bidi="ar-SA"/>
              </w:rPr>
              <w:t>（3）标准其他要求</w:t>
            </w:r>
          </w:p>
          <w:p w14:paraId="00596053">
            <w:pPr>
              <w:pStyle w:val="4"/>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highlight w:val="none"/>
                <w:lang w:eastAsia="zh-CN"/>
              </w:rPr>
            </w:pPr>
            <w:r>
              <w:rPr>
                <w:rFonts w:hint="default" w:ascii="Times New Roman" w:hAnsi="Times New Roman" w:eastAsia="宋体" w:cs="Times New Roman"/>
                <w:b w:val="0"/>
                <w:bCs w:val="0"/>
                <w:caps w:val="0"/>
                <w:color w:val="auto"/>
                <w:spacing w:val="0"/>
                <w:position w:val="0"/>
                <w:highlight w:val="none"/>
                <w:lang w:eastAsia="zh-CN"/>
              </w:rPr>
              <w:t>《放射诊断放射防护要求》（GBZ</w:t>
            </w:r>
            <w:r>
              <w:rPr>
                <w:rFonts w:hint="default" w:ascii="Times New Roman" w:hAnsi="Times New Roman" w:eastAsia="宋体" w:cs="Times New Roman"/>
                <w:b w:val="0"/>
                <w:bCs w:val="0"/>
                <w:caps w:val="0"/>
                <w:color w:val="auto"/>
                <w:spacing w:val="0"/>
                <w:position w:val="0"/>
                <w:highlight w:val="none"/>
                <w:lang w:val="en-US" w:eastAsia="zh-CN"/>
              </w:rPr>
              <w:t xml:space="preserve"> </w:t>
            </w:r>
            <w:r>
              <w:rPr>
                <w:rFonts w:hint="default" w:ascii="Times New Roman" w:hAnsi="Times New Roman" w:eastAsia="宋体" w:cs="Times New Roman"/>
                <w:b w:val="0"/>
                <w:bCs w:val="0"/>
                <w:caps w:val="0"/>
                <w:color w:val="auto"/>
                <w:spacing w:val="0"/>
                <w:position w:val="0"/>
                <w:highlight w:val="none"/>
                <w:lang w:eastAsia="zh-CN"/>
              </w:rPr>
              <w:t>130-2020）</w:t>
            </w:r>
          </w:p>
          <w:p w14:paraId="5900D817">
            <w:pPr>
              <w:pStyle w:val="39"/>
              <w:keepNext w:val="0"/>
              <w:keepLines w:val="0"/>
              <w:suppressLineNumbers w:val="0"/>
              <w:spacing w:before="0" w:beforeAutospacing="0" w:after="0" w:afterAutospacing="0"/>
              <w:ind w:left="0" w:leftChars="0" w:right="72" w:rightChars="30" w:firstLine="480"/>
              <w:jc w:val="both"/>
              <w:rPr>
                <w:rFonts w:hint="default" w:ascii="Times New Roman" w:hAnsi="Times New Roman" w:eastAsia="宋体" w:cs="Times New Roman"/>
                <w:b w:val="0"/>
                <w:bCs w:val="0"/>
                <w:caps w:val="0"/>
                <w:color w:val="auto"/>
                <w:spacing w:val="0"/>
                <w:position w:val="0"/>
                <w:highlight w:val="none"/>
                <w:lang w:eastAsia="zh-CN"/>
              </w:rPr>
            </w:pPr>
            <w:r>
              <w:rPr>
                <w:rFonts w:hint="default" w:ascii="Times New Roman" w:hAnsi="Times New Roman" w:eastAsia="宋体" w:cs="Times New Roman"/>
                <w:b w:val="0"/>
                <w:bCs w:val="0"/>
                <w:caps w:val="0"/>
                <w:color w:val="auto"/>
                <w:spacing w:val="0"/>
                <w:position w:val="0"/>
                <w:highlight w:val="none"/>
                <w:lang w:eastAsia="zh-CN"/>
              </w:rPr>
              <w:t>6.1.1 应合理设置X射线设备、机房的门、窗和管线口位置，应尽量避免有用线束直接照射门、窗、管线口和工作人员操作位。</w:t>
            </w:r>
          </w:p>
          <w:p w14:paraId="6D40A2A2">
            <w:pPr>
              <w:pStyle w:val="39"/>
              <w:keepNext w:val="0"/>
              <w:keepLines w:val="0"/>
              <w:suppressLineNumbers w:val="0"/>
              <w:spacing w:before="0" w:beforeAutospacing="0" w:after="0" w:afterAutospacing="0"/>
              <w:ind w:left="0" w:leftChars="0" w:right="72" w:rightChars="30" w:firstLine="480"/>
              <w:jc w:val="both"/>
              <w:rPr>
                <w:rFonts w:hint="default" w:ascii="Times New Roman" w:hAnsi="Times New Roman" w:eastAsia="宋体" w:cs="Times New Roman"/>
                <w:b w:val="0"/>
                <w:bCs w:val="0"/>
                <w:caps w:val="0"/>
                <w:color w:val="auto"/>
                <w:spacing w:val="0"/>
                <w:position w:val="0"/>
                <w:highlight w:val="none"/>
                <w:lang w:eastAsia="zh-CN"/>
              </w:rPr>
            </w:pPr>
            <w:r>
              <w:rPr>
                <w:rFonts w:hint="default" w:ascii="Times New Roman" w:hAnsi="Times New Roman" w:eastAsia="宋体" w:cs="Times New Roman"/>
                <w:b w:val="0"/>
                <w:bCs w:val="0"/>
                <w:caps w:val="0"/>
                <w:color w:val="auto"/>
                <w:spacing w:val="0"/>
                <w:position w:val="0"/>
                <w:highlight w:val="none"/>
                <w:lang w:eastAsia="zh-CN"/>
              </w:rPr>
              <w:t>6.1.2 X射线设备机房（照射室）的设置应充分考虑邻室（含楼上和楼下）及周围场所的人员防护与安全。</w:t>
            </w:r>
          </w:p>
          <w:p w14:paraId="25AE19A3">
            <w:pPr>
              <w:pStyle w:val="39"/>
              <w:keepNext w:val="0"/>
              <w:keepLines w:val="0"/>
              <w:suppressLineNumbers w:val="0"/>
              <w:spacing w:before="0" w:beforeAutospacing="0" w:after="0" w:afterAutospacing="0"/>
              <w:ind w:left="0" w:leftChars="0" w:right="72" w:rightChars="30" w:firstLine="480"/>
              <w:jc w:val="both"/>
              <w:rPr>
                <w:rFonts w:hint="default" w:ascii="Times New Roman" w:hAnsi="Times New Roman" w:eastAsia="宋体" w:cs="Times New Roman"/>
                <w:b w:val="0"/>
                <w:bCs w:val="0"/>
                <w:caps w:val="0"/>
                <w:color w:val="auto"/>
                <w:spacing w:val="0"/>
                <w:position w:val="0"/>
                <w:highlight w:val="none"/>
                <w:lang w:eastAsia="zh-CN"/>
              </w:rPr>
            </w:pPr>
            <w:r>
              <w:rPr>
                <w:rFonts w:hint="default" w:ascii="Times New Roman" w:hAnsi="Times New Roman" w:eastAsia="宋体" w:cs="Times New Roman"/>
                <w:b w:val="0"/>
                <w:bCs w:val="0"/>
                <w:caps w:val="0"/>
                <w:color w:val="auto"/>
                <w:spacing w:val="0"/>
                <w:position w:val="0"/>
                <w:highlight w:val="none"/>
                <w:lang w:eastAsia="zh-CN"/>
              </w:rPr>
              <w:t>6.1.3 每台固定使用的X射线设备应设有单独的机房，机房应满足使用设备的布局要求。</w:t>
            </w:r>
          </w:p>
          <w:p w14:paraId="70F7227B">
            <w:pPr>
              <w:pStyle w:val="39"/>
              <w:keepNext w:val="0"/>
              <w:keepLines w:val="0"/>
              <w:suppressLineNumbers w:val="0"/>
              <w:spacing w:before="0" w:beforeAutospacing="0" w:after="0" w:afterAutospacing="0"/>
              <w:ind w:left="0" w:leftChars="0" w:right="72" w:rightChars="30" w:firstLine="480"/>
              <w:jc w:val="both"/>
              <w:rPr>
                <w:rFonts w:hint="default" w:ascii="Times New Roman" w:hAnsi="Times New Roman" w:eastAsia="宋体" w:cs="Times New Roman"/>
                <w:b w:val="0"/>
                <w:bCs w:val="0"/>
                <w:caps w:val="0"/>
                <w:color w:val="auto"/>
                <w:spacing w:val="0"/>
                <w:position w:val="0"/>
                <w:highlight w:val="none"/>
                <w:lang w:val="en-US" w:eastAsia="zh-CN"/>
              </w:rPr>
            </w:pPr>
            <w:r>
              <w:rPr>
                <w:rFonts w:hint="default" w:ascii="Times New Roman" w:hAnsi="Times New Roman" w:eastAsia="宋体" w:cs="Times New Roman"/>
                <w:b w:val="0"/>
                <w:bCs w:val="0"/>
                <w:caps w:val="0"/>
                <w:color w:val="auto"/>
                <w:spacing w:val="0"/>
                <w:position w:val="0"/>
                <w:highlight w:val="none"/>
                <w:lang w:val="en-US" w:eastAsia="zh-CN"/>
              </w:rPr>
              <w:t>6.1.4 移动式X射线机（不含床旁摄影机和急救车配备设备）在使用时，机房应满足相应布局要求。</w:t>
            </w:r>
          </w:p>
          <w:p w14:paraId="72F21060">
            <w:pPr>
              <w:pStyle w:val="39"/>
              <w:keepNext w:val="0"/>
              <w:keepLines w:val="0"/>
              <w:suppressLineNumbers w:val="0"/>
              <w:spacing w:before="0" w:beforeAutospacing="0" w:after="0" w:afterAutospacing="0"/>
              <w:ind w:left="0" w:leftChars="0" w:right="72" w:rightChars="30" w:firstLine="480"/>
              <w:jc w:val="both"/>
              <w:rPr>
                <w:rFonts w:hint="default" w:ascii="Times New Roman" w:hAnsi="Times New Roman" w:eastAsia="宋体" w:cs="Times New Roman"/>
                <w:b w:val="0"/>
                <w:bCs w:val="0"/>
                <w:caps w:val="0"/>
                <w:color w:val="auto"/>
                <w:spacing w:val="0"/>
                <w:position w:val="0"/>
                <w:highlight w:val="none"/>
                <w:lang w:eastAsia="zh-CN"/>
              </w:rPr>
            </w:pPr>
            <w:r>
              <w:rPr>
                <w:rFonts w:hint="default" w:ascii="Times New Roman" w:hAnsi="Times New Roman" w:eastAsia="宋体" w:cs="Times New Roman"/>
                <w:b w:val="0"/>
                <w:bCs w:val="0"/>
                <w:caps w:val="0"/>
                <w:color w:val="auto"/>
                <w:spacing w:val="0"/>
                <w:position w:val="0"/>
                <w:highlight w:val="none"/>
                <w:lang w:eastAsia="zh-CN"/>
              </w:rPr>
              <w:t>6.1.5 除床旁摄影设备、便携式X射线设备和车载式诊断X射线设备外，对新建、改建和扩建项目和技术改造、技术引进项目的X射线设备机房，其最小有效使用面积、最小单边长度应符合表7-</w:t>
            </w:r>
            <w:r>
              <w:rPr>
                <w:rFonts w:hint="default" w:ascii="Times New Roman" w:hAnsi="Times New Roman" w:eastAsia="宋体" w:cs="Times New Roman"/>
                <w:b w:val="0"/>
                <w:bCs w:val="0"/>
                <w:caps w:val="0"/>
                <w:color w:val="auto"/>
                <w:spacing w:val="0"/>
                <w:position w:val="0"/>
                <w:highlight w:val="none"/>
                <w:lang w:val="en-US" w:eastAsia="zh-CN"/>
              </w:rPr>
              <w:t>3</w:t>
            </w:r>
            <w:r>
              <w:rPr>
                <w:rFonts w:hint="default" w:ascii="Times New Roman" w:hAnsi="Times New Roman" w:eastAsia="宋体" w:cs="Times New Roman"/>
                <w:b w:val="0"/>
                <w:bCs w:val="0"/>
                <w:caps w:val="0"/>
                <w:color w:val="auto"/>
                <w:spacing w:val="0"/>
                <w:position w:val="0"/>
                <w:highlight w:val="none"/>
                <w:lang w:eastAsia="zh-CN"/>
              </w:rPr>
              <w:t>的规定。</w:t>
            </w:r>
          </w:p>
          <w:p w14:paraId="57376728">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22" w:firstLineChars="200"/>
              <w:jc w:val="center"/>
              <w:textAlignment w:val="auto"/>
              <w:rPr>
                <w:rFonts w:hint="default" w:ascii="Times New Roman" w:hAnsi="Times New Roman" w:eastAsia="宋体" w:cs="Times New Roman"/>
                <w:b/>
                <w:caps w:val="0"/>
                <w:color w:val="auto"/>
                <w:spacing w:val="0"/>
                <w:position w:val="0"/>
                <w:sz w:val="21"/>
                <w:szCs w:val="21"/>
                <w:highlight w:val="none"/>
                <w:lang w:val="en-US" w:eastAsia="zh-CN" w:bidi="en-US"/>
              </w:rPr>
            </w:pPr>
            <w:r>
              <w:rPr>
                <w:rFonts w:hint="default" w:ascii="Times New Roman" w:hAnsi="Times New Roman" w:eastAsia="宋体" w:cs="Times New Roman"/>
                <w:b/>
                <w:caps w:val="0"/>
                <w:color w:val="auto"/>
                <w:spacing w:val="0"/>
                <w:position w:val="0"/>
                <w:sz w:val="21"/>
                <w:szCs w:val="21"/>
                <w:highlight w:val="none"/>
                <w:lang w:val="en-US" w:eastAsia="zh-CN" w:bidi="en-US"/>
              </w:rPr>
              <w:t>表7-3 X射线设备机房（照射室）使用面积、单边长度的要求</w:t>
            </w:r>
          </w:p>
          <w:tbl>
            <w:tblPr>
              <w:tblStyle w:val="2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0"/>
              <w:gridCol w:w="2835"/>
              <w:gridCol w:w="2287"/>
            </w:tblGrid>
            <w:tr w14:paraId="4969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1" w:type="dxa"/>
                  <w:tcBorders>
                    <w:tl2br w:val="nil"/>
                    <w:tr2bl w:val="nil"/>
                  </w:tcBorders>
                  <w:noWrap w:val="0"/>
                  <w:vAlign w:val="center"/>
                </w:tcPr>
                <w:p w14:paraId="2071D71D">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bCs/>
                      <w:caps w:val="0"/>
                      <w:color w:val="auto"/>
                      <w:spacing w:val="0"/>
                      <w:position w:val="0"/>
                      <w:sz w:val="21"/>
                      <w:szCs w:val="21"/>
                      <w:highlight w:val="none"/>
                    </w:rPr>
                    <w:t>设备类型</w:t>
                  </w:r>
                </w:p>
              </w:tc>
              <w:tc>
                <w:tcPr>
                  <w:tcW w:w="2915" w:type="dxa"/>
                  <w:tcBorders>
                    <w:tl2br w:val="nil"/>
                    <w:tr2bl w:val="nil"/>
                  </w:tcBorders>
                  <w:noWrap w:val="0"/>
                  <w:vAlign w:val="center"/>
                </w:tcPr>
                <w:p w14:paraId="4257E26C">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bCs/>
                      <w:caps w:val="0"/>
                      <w:color w:val="auto"/>
                      <w:spacing w:val="0"/>
                      <w:position w:val="0"/>
                      <w:sz w:val="21"/>
                      <w:szCs w:val="21"/>
                      <w:highlight w:val="none"/>
                    </w:rPr>
                    <w:t>机房内最小有效使用面积m</w:t>
                  </w:r>
                  <w:r>
                    <w:rPr>
                      <w:rFonts w:hint="default" w:ascii="Times New Roman" w:hAnsi="Times New Roman" w:eastAsia="宋体" w:cs="Times New Roman"/>
                      <w:b/>
                      <w:bCs/>
                      <w:caps w:val="0"/>
                      <w:color w:val="auto"/>
                      <w:spacing w:val="0"/>
                      <w:position w:val="0"/>
                      <w:sz w:val="21"/>
                      <w:szCs w:val="21"/>
                      <w:highlight w:val="none"/>
                      <w:vertAlign w:val="superscript"/>
                    </w:rPr>
                    <w:t>2</w:t>
                  </w:r>
                </w:p>
              </w:tc>
              <w:tc>
                <w:tcPr>
                  <w:tcW w:w="2349" w:type="dxa"/>
                  <w:tcBorders>
                    <w:tl2br w:val="nil"/>
                    <w:tr2bl w:val="nil"/>
                  </w:tcBorders>
                  <w:noWrap w:val="0"/>
                  <w:vAlign w:val="center"/>
                </w:tcPr>
                <w:p w14:paraId="2CC90EE0">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bCs/>
                      <w:caps w:val="0"/>
                      <w:color w:val="auto"/>
                      <w:spacing w:val="0"/>
                      <w:position w:val="0"/>
                      <w:sz w:val="21"/>
                      <w:szCs w:val="21"/>
                      <w:highlight w:val="none"/>
                    </w:rPr>
                    <w:t>机房内最小单边长度</w:t>
                  </w:r>
                  <w:r>
                    <w:rPr>
                      <w:rFonts w:hint="default" w:ascii="Times New Roman" w:hAnsi="Times New Roman" w:eastAsia="宋体" w:cs="Times New Roman"/>
                      <w:b/>
                      <w:bCs/>
                      <w:caps w:val="0"/>
                      <w:color w:val="auto"/>
                      <w:spacing w:val="0"/>
                      <w:position w:val="0"/>
                      <w:sz w:val="21"/>
                      <w:szCs w:val="21"/>
                      <w:highlight w:val="none"/>
                      <w:vertAlign w:val="superscript"/>
                      <w:lang w:val="en-US" w:eastAsia="zh-CN"/>
                    </w:rPr>
                    <w:t>e</w:t>
                  </w:r>
                  <w:r>
                    <w:rPr>
                      <w:rFonts w:hint="default" w:ascii="Times New Roman" w:hAnsi="Times New Roman" w:eastAsia="宋体" w:cs="Times New Roman"/>
                      <w:b/>
                      <w:bCs/>
                      <w:caps w:val="0"/>
                      <w:color w:val="auto"/>
                      <w:spacing w:val="0"/>
                      <w:position w:val="0"/>
                      <w:sz w:val="21"/>
                      <w:szCs w:val="21"/>
                      <w:highlight w:val="none"/>
                    </w:rPr>
                    <w:t>m</w:t>
                  </w:r>
                </w:p>
              </w:tc>
            </w:tr>
            <w:tr w14:paraId="4411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71" w:type="dxa"/>
                  <w:tcBorders>
                    <w:tl2br w:val="nil"/>
                    <w:tr2bl w:val="nil"/>
                  </w:tcBorders>
                  <w:noWrap w:val="0"/>
                  <w:vAlign w:val="center"/>
                </w:tcPr>
                <w:p w14:paraId="6FEE13ED">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rPr>
                    <w:t>单管头X射线设备</w:t>
                  </w:r>
                  <w:r>
                    <w:rPr>
                      <w:rFonts w:hint="default" w:ascii="Times New Roman" w:hAnsi="Times New Roman" w:eastAsia="宋体" w:cs="Times New Roman"/>
                      <w:caps w:val="0"/>
                      <w:color w:val="auto"/>
                      <w:spacing w:val="0"/>
                      <w:position w:val="0"/>
                      <w:sz w:val="21"/>
                      <w:szCs w:val="21"/>
                      <w:highlight w:val="none"/>
                      <w:vertAlign w:val="superscript"/>
                    </w:rPr>
                    <w:t>b</w:t>
                  </w:r>
                  <w:r>
                    <w:rPr>
                      <w:rFonts w:hint="default" w:ascii="Times New Roman" w:hAnsi="Times New Roman" w:eastAsia="宋体" w:cs="Times New Roman"/>
                      <w:caps w:val="0"/>
                      <w:color w:val="auto"/>
                      <w:spacing w:val="0"/>
                      <w:position w:val="0"/>
                      <w:sz w:val="21"/>
                      <w:szCs w:val="21"/>
                      <w:highlight w:val="none"/>
                      <w:lang w:eastAsia="zh-CN"/>
                    </w:rPr>
                    <w:t>（</w:t>
                  </w:r>
                  <w:r>
                    <w:rPr>
                      <w:rFonts w:hint="default" w:ascii="Times New Roman" w:hAnsi="Times New Roman" w:eastAsia="宋体" w:cs="Times New Roman"/>
                      <w:caps w:val="0"/>
                      <w:color w:val="auto"/>
                      <w:spacing w:val="0"/>
                      <w:position w:val="0"/>
                      <w:sz w:val="21"/>
                      <w:szCs w:val="21"/>
                      <w:highlight w:val="none"/>
                    </w:rPr>
                    <w:t>含C形臂，乳腺CBCT</w:t>
                  </w:r>
                  <w:r>
                    <w:rPr>
                      <w:rFonts w:hint="default" w:ascii="Times New Roman" w:hAnsi="Times New Roman" w:eastAsia="宋体" w:cs="Times New Roman"/>
                      <w:caps w:val="0"/>
                      <w:color w:val="auto"/>
                      <w:spacing w:val="0"/>
                      <w:position w:val="0"/>
                      <w:sz w:val="21"/>
                      <w:szCs w:val="21"/>
                      <w:highlight w:val="none"/>
                      <w:lang w:eastAsia="zh-CN"/>
                    </w:rPr>
                    <w:t>）</w:t>
                  </w:r>
                </w:p>
              </w:tc>
              <w:tc>
                <w:tcPr>
                  <w:tcW w:w="2915" w:type="dxa"/>
                  <w:tcBorders>
                    <w:tl2br w:val="nil"/>
                    <w:tr2bl w:val="nil"/>
                  </w:tcBorders>
                  <w:noWrap w:val="0"/>
                  <w:vAlign w:val="center"/>
                </w:tcPr>
                <w:p w14:paraId="611F4B1C">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lang w:val="en-US" w:eastAsia="zh-CN"/>
                    </w:rPr>
                  </w:pPr>
                  <w:r>
                    <w:rPr>
                      <w:rFonts w:hint="default" w:ascii="Times New Roman" w:hAnsi="Times New Roman" w:eastAsia="宋体" w:cs="Times New Roman"/>
                      <w:caps w:val="0"/>
                      <w:color w:val="auto"/>
                      <w:spacing w:val="0"/>
                      <w:position w:val="0"/>
                      <w:sz w:val="21"/>
                      <w:szCs w:val="21"/>
                      <w:highlight w:val="none"/>
                    </w:rPr>
                    <w:t>20</w:t>
                  </w:r>
                </w:p>
              </w:tc>
              <w:tc>
                <w:tcPr>
                  <w:tcW w:w="2349" w:type="dxa"/>
                  <w:tcBorders>
                    <w:tl2br w:val="nil"/>
                    <w:tr2bl w:val="nil"/>
                  </w:tcBorders>
                  <w:noWrap w:val="0"/>
                  <w:vAlign w:val="center"/>
                </w:tcPr>
                <w:p w14:paraId="54D63131">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lang w:val="en-US" w:eastAsia="zh-CN"/>
                    </w:rPr>
                  </w:pPr>
                  <w:r>
                    <w:rPr>
                      <w:rFonts w:hint="default" w:ascii="Times New Roman" w:hAnsi="Times New Roman" w:eastAsia="宋体" w:cs="Times New Roman"/>
                      <w:caps w:val="0"/>
                      <w:color w:val="auto"/>
                      <w:spacing w:val="0"/>
                      <w:position w:val="0"/>
                      <w:sz w:val="21"/>
                      <w:szCs w:val="21"/>
                      <w:highlight w:val="none"/>
                    </w:rPr>
                    <w:t>3.5</w:t>
                  </w:r>
                </w:p>
              </w:tc>
            </w:tr>
            <w:tr w14:paraId="2B95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5" w:type="dxa"/>
                  <w:gridSpan w:val="3"/>
                  <w:tcBorders>
                    <w:tl2br w:val="nil"/>
                    <w:tr2bl w:val="nil"/>
                  </w:tcBorders>
                  <w:noWrap w:val="0"/>
                  <w:vAlign w:val="center"/>
                </w:tcPr>
                <w:p w14:paraId="67EC3441">
                  <w:pPr>
                    <w:pStyle w:val="39"/>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vertAlign w:val="superscript"/>
                    </w:rPr>
                    <w:t>b</w:t>
                  </w:r>
                  <w:r>
                    <w:rPr>
                      <w:rFonts w:hint="default" w:ascii="Times New Roman" w:hAnsi="Times New Roman" w:eastAsia="宋体" w:cs="Times New Roman"/>
                      <w:caps w:val="0"/>
                      <w:color w:val="auto"/>
                      <w:spacing w:val="0"/>
                      <w:position w:val="0"/>
                      <w:sz w:val="21"/>
                      <w:szCs w:val="21"/>
                      <w:highlight w:val="none"/>
                    </w:rPr>
                    <w:t>单管头、双管头或多管头X射线设备的每个管球各安装在1个房间内。</w:t>
                  </w:r>
                </w:p>
                <w:p w14:paraId="523DE45A">
                  <w:pPr>
                    <w:pStyle w:val="39"/>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vertAlign w:val="superscript"/>
                      <w:lang w:val="en-US" w:eastAsia="zh-CN"/>
                    </w:rPr>
                    <w:t>d</w:t>
                  </w:r>
                  <w:r>
                    <w:rPr>
                      <w:rFonts w:hint="default" w:ascii="Times New Roman" w:hAnsi="Times New Roman" w:eastAsia="宋体" w:cs="Times New Roman"/>
                      <w:caps w:val="0"/>
                      <w:color w:val="auto"/>
                      <w:spacing w:val="0"/>
                      <w:position w:val="0"/>
                      <w:sz w:val="21"/>
                      <w:szCs w:val="21"/>
                      <w:highlight w:val="none"/>
                    </w:rPr>
                    <w:t>机房内有效使用面积指机房内可划出的最大矩形的面积。</w:t>
                  </w:r>
                </w:p>
                <w:p w14:paraId="2D3E3EDD">
                  <w:pPr>
                    <w:pStyle w:val="39"/>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color w:val="auto"/>
                      <w:spacing w:val="0"/>
                      <w:position w:val="0"/>
                      <w:sz w:val="21"/>
                      <w:szCs w:val="21"/>
                      <w:highlight w:val="none"/>
                    </w:rPr>
                  </w:pPr>
                  <w:r>
                    <w:rPr>
                      <w:rFonts w:hint="default" w:ascii="Times New Roman" w:hAnsi="Times New Roman" w:eastAsia="宋体" w:cs="Times New Roman"/>
                      <w:caps w:val="0"/>
                      <w:color w:val="auto"/>
                      <w:spacing w:val="0"/>
                      <w:position w:val="0"/>
                      <w:sz w:val="21"/>
                      <w:szCs w:val="21"/>
                      <w:highlight w:val="none"/>
                      <w:vertAlign w:val="superscript"/>
                    </w:rPr>
                    <w:t>e</w:t>
                  </w:r>
                  <w:r>
                    <w:rPr>
                      <w:rFonts w:hint="default" w:ascii="Times New Roman" w:hAnsi="Times New Roman" w:eastAsia="宋体" w:cs="Times New Roman"/>
                      <w:caps w:val="0"/>
                      <w:color w:val="auto"/>
                      <w:spacing w:val="0"/>
                      <w:position w:val="0"/>
                      <w:sz w:val="21"/>
                      <w:szCs w:val="21"/>
                      <w:highlight w:val="none"/>
                    </w:rPr>
                    <w:t>机房内单边长度指机房内有效使用面积的最小边长。</w:t>
                  </w:r>
                </w:p>
              </w:tc>
            </w:tr>
          </w:tbl>
          <w:p w14:paraId="59C50D71">
            <w:pPr>
              <w:pStyle w:val="39"/>
              <w:keepNext w:val="0"/>
              <w:keepLines w:val="0"/>
              <w:suppressLineNumbers w:val="0"/>
              <w:spacing w:before="0" w:beforeAutospacing="0" w:after="0" w:afterAutospacing="0"/>
              <w:ind w:left="0" w:leftChars="0" w:right="72" w:rightChars="30" w:firstLine="480"/>
              <w:jc w:val="both"/>
              <w:rPr>
                <w:rFonts w:hint="default" w:ascii="Times New Roman" w:hAnsi="Times New Roman" w:eastAsia="宋体" w:cs="Times New Roman"/>
                <w:b w:val="0"/>
                <w:bCs w:val="0"/>
                <w:caps w:val="0"/>
                <w:color w:val="auto"/>
                <w:spacing w:val="0"/>
                <w:position w:val="0"/>
                <w:highlight w:val="none"/>
                <w:lang w:eastAsia="zh-CN"/>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6.2.1 不同类型X射线设备（不含床旁摄影设备和便携式X射线设备）机房的屏蔽防护应不低于表7-4的规定。</w:t>
            </w:r>
          </w:p>
          <w:p w14:paraId="059252D1">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right="0" w:rightChars="0"/>
              <w:jc w:val="center"/>
              <w:textAlignment w:val="auto"/>
              <w:rPr>
                <w:rFonts w:hint="default" w:ascii="Times New Roman" w:hAnsi="Times New Roman" w:eastAsia="宋体" w:cs="Times New Roman"/>
                <w:b/>
                <w:caps w:val="0"/>
                <w:color w:val="auto"/>
                <w:spacing w:val="0"/>
                <w:position w:val="0"/>
                <w:sz w:val="21"/>
                <w:szCs w:val="21"/>
                <w:highlight w:val="none"/>
                <w:lang w:val="en-US" w:eastAsia="zh-CN" w:bidi="en-US"/>
              </w:rPr>
            </w:pPr>
            <w:r>
              <w:rPr>
                <w:rFonts w:hint="default" w:ascii="Times New Roman" w:hAnsi="Times New Roman" w:eastAsia="宋体" w:cs="Times New Roman"/>
                <w:b/>
                <w:caps w:val="0"/>
                <w:color w:val="auto"/>
                <w:spacing w:val="0"/>
                <w:position w:val="0"/>
                <w:sz w:val="21"/>
                <w:szCs w:val="21"/>
                <w:highlight w:val="none"/>
                <w:lang w:val="en-US" w:eastAsia="zh-CN" w:bidi="en-US"/>
              </w:rPr>
              <w:t>表7-4 不同类型 X 射线设备机房的屏蔽防护铅当量厚度要求</w:t>
            </w:r>
          </w:p>
          <w:tbl>
            <w:tblPr>
              <w:tblStyle w:val="2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8"/>
              <w:gridCol w:w="3560"/>
              <w:gridCol w:w="2994"/>
            </w:tblGrid>
            <w:tr w14:paraId="60FB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3" w:type="dxa"/>
                  <w:tcBorders>
                    <w:tl2br w:val="nil"/>
                    <w:tr2bl w:val="nil"/>
                  </w:tcBorders>
                  <w:noWrap w:val="0"/>
                  <w:vAlign w:val="center"/>
                </w:tcPr>
                <w:p w14:paraId="7D43FFBD">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bCs/>
                      <w:caps w:val="0"/>
                      <w:color w:val="auto"/>
                      <w:spacing w:val="0"/>
                      <w:position w:val="0"/>
                      <w:sz w:val="21"/>
                      <w:szCs w:val="21"/>
                      <w:highlight w:val="none"/>
                    </w:rPr>
                    <w:t>机房类型</w:t>
                  </w:r>
                </w:p>
              </w:tc>
              <w:tc>
                <w:tcPr>
                  <w:tcW w:w="3703" w:type="dxa"/>
                  <w:tcBorders>
                    <w:tl2br w:val="nil"/>
                    <w:tr2bl w:val="nil"/>
                  </w:tcBorders>
                  <w:noWrap w:val="0"/>
                  <w:vAlign w:val="center"/>
                </w:tcPr>
                <w:p w14:paraId="5CC28554">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bCs/>
                      <w:caps w:val="0"/>
                      <w:color w:val="auto"/>
                      <w:spacing w:val="0"/>
                      <w:position w:val="0"/>
                      <w:sz w:val="21"/>
                      <w:szCs w:val="21"/>
                      <w:highlight w:val="none"/>
                    </w:rPr>
                    <w:t>有用线束方向铅当量mmPb</w:t>
                  </w:r>
                </w:p>
              </w:tc>
              <w:tc>
                <w:tcPr>
                  <w:tcW w:w="3113" w:type="dxa"/>
                  <w:tcBorders>
                    <w:tl2br w:val="nil"/>
                    <w:tr2bl w:val="nil"/>
                  </w:tcBorders>
                  <w:noWrap w:val="0"/>
                  <w:vAlign w:val="center"/>
                </w:tcPr>
                <w:p w14:paraId="740988DE">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bCs/>
                      <w:caps w:val="0"/>
                      <w:color w:val="auto"/>
                      <w:spacing w:val="0"/>
                      <w:position w:val="0"/>
                      <w:sz w:val="21"/>
                      <w:szCs w:val="21"/>
                      <w:highlight w:val="none"/>
                    </w:rPr>
                    <w:t>非有用线束方向铅当量mmPb</w:t>
                  </w:r>
                </w:p>
              </w:tc>
            </w:tr>
            <w:tr w14:paraId="05EF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23" w:type="dxa"/>
                  <w:tcBorders>
                    <w:tl2br w:val="nil"/>
                    <w:tr2bl w:val="nil"/>
                  </w:tcBorders>
                  <w:noWrap w:val="0"/>
                  <w:vAlign w:val="center"/>
                </w:tcPr>
                <w:p w14:paraId="5E62D9F5">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vertAlign w:val="baseline"/>
                      <w:lang w:val="en-US" w:eastAsia="zh-CN" w:bidi="en-US"/>
                    </w:rPr>
                  </w:pPr>
                  <w:r>
                    <w:rPr>
                      <w:rFonts w:hint="default" w:ascii="Times New Roman" w:hAnsi="Times New Roman" w:eastAsia="宋体" w:cs="Times New Roman"/>
                      <w:caps w:val="0"/>
                      <w:color w:val="auto"/>
                      <w:spacing w:val="0"/>
                      <w:position w:val="0"/>
                      <w:sz w:val="21"/>
                      <w:szCs w:val="21"/>
                      <w:highlight w:val="none"/>
                      <w:vertAlign w:val="baseline"/>
                      <w:lang w:eastAsia="zh-CN"/>
                    </w:rPr>
                    <w:t>C形臂X射线设备机房</w:t>
                  </w:r>
                </w:p>
              </w:tc>
              <w:tc>
                <w:tcPr>
                  <w:tcW w:w="3703" w:type="dxa"/>
                  <w:tcBorders>
                    <w:tl2br w:val="nil"/>
                    <w:tr2bl w:val="nil"/>
                  </w:tcBorders>
                  <w:noWrap w:val="0"/>
                  <w:vAlign w:val="center"/>
                </w:tcPr>
                <w:p w14:paraId="6AC71D09">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vertAlign w:val="baseline"/>
                      <w:lang w:val="en-US" w:eastAsia="zh-CN" w:bidi="en-US"/>
                    </w:rPr>
                  </w:pPr>
                  <w:r>
                    <w:rPr>
                      <w:rFonts w:hint="default" w:ascii="Times New Roman" w:hAnsi="Times New Roman" w:eastAsia="宋体" w:cs="Times New Roman"/>
                      <w:caps w:val="0"/>
                      <w:color w:val="auto"/>
                      <w:spacing w:val="0"/>
                      <w:position w:val="0"/>
                      <w:sz w:val="21"/>
                      <w:szCs w:val="21"/>
                      <w:highlight w:val="none"/>
                      <w:lang w:val="en-US" w:eastAsia="zh-CN"/>
                    </w:rPr>
                    <w:t>2.0</w:t>
                  </w:r>
                </w:p>
              </w:tc>
              <w:tc>
                <w:tcPr>
                  <w:tcW w:w="3113" w:type="dxa"/>
                  <w:tcBorders>
                    <w:tl2br w:val="nil"/>
                    <w:tr2bl w:val="nil"/>
                  </w:tcBorders>
                  <w:noWrap w:val="0"/>
                  <w:vAlign w:val="center"/>
                </w:tcPr>
                <w:p w14:paraId="5D5A48DE">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vertAlign w:val="baseline"/>
                      <w:lang w:val="en-US" w:eastAsia="zh-CN" w:bidi="en-US"/>
                    </w:rPr>
                  </w:pPr>
                  <w:r>
                    <w:rPr>
                      <w:rFonts w:hint="default" w:ascii="Times New Roman" w:hAnsi="Times New Roman" w:eastAsia="宋体" w:cs="Times New Roman"/>
                      <w:caps w:val="0"/>
                      <w:color w:val="auto"/>
                      <w:spacing w:val="0"/>
                      <w:position w:val="0"/>
                      <w:sz w:val="21"/>
                      <w:szCs w:val="21"/>
                      <w:highlight w:val="none"/>
                      <w:lang w:val="en-US" w:eastAsia="zh-CN"/>
                    </w:rPr>
                    <w:t>2.0</w:t>
                  </w:r>
                </w:p>
              </w:tc>
            </w:tr>
          </w:tbl>
          <w:p w14:paraId="666E4467">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6.4.1 机房应设有观察窗或摄像监控装置，其设置的位置应便于观察到受检者状态及防护门开闭情况。</w:t>
            </w:r>
          </w:p>
          <w:p w14:paraId="4FF82E48">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6.4.2 机房内不应堆放与该设备诊断工作无关的杂物。</w:t>
            </w:r>
          </w:p>
          <w:p w14:paraId="43567F53">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6.4.3 机房应设置动力通风装置，并保持良好的通风。</w:t>
            </w:r>
          </w:p>
          <w:p w14:paraId="7AADE40A">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6.4.4 机房门外应有电离辐射警告标志；机房门上方应有醒目的工作状态指示灯，灯箱上应设置如“射线有害、灯亮勿入”的可视警示语句；候诊区应设置放射防护注意事项告知栏。</w:t>
            </w:r>
          </w:p>
          <w:p w14:paraId="02105446">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6.4.5 平开机房门应有自动闭门装置；推拉式机房门应设有曝光时关闭机房门的管理措施；工作状态 指示灯能与机房门有效关联。</w:t>
            </w:r>
          </w:p>
          <w:p w14:paraId="096733E1">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6.4.6 电动推拉门宜设置防夹装置。</w:t>
            </w:r>
          </w:p>
          <w:p w14:paraId="1F211F1B">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6.5.1 每台X射线设备根据工作内容，现场应配备不少于表7-5基本种类要求的工作人员、受检者防护用品与辅助防护设施，其数量应满足开展工作需要，对陪检者应至少配备铅橡胶防护衣。</w:t>
            </w:r>
          </w:p>
          <w:p w14:paraId="42EF22FD">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6.5.3除介入防护手套外，防护用品和辅助防护设施的铅当量应不小于0.25mmPb；介入防护手套铅当量应不小于0.025mmPb；甲状腺、性腺防护用品铅当量应不小于0.5mmPb；移动铅防护屏风铅当量应不小于2mmPb。</w:t>
            </w:r>
          </w:p>
          <w:p w14:paraId="04844017">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firstLine="480" w:firstLineChars="200"/>
              <w:textAlignment w:val="auto"/>
              <w:rPr>
                <w:rFonts w:hint="default" w:ascii="Times New Roman" w:hAnsi="Times New Roman" w:eastAsia="宋体" w:cs="Times New Roman"/>
                <w:b w:val="0"/>
                <w:bCs w:val="0"/>
                <w:caps w:val="0"/>
                <w:color w:val="auto"/>
                <w:spacing w:val="0"/>
                <w:position w:val="0"/>
                <w:sz w:val="24"/>
                <w:szCs w:val="22"/>
                <w:highlight w:val="none"/>
                <w:lang w:val="en-US" w:eastAsia="zh-CN" w:bidi="en-US"/>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6.5.4应为儿童的X射线检查配备保护相应组织和器官的防护用品，防护用品和辅助防护设施的铅当量应不小于0.5mmPb。</w:t>
            </w:r>
          </w:p>
          <w:p w14:paraId="70D7B3D9">
            <w:pPr>
              <w:pStyle w:val="39"/>
              <w:keepNext w:val="0"/>
              <w:keepLines w:val="0"/>
              <w:suppressLineNumbers w:val="0"/>
              <w:spacing w:before="0" w:beforeAutospacing="0" w:after="0" w:afterAutospacing="0"/>
              <w:ind w:left="0" w:leftChars="0" w:right="72" w:rightChars="30" w:firstLine="480"/>
              <w:jc w:val="both"/>
              <w:rPr>
                <w:rFonts w:hint="default" w:ascii="Times New Roman" w:hAnsi="Times New Roman" w:eastAsia="宋体" w:cs="Times New Roman"/>
                <w:b w:val="0"/>
                <w:bCs w:val="0"/>
                <w:caps w:val="0"/>
                <w:color w:val="auto"/>
                <w:spacing w:val="0"/>
                <w:position w:val="0"/>
                <w:highlight w:val="none"/>
                <w:lang w:eastAsia="zh-CN"/>
              </w:rPr>
            </w:pPr>
            <w:r>
              <w:rPr>
                <w:rFonts w:hint="default" w:ascii="Times New Roman" w:hAnsi="Times New Roman" w:eastAsia="宋体" w:cs="Times New Roman"/>
                <w:b w:val="0"/>
                <w:bCs w:val="0"/>
                <w:caps w:val="0"/>
                <w:color w:val="auto"/>
                <w:spacing w:val="0"/>
                <w:position w:val="0"/>
                <w:sz w:val="24"/>
                <w:szCs w:val="22"/>
                <w:highlight w:val="none"/>
                <w:lang w:val="en-US" w:eastAsia="zh-CN" w:bidi="en-US"/>
              </w:rPr>
              <w:t>6.5.5个人防护用品不使用时，应妥善存放，不应折叠放置，以防止断裂。对于移动式X射线设备使用频繁的场所（如：重症监护、危重病人救治、骨科复位等场所），应配备足够数量的移动铅防护屏风。</w:t>
            </w:r>
          </w:p>
          <w:p w14:paraId="6A6A9107">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500" w:lineRule="exact"/>
              <w:ind w:left="0" w:right="0" w:rightChars="0"/>
              <w:jc w:val="center"/>
              <w:textAlignment w:val="auto"/>
              <w:rPr>
                <w:rFonts w:hint="default" w:ascii="Times New Roman" w:hAnsi="Times New Roman" w:eastAsia="宋体" w:cs="Times New Roman"/>
                <w:caps w:val="0"/>
                <w:color w:val="auto"/>
                <w:spacing w:val="0"/>
                <w:position w:val="0"/>
                <w:sz w:val="21"/>
                <w:szCs w:val="21"/>
                <w:highlight w:val="none"/>
                <w:lang w:val="en-US" w:eastAsia="zh-CN"/>
              </w:rPr>
            </w:pPr>
            <w:r>
              <w:rPr>
                <w:rFonts w:hint="default" w:ascii="Times New Roman" w:hAnsi="Times New Roman" w:eastAsia="宋体" w:cs="Times New Roman"/>
                <w:b/>
                <w:bCs/>
                <w:caps w:val="0"/>
                <w:color w:val="auto"/>
                <w:spacing w:val="0"/>
                <w:position w:val="0"/>
                <w:sz w:val="21"/>
                <w:szCs w:val="21"/>
                <w:highlight w:val="none"/>
                <w:lang w:val="en-US" w:eastAsia="zh-CN" w:bidi="en-US"/>
              </w:rPr>
              <w:t>表7-5 个人</w:t>
            </w:r>
            <w:r>
              <w:rPr>
                <w:rFonts w:hint="default" w:ascii="Times New Roman" w:hAnsi="Times New Roman" w:eastAsia="宋体" w:cs="Times New Roman"/>
                <w:b/>
                <w:bCs/>
                <w:caps w:val="0"/>
                <w:color w:val="auto"/>
                <w:spacing w:val="0"/>
                <w:position w:val="0"/>
                <w:sz w:val="21"/>
                <w:szCs w:val="21"/>
                <w:highlight w:val="none"/>
                <w:lang w:val="en-US" w:eastAsia="zh-CN"/>
              </w:rPr>
              <w:t>防护用品和辅助防护设施配置要求</w:t>
            </w:r>
          </w:p>
          <w:tbl>
            <w:tblPr>
              <w:tblStyle w:val="2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784"/>
              <w:gridCol w:w="2106"/>
              <w:gridCol w:w="1757"/>
              <w:gridCol w:w="2102"/>
            </w:tblGrid>
            <w:tr w14:paraId="4901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0" w:type="dxa"/>
                  <w:vMerge w:val="restart"/>
                  <w:tcBorders>
                    <w:tl2br w:val="nil"/>
                    <w:tr2bl w:val="nil"/>
                  </w:tcBorders>
                  <w:noWrap w:val="0"/>
                  <w:vAlign w:val="center"/>
                </w:tcPr>
                <w:p w14:paraId="0A94A0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color w:val="auto"/>
                      <w:spacing w:val="0"/>
                      <w:position w:val="0"/>
                      <w:sz w:val="21"/>
                      <w:szCs w:val="21"/>
                    </w:rPr>
                    <w:t>放射检查类型</w:t>
                  </w:r>
                </w:p>
              </w:tc>
              <w:tc>
                <w:tcPr>
                  <w:tcW w:w="4083" w:type="dxa"/>
                  <w:gridSpan w:val="2"/>
                  <w:tcBorders>
                    <w:tl2br w:val="nil"/>
                    <w:tr2bl w:val="nil"/>
                  </w:tcBorders>
                  <w:noWrap w:val="0"/>
                  <w:vAlign w:val="center"/>
                </w:tcPr>
                <w:p w14:paraId="5E4D3E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rPr>
                  </w:pPr>
                  <w:r>
                    <w:rPr>
                      <w:rFonts w:hint="default" w:ascii="Times New Roman" w:hAnsi="Times New Roman" w:eastAsia="宋体" w:cs="Times New Roman"/>
                      <w:b/>
                      <w:color w:val="auto"/>
                      <w:spacing w:val="0"/>
                      <w:position w:val="0"/>
                      <w:sz w:val="21"/>
                      <w:szCs w:val="21"/>
                    </w:rPr>
                    <w:t>工作人员</w:t>
                  </w:r>
                </w:p>
              </w:tc>
              <w:tc>
                <w:tcPr>
                  <w:tcW w:w="4050" w:type="dxa"/>
                  <w:gridSpan w:val="2"/>
                  <w:tcBorders>
                    <w:tl2br w:val="nil"/>
                    <w:tr2bl w:val="nil"/>
                  </w:tcBorders>
                  <w:noWrap w:val="0"/>
                  <w:vAlign w:val="center"/>
                </w:tcPr>
                <w:p w14:paraId="141463F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rPr>
                  </w:pPr>
                  <w:r>
                    <w:rPr>
                      <w:rFonts w:hint="default" w:ascii="Times New Roman" w:hAnsi="Times New Roman" w:eastAsia="宋体" w:cs="Times New Roman"/>
                      <w:b/>
                      <w:color w:val="auto"/>
                      <w:spacing w:val="0"/>
                      <w:position w:val="0"/>
                      <w:sz w:val="21"/>
                      <w:szCs w:val="21"/>
                    </w:rPr>
                    <w:t>患者和受检者</w:t>
                  </w:r>
                </w:p>
              </w:tc>
            </w:tr>
            <w:tr w14:paraId="134F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0" w:type="dxa"/>
                  <w:vMerge w:val="continue"/>
                  <w:tcBorders>
                    <w:tl2br w:val="nil"/>
                    <w:tr2bl w:val="nil"/>
                  </w:tcBorders>
                  <w:noWrap w:val="0"/>
                  <w:vAlign w:val="center"/>
                </w:tcPr>
                <w:p w14:paraId="0D14C6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vertAlign w:val="baseline"/>
                      <w:lang w:eastAsia="zh-CN"/>
                    </w:rPr>
                  </w:pPr>
                </w:p>
              </w:tc>
              <w:tc>
                <w:tcPr>
                  <w:tcW w:w="1871" w:type="dxa"/>
                  <w:tcBorders>
                    <w:tl2br w:val="nil"/>
                    <w:tr2bl w:val="nil"/>
                  </w:tcBorders>
                  <w:noWrap w:val="0"/>
                  <w:vAlign w:val="center"/>
                </w:tcPr>
                <w:p w14:paraId="50BF3BC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color w:val="auto"/>
                      <w:spacing w:val="0"/>
                      <w:position w:val="0"/>
                      <w:sz w:val="21"/>
                      <w:szCs w:val="21"/>
                    </w:rPr>
                    <w:t>个人防护用品</w:t>
                  </w:r>
                </w:p>
              </w:tc>
              <w:tc>
                <w:tcPr>
                  <w:tcW w:w="2212" w:type="dxa"/>
                  <w:tcBorders>
                    <w:tl2br w:val="nil"/>
                    <w:tr2bl w:val="nil"/>
                  </w:tcBorders>
                  <w:noWrap w:val="0"/>
                  <w:vAlign w:val="center"/>
                </w:tcPr>
                <w:p w14:paraId="16B376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color w:val="auto"/>
                      <w:spacing w:val="0"/>
                      <w:position w:val="0"/>
                      <w:sz w:val="21"/>
                      <w:szCs w:val="21"/>
                    </w:rPr>
                    <w:t>辅助防护</w:t>
                  </w:r>
                  <w:r>
                    <w:rPr>
                      <w:rFonts w:hint="default" w:ascii="Times New Roman" w:hAnsi="Times New Roman" w:eastAsia="宋体" w:cs="Times New Roman"/>
                      <w:b/>
                      <w:color w:val="auto"/>
                      <w:spacing w:val="0"/>
                      <w:position w:val="0"/>
                      <w:sz w:val="21"/>
                      <w:szCs w:val="21"/>
                      <w:lang w:eastAsia="zh-CN"/>
                    </w:rPr>
                    <w:t>设施</w:t>
                  </w:r>
                </w:p>
              </w:tc>
              <w:tc>
                <w:tcPr>
                  <w:tcW w:w="1843" w:type="dxa"/>
                  <w:tcBorders>
                    <w:tl2br w:val="nil"/>
                    <w:tr2bl w:val="nil"/>
                  </w:tcBorders>
                  <w:noWrap w:val="0"/>
                  <w:vAlign w:val="center"/>
                </w:tcPr>
                <w:p w14:paraId="22F21BC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color w:val="auto"/>
                      <w:spacing w:val="0"/>
                      <w:position w:val="0"/>
                      <w:sz w:val="21"/>
                      <w:szCs w:val="21"/>
                    </w:rPr>
                    <w:t>个人防护用品</w:t>
                  </w:r>
                </w:p>
              </w:tc>
              <w:tc>
                <w:tcPr>
                  <w:tcW w:w="2207" w:type="dxa"/>
                  <w:tcBorders>
                    <w:tl2br w:val="nil"/>
                    <w:tr2bl w:val="nil"/>
                  </w:tcBorders>
                  <w:noWrap w:val="0"/>
                  <w:vAlign w:val="center"/>
                </w:tcPr>
                <w:p w14:paraId="02C60E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aps w:val="0"/>
                      <w:color w:val="auto"/>
                      <w:spacing w:val="0"/>
                      <w:position w:val="0"/>
                      <w:sz w:val="21"/>
                      <w:szCs w:val="21"/>
                      <w:highlight w:val="none"/>
                      <w:vertAlign w:val="baseline"/>
                      <w:lang w:eastAsia="zh-CN"/>
                    </w:rPr>
                  </w:pPr>
                  <w:r>
                    <w:rPr>
                      <w:rFonts w:hint="default" w:ascii="Times New Roman" w:hAnsi="Times New Roman" w:eastAsia="宋体" w:cs="Times New Roman"/>
                      <w:b/>
                      <w:color w:val="auto"/>
                      <w:spacing w:val="0"/>
                      <w:position w:val="0"/>
                      <w:sz w:val="21"/>
                      <w:szCs w:val="21"/>
                    </w:rPr>
                    <w:t>辅助防护</w:t>
                  </w:r>
                  <w:r>
                    <w:rPr>
                      <w:rFonts w:hint="default" w:ascii="Times New Roman" w:hAnsi="Times New Roman" w:eastAsia="宋体" w:cs="Times New Roman"/>
                      <w:b/>
                      <w:color w:val="auto"/>
                      <w:spacing w:val="0"/>
                      <w:position w:val="0"/>
                      <w:sz w:val="21"/>
                      <w:szCs w:val="21"/>
                      <w:lang w:eastAsia="zh-CN"/>
                    </w:rPr>
                    <w:t>设施</w:t>
                  </w:r>
                </w:p>
              </w:tc>
            </w:tr>
            <w:tr w14:paraId="7EC8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0" w:type="dxa"/>
                  <w:tcBorders>
                    <w:tl2br w:val="nil"/>
                    <w:tr2bl w:val="nil"/>
                  </w:tcBorders>
                  <w:noWrap w:val="0"/>
                  <w:vAlign w:val="center"/>
                </w:tcPr>
                <w:p w14:paraId="33E7C6B2">
                  <w:pPr>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olor w:val="auto"/>
                      <w:spacing w:val="0"/>
                      <w:position w:val="0"/>
                      <w:sz w:val="21"/>
                      <w:szCs w:val="21"/>
                    </w:rPr>
                    <w:t>放射诊断学用X射线设备格式透视、摄影</w:t>
                  </w:r>
                </w:p>
              </w:tc>
              <w:tc>
                <w:tcPr>
                  <w:tcW w:w="1871" w:type="dxa"/>
                  <w:tcBorders>
                    <w:tl2br w:val="nil"/>
                    <w:tr2bl w:val="nil"/>
                  </w:tcBorders>
                  <w:noWrap w:val="0"/>
                  <w:vAlign w:val="center"/>
                </w:tcPr>
                <w:p w14:paraId="3C1599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aps w:val="0"/>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rPr>
                    <w:t>--</w:t>
                  </w:r>
                </w:p>
              </w:tc>
              <w:tc>
                <w:tcPr>
                  <w:tcW w:w="2212" w:type="dxa"/>
                  <w:tcBorders>
                    <w:tl2br w:val="nil"/>
                    <w:tr2bl w:val="nil"/>
                  </w:tcBorders>
                  <w:noWrap w:val="0"/>
                  <w:vAlign w:val="center"/>
                </w:tcPr>
                <w:p w14:paraId="42EC8C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olor w:val="auto"/>
                      <w:spacing w:val="0"/>
                      <w:position w:val="0"/>
                      <w:sz w:val="21"/>
                      <w:szCs w:val="21"/>
                    </w:rPr>
                    <w:t>--</w:t>
                  </w:r>
                </w:p>
              </w:tc>
              <w:tc>
                <w:tcPr>
                  <w:tcW w:w="1843" w:type="dxa"/>
                  <w:tcBorders>
                    <w:tl2br w:val="nil"/>
                    <w:tr2bl w:val="nil"/>
                  </w:tcBorders>
                  <w:noWrap w:val="0"/>
                  <w:vAlign w:val="center"/>
                </w:tcPr>
                <w:p w14:paraId="73D1A80F">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olor w:val="auto"/>
                      <w:spacing w:val="0"/>
                      <w:position w:val="0"/>
                      <w:sz w:val="21"/>
                      <w:szCs w:val="21"/>
                    </w:rPr>
                    <w:t>铅防护围裙（方形）或方巾、铅颈套、</w:t>
                  </w:r>
                  <w:r>
                    <w:rPr>
                      <w:rFonts w:hint="default" w:ascii="Times New Roman" w:hAnsi="Times New Roman" w:eastAsia="宋体" w:cs="Times New Roman"/>
                      <w:color w:val="auto"/>
                      <w:spacing w:val="0"/>
                      <w:position w:val="0"/>
                      <w:sz w:val="21"/>
                      <w:szCs w:val="21"/>
                      <w:lang w:eastAsia="zh-CN"/>
                    </w:rPr>
                    <w:t>铅橡胶帽子</w:t>
                  </w:r>
                  <w:r>
                    <w:rPr>
                      <w:rFonts w:hint="eastAsia" w:cs="Times New Roman"/>
                      <w:color w:val="auto"/>
                      <w:spacing w:val="0"/>
                      <w:position w:val="0"/>
                      <w:sz w:val="21"/>
                      <w:szCs w:val="21"/>
                      <w:lang w:eastAsia="zh-CN"/>
                    </w:rPr>
                    <w:t>、铅</w:t>
                  </w:r>
                  <w:r>
                    <w:rPr>
                      <w:rFonts w:hint="eastAsia" w:cs="Times New Roman"/>
                      <w:color w:val="auto"/>
                      <w:spacing w:val="0"/>
                      <w:position w:val="0"/>
                      <w:sz w:val="21"/>
                      <w:szCs w:val="21"/>
                      <w:lang w:val="en-US" w:eastAsia="zh-CN"/>
                    </w:rPr>
                    <w:t>手套</w:t>
                  </w:r>
                </w:p>
              </w:tc>
              <w:tc>
                <w:tcPr>
                  <w:tcW w:w="2207" w:type="dxa"/>
                  <w:tcBorders>
                    <w:tl2br w:val="nil"/>
                    <w:tr2bl w:val="nil"/>
                  </w:tcBorders>
                  <w:noWrap w:val="0"/>
                  <w:vAlign w:val="center"/>
                </w:tcPr>
                <w:p w14:paraId="735AA50C">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olor w:val="auto"/>
                      <w:spacing w:val="0"/>
                      <w:position w:val="0"/>
                      <w:sz w:val="21"/>
                      <w:szCs w:val="21"/>
                    </w:rPr>
                    <w:t>或可调节防护窗口的立位防护屏</w:t>
                  </w:r>
                  <w:r>
                    <w:rPr>
                      <w:rFonts w:hint="default" w:ascii="Times New Roman" w:hAnsi="Times New Roman" w:eastAsia="宋体" w:cs="Times New Roman"/>
                      <w:color w:val="auto"/>
                      <w:spacing w:val="0"/>
                      <w:position w:val="0"/>
                      <w:sz w:val="21"/>
                      <w:szCs w:val="21"/>
                      <w:lang w:eastAsia="zh-CN"/>
                    </w:rPr>
                    <w:t>；确</w:t>
                  </w:r>
                  <w:r>
                    <w:rPr>
                      <w:rFonts w:hint="default" w:ascii="Times New Roman" w:hAnsi="Times New Roman" w:eastAsia="宋体" w:cs="Times New Roman"/>
                      <w:color w:val="auto"/>
                      <w:spacing w:val="0"/>
                      <w:position w:val="0"/>
                      <w:sz w:val="21"/>
                      <w:szCs w:val="21"/>
                    </w:rPr>
                    <w:cr/>
                  </w:r>
                  <w:r>
                    <w:rPr>
                      <w:rFonts w:hint="default" w:ascii="Times New Roman" w:hAnsi="Times New Roman" w:eastAsia="宋体" w:cs="Times New Roman"/>
                      <w:color w:val="auto"/>
                      <w:spacing w:val="0"/>
                      <w:position w:val="0"/>
                      <w:sz w:val="21"/>
                      <w:szCs w:val="21"/>
                    </w:rPr>
                    <w:t>定特殊受检者体位的各种设备</w:t>
                  </w:r>
                </w:p>
              </w:tc>
            </w:tr>
            <w:tr w14:paraId="0AE8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0" w:type="dxa"/>
                  <w:tcBorders>
                    <w:tl2br w:val="nil"/>
                    <w:tr2bl w:val="nil"/>
                  </w:tcBorders>
                  <w:noWrap w:val="0"/>
                  <w:vAlign w:val="center"/>
                </w:tcPr>
                <w:p w14:paraId="02C7A27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olor w:val="auto"/>
                      <w:spacing w:val="0"/>
                      <w:position w:val="0"/>
                      <w:sz w:val="21"/>
                      <w:szCs w:val="21"/>
                    </w:rPr>
                    <w:t>介入放射学操作</w:t>
                  </w:r>
                </w:p>
              </w:tc>
              <w:tc>
                <w:tcPr>
                  <w:tcW w:w="1871" w:type="dxa"/>
                  <w:tcBorders>
                    <w:tl2br w:val="nil"/>
                    <w:tr2bl w:val="nil"/>
                  </w:tcBorders>
                  <w:noWrap w:val="0"/>
                  <w:vAlign w:val="center"/>
                </w:tcPr>
                <w:p w14:paraId="6293E285">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铅橡胶围裙、铅橡胶颈套、铅防护眼镜、介入防护手套</w:t>
                  </w:r>
                </w:p>
                <w:p w14:paraId="302B37D9">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选配：铅橡胶帽子</w:t>
                  </w:r>
                </w:p>
              </w:tc>
              <w:tc>
                <w:tcPr>
                  <w:tcW w:w="2212" w:type="dxa"/>
                  <w:tcBorders>
                    <w:tl2br w:val="nil"/>
                    <w:tr2bl w:val="nil"/>
                  </w:tcBorders>
                  <w:noWrap w:val="0"/>
                  <w:vAlign w:val="center"/>
                </w:tcPr>
                <w:p w14:paraId="607DE2D3">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铅悬挂防护屏/铅防护吊帘、床侧防护帘/床侧防护屏</w:t>
                  </w:r>
                </w:p>
                <w:p w14:paraId="373B9561">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选配：移动铅防护屏风</w:t>
                  </w:r>
                </w:p>
              </w:tc>
              <w:tc>
                <w:tcPr>
                  <w:tcW w:w="1843" w:type="dxa"/>
                  <w:tcBorders>
                    <w:tl2br w:val="nil"/>
                    <w:tr2bl w:val="nil"/>
                  </w:tcBorders>
                  <w:noWrap w:val="0"/>
                  <w:vAlign w:val="center"/>
                </w:tcPr>
                <w:p w14:paraId="6C231CF0">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铅橡胶性腺防护围裙（方形）或方巾、铅橡胶颈套</w:t>
                  </w:r>
                </w:p>
                <w:p w14:paraId="0E8C3D4F">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选配：铅橡胶帽子</w:t>
                  </w:r>
                </w:p>
              </w:tc>
              <w:tc>
                <w:tcPr>
                  <w:tcW w:w="2207" w:type="dxa"/>
                  <w:tcBorders>
                    <w:tl2br w:val="nil"/>
                    <w:tr2bl w:val="nil"/>
                  </w:tcBorders>
                  <w:noWrap w:val="0"/>
                  <w:vAlign w:val="center"/>
                </w:tcPr>
                <w:p w14:paraId="6310640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olor w:val="auto"/>
                      <w:spacing w:val="0"/>
                      <w:position w:val="0"/>
                      <w:sz w:val="21"/>
                      <w:szCs w:val="21"/>
                    </w:rPr>
                    <w:t>--</w:t>
                  </w:r>
                </w:p>
              </w:tc>
            </w:tr>
            <w:tr w14:paraId="0629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3" w:type="dxa"/>
                  <w:gridSpan w:val="5"/>
                  <w:tcBorders>
                    <w:tl2br w:val="nil"/>
                    <w:tr2bl w:val="nil"/>
                  </w:tcBorders>
                  <w:noWrap w:val="0"/>
                  <w:vAlign w:val="center"/>
                </w:tcPr>
                <w:p w14:paraId="7826E19C">
                  <w:pPr>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olor w:val="auto"/>
                      <w:spacing w:val="0"/>
                      <w:position w:val="0"/>
                      <w:sz w:val="21"/>
                      <w:szCs w:val="21"/>
                    </w:rPr>
                    <w:t>注：</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表示不需要求。</w:t>
                  </w:r>
                </w:p>
              </w:tc>
            </w:tr>
          </w:tbl>
          <w:p w14:paraId="487D011F">
            <w:pPr>
              <w:keepNext w:val="0"/>
              <w:keepLines w:val="0"/>
              <w:widowControl/>
              <w:numPr>
                <w:ilvl w:val="0"/>
                <w:numId w:val="0"/>
              </w:numPr>
              <w:suppressLineNumbers w:val="0"/>
              <w:spacing w:before="0" w:beforeAutospacing="0" w:after="0" w:afterAutospacing="0"/>
              <w:ind w:left="0" w:leftChars="0" w:right="0" w:rightChars="0" w:firstLine="482" w:firstLineChars="200"/>
              <w:jc w:val="left"/>
              <w:rPr>
                <w:rFonts w:hint="default" w:ascii="Times New Roman" w:hAnsi="Times New Roman" w:eastAsia="宋体" w:cs="Times New Roman"/>
                <w:b/>
                <w:bCs/>
                <w:color w:val="auto"/>
                <w:spacing w:val="0"/>
                <w:kern w:val="0"/>
                <w:position w:val="0"/>
                <w:sz w:val="24"/>
                <w:szCs w:val="24"/>
                <w:lang w:val="en-US" w:eastAsia="zh-CN" w:bidi="ar"/>
              </w:rPr>
            </w:pPr>
            <w:r>
              <w:rPr>
                <w:rFonts w:hint="default" w:ascii="Times New Roman" w:hAnsi="Times New Roman" w:eastAsia="宋体" w:cs="Times New Roman"/>
                <w:b/>
                <w:bCs/>
                <w:color w:val="auto"/>
                <w:spacing w:val="0"/>
                <w:kern w:val="0"/>
                <w:position w:val="0"/>
                <w:sz w:val="24"/>
                <w:szCs w:val="24"/>
                <w:lang w:val="en-US" w:eastAsia="zh-CN" w:bidi="ar"/>
              </w:rPr>
              <w:t>（3）非辐射类污染物排放标准</w:t>
            </w:r>
          </w:p>
          <w:p w14:paraId="48D07C78">
            <w:pPr>
              <w:keepNext w:val="0"/>
              <w:keepLines w:val="0"/>
              <w:widowControl/>
              <w:numPr>
                <w:ilvl w:val="0"/>
                <w:numId w:val="0"/>
              </w:numPr>
              <w:suppressLineNumbers w:val="0"/>
              <w:spacing w:before="0" w:beforeAutospacing="0" w:after="0" w:afterAutospacing="0"/>
              <w:ind w:left="480" w:leftChars="200" w:right="0" w:rightChars="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①废气</w:t>
            </w:r>
          </w:p>
          <w:p w14:paraId="5103C38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施工期无组织粉尘排放执行《大气污染物综合排放标准》（GB16297-1996）表2无组织排放监控浓度限值，颗粒物≤1.0mg/m</w:t>
            </w:r>
            <w:r>
              <w:rPr>
                <w:rFonts w:hint="default" w:ascii="Times New Roman" w:hAnsi="Times New Roman" w:eastAsia="宋体" w:cs="Times New Roman"/>
                <w:color w:val="auto"/>
                <w:spacing w:val="0"/>
                <w:kern w:val="0"/>
                <w:position w:val="0"/>
                <w:sz w:val="15"/>
                <w:szCs w:val="15"/>
                <w:vertAlign w:val="superscript"/>
                <w:lang w:val="en-US" w:eastAsia="zh-CN" w:bidi="ar"/>
              </w:rPr>
              <w:t>3</w:t>
            </w:r>
            <w:r>
              <w:rPr>
                <w:rFonts w:hint="default" w:ascii="Times New Roman" w:hAnsi="Times New Roman" w:eastAsia="宋体" w:cs="Times New Roman"/>
                <w:color w:val="auto"/>
                <w:spacing w:val="0"/>
                <w:kern w:val="0"/>
                <w:position w:val="0"/>
                <w:sz w:val="24"/>
                <w:szCs w:val="24"/>
                <w:lang w:val="en-US" w:eastAsia="zh-CN" w:bidi="ar"/>
              </w:rPr>
              <w:t>。</w:t>
            </w:r>
          </w:p>
          <w:p w14:paraId="5A25CD7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②噪声</w:t>
            </w:r>
          </w:p>
          <w:p w14:paraId="4B878CD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施工期噪声执行</w:t>
            </w:r>
            <w:r>
              <w:rPr>
                <w:rFonts w:hint="eastAsia" w:cs="Times New Roman"/>
                <w:color w:val="auto"/>
                <w:spacing w:val="0"/>
                <w:kern w:val="0"/>
                <w:position w:val="0"/>
                <w:sz w:val="24"/>
                <w:szCs w:val="24"/>
                <w:lang w:val="en-US" w:eastAsia="zh-CN" w:bidi="ar"/>
              </w:rPr>
              <w:t>《建筑施工噪声排放标准》（GB 12523-2025），即建筑施工过程中场界噪声等效声级应满足：</w:t>
            </w:r>
            <w:r>
              <w:rPr>
                <w:rFonts w:hint="default" w:ascii="Times New Roman" w:hAnsi="Times New Roman" w:eastAsia="宋体" w:cs="Times New Roman"/>
                <w:color w:val="auto"/>
                <w:spacing w:val="0"/>
                <w:kern w:val="0"/>
                <w:position w:val="0"/>
                <w:sz w:val="24"/>
                <w:szCs w:val="24"/>
                <w:lang w:val="en-US" w:eastAsia="zh-CN" w:bidi="ar"/>
              </w:rPr>
              <w:t>昼间 ≤70dB(A)，夜间≤55dB(A)。</w:t>
            </w:r>
          </w:p>
          <w:p w14:paraId="7C49304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运营期项目区执行《工业企业厂界环境噪声排放标准》</w:t>
            </w:r>
            <w:r>
              <w:rPr>
                <w:rFonts w:hint="eastAsia" w:cs="Times New Roman"/>
                <w:color w:val="auto"/>
                <w:spacing w:val="0"/>
                <w:kern w:val="0"/>
                <w:position w:val="0"/>
                <w:sz w:val="24"/>
                <w:szCs w:val="24"/>
                <w:lang w:val="en-US" w:eastAsia="zh-CN" w:bidi="ar"/>
              </w:rPr>
              <w:t>（GB12348-2008）</w:t>
            </w:r>
            <w:r>
              <w:rPr>
                <w:rFonts w:hint="default" w:ascii="Times New Roman" w:hAnsi="Times New Roman" w:eastAsia="宋体" w:cs="Times New Roman"/>
                <w:color w:val="auto"/>
                <w:spacing w:val="0"/>
                <w:kern w:val="0"/>
                <w:position w:val="0"/>
                <w:sz w:val="24"/>
                <w:szCs w:val="24"/>
                <w:lang w:val="en-US" w:eastAsia="zh-CN" w:bidi="ar"/>
              </w:rPr>
              <w:t>中2类标准，</w:t>
            </w:r>
            <w:r>
              <w:rPr>
                <w:rFonts w:hint="eastAsia" w:cs="Times New Roman"/>
                <w:color w:val="auto"/>
                <w:spacing w:val="0"/>
                <w:kern w:val="0"/>
                <w:position w:val="0"/>
                <w:sz w:val="24"/>
                <w:szCs w:val="24"/>
                <w:lang w:val="en-US" w:eastAsia="zh-CN" w:bidi="ar"/>
              </w:rPr>
              <w:t>即工业企业厂界环境噪声应满足：</w:t>
            </w:r>
            <w:r>
              <w:rPr>
                <w:rFonts w:hint="default" w:ascii="Times New Roman" w:hAnsi="Times New Roman" w:eastAsia="宋体" w:cs="Times New Roman"/>
                <w:color w:val="auto"/>
                <w:spacing w:val="0"/>
                <w:kern w:val="0"/>
                <w:position w:val="0"/>
                <w:sz w:val="24"/>
                <w:szCs w:val="24"/>
                <w:lang w:val="en-US" w:eastAsia="zh-CN" w:bidi="ar"/>
              </w:rPr>
              <w:t>昼间≤60dB(A)，夜间≤50dB(A)。</w:t>
            </w:r>
          </w:p>
          <w:p w14:paraId="3317279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③废水</w:t>
            </w:r>
          </w:p>
          <w:p w14:paraId="6B9390E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工作人员生活污水及手术过程中产生的医疗废水将依托曲靖市第二人民医院主体已建的污水处理站进行处置，医疗废水经处理达标后排至市政污水管网最终进入曲靖市污水处理厂。</w:t>
            </w:r>
          </w:p>
          <w:p w14:paraId="6366181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④固体废物</w:t>
            </w:r>
          </w:p>
          <w:p w14:paraId="094EE8B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a.医疗废物</w:t>
            </w:r>
          </w:p>
          <w:p w14:paraId="28504DB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运营期产生医疗废物执行《医疗废物管理条例》《医疗废物集中处置技术规范（试行）》（环发〔2003〕206号）、《医疗废物专用包装袋、容器和警示标志标准》（HJ421-2008）、《危险废物贮存污染控制标准》（GB 18597-2023），最终交由有资质单位处置。</w:t>
            </w:r>
          </w:p>
          <w:p w14:paraId="2D8CEFF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b.生活垃圾</w:t>
            </w:r>
          </w:p>
          <w:p w14:paraId="4939845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kern w:val="0"/>
                <w:position w:val="0"/>
                <w:sz w:val="24"/>
                <w:szCs w:val="24"/>
                <w:lang w:val="en-US" w:eastAsia="zh-CN" w:bidi="ar"/>
              </w:rPr>
              <w:t>生活垃圾按照《生活垃圾处理技术指南》遵循减量化、资源化、无害化的原则，在医院内设置垃圾收集点，实行生活垃圾袋装收集和分类收集。</w:t>
            </w:r>
          </w:p>
        </w:tc>
      </w:tr>
    </w:tbl>
    <w:p w14:paraId="605ECB85">
      <w:pPr>
        <w:spacing w:line="20" w:lineRule="exact"/>
        <w:ind w:firstLine="0" w:firstLineChars="0"/>
        <w:rPr>
          <w:rFonts w:hint="default" w:ascii="Times New Roman" w:hAnsi="Times New Roman" w:eastAsia="宋体" w:cs="Times New Roman"/>
          <w:color w:val="auto"/>
          <w:spacing w:val="0"/>
          <w:position w:val="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ED8A800">
      <w:pPr>
        <w:pStyle w:val="2"/>
        <w:rPr>
          <w:rFonts w:hint="default" w:ascii="Times New Roman" w:hAnsi="Times New Roman" w:eastAsia="宋体" w:cs="Times New Roman"/>
          <w:color w:val="auto"/>
          <w:spacing w:val="0"/>
          <w:position w:val="0"/>
        </w:rPr>
      </w:pPr>
      <w:bookmarkStart w:id="30" w:name="_Toc20355"/>
      <w:r>
        <w:rPr>
          <w:rFonts w:hint="default" w:ascii="Times New Roman" w:hAnsi="Times New Roman" w:eastAsia="宋体" w:cs="Times New Roman"/>
          <w:color w:val="auto"/>
          <w:spacing w:val="0"/>
          <w:position w:val="0"/>
        </w:rPr>
        <w:t>表8环境质量和辐射现状</w:t>
      </w:r>
      <w:bookmarkEnd w:id="30"/>
    </w:p>
    <w:tbl>
      <w:tblPr>
        <w:tblStyle w:val="20"/>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3"/>
      </w:tblGrid>
      <w:tr w14:paraId="7F4D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133" w:type="dxa"/>
            <w:tcBorders>
              <w:top w:val="single" w:color="auto" w:sz="4" w:space="0"/>
              <w:left w:val="single" w:color="auto" w:sz="4" w:space="0"/>
              <w:bottom w:val="single" w:color="auto" w:sz="4" w:space="0"/>
              <w:right w:val="single" w:color="auto" w:sz="4" w:space="0"/>
            </w:tcBorders>
            <w:noWrap w:val="0"/>
            <w:vAlign w:val="top"/>
          </w:tcPr>
          <w:p w14:paraId="37D5D38E">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为使用医用Ⅱ类射线装置，根据项目工作原理及特点，由于本项目依托于医院主体工程进行建设，且项目运行期间主要的环境污染物为DSA在工作状态下发出的X射线电离辐射污染，其对环境空气、地表水、声环境影响较小。故本次评价的环境空气质量、地表水环境质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声环境质量等引用</w:t>
            </w:r>
            <w:r>
              <w:rPr>
                <w:rFonts w:hint="default" w:ascii="Times New Roman" w:hAnsi="Times New Roman" w:eastAsia="宋体" w:cs="Times New Roman"/>
                <w:color w:val="auto"/>
                <w:spacing w:val="0"/>
                <w:position w:val="0"/>
                <w:lang w:val="en-US" w:eastAsia="zh-CN"/>
              </w:rPr>
              <w:t>相关</w:t>
            </w:r>
            <w:r>
              <w:rPr>
                <w:rFonts w:hint="default" w:ascii="Times New Roman" w:hAnsi="Times New Roman" w:eastAsia="宋体" w:cs="Times New Roman"/>
                <w:color w:val="auto"/>
                <w:spacing w:val="0"/>
                <w:position w:val="0"/>
              </w:rPr>
              <w:t>生态环境状况</w:t>
            </w:r>
            <w:r>
              <w:rPr>
                <w:rFonts w:hint="default" w:ascii="Times New Roman" w:hAnsi="Times New Roman" w:eastAsia="宋体" w:cs="Times New Roman"/>
                <w:color w:val="auto"/>
                <w:spacing w:val="0"/>
                <w:position w:val="0"/>
                <w:lang w:val="en-US" w:eastAsia="zh-CN"/>
              </w:rPr>
              <w:t>资料</w:t>
            </w:r>
            <w:r>
              <w:rPr>
                <w:rFonts w:hint="default" w:ascii="Times New Roman" w:hAnsi="Times New Roman" w:eastAsia="宋体" w:cs="Times New Roman"/>
                <w:color w:val="auto"/>
                <w:spacing w:val="0"/>
                <w:position w:val="0"/>
              </w:rPr>
              <w:t>进行评价，本次环境影响评价重点针对评价区域开展辐射环境的现状监测评价。</w:t>
            </w:r>
          </w:p>
          <w:p w14:paraId="210A62BF">
            <w:pPr>
              <w:keepNext w:val="0"/>
              <w:keepLines w:val="0"/>
              <w:suppressLineNumbers w:val="0"/>
              <w:spacing w:before="0" w:beforeAutospacing="0" w:after="0" w:afterAutospacing="0"/>
              <w:ind w:left="0" w:right="0" w:firstLine="562"/>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8.1环境质量现状</w:t>
            </w:r>
          </w:p>
          <w:p w14:paraId="4A24E692">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zh-CN"/>
              </w:rPr>
            </w:pPr>
            <w:r>
              <w:rPr>
                <w:rFonts w:hint="default" w:ascii="Times New Roman" w:hAnsi="Times New Roman" w:eastAsia="宋体" w:cs="Times New Roman"/>
                <w:color w:val="auto"/>
                <w:spacing w:val="0"/>
                <w:position w:val="0"/>
              </w:rPr>
              <w:t>（1）地表水环境</w:t>
            </w:r>
          </w:p>
          <w:p w14:paraId="0266AEF5">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项目位于曲靖市麒麟区麒麟西路287号，经现场调查，项目所在区域周边地表水为北面1.7km的白石江和南面1.9km的潇湘江，白石江和潇湘江在两江公园汇合为潇湘江，潇湘江自西向东最终汇入南盘江（沾益东风闸——陆良响水坝）。根据云南省水利厅发布的《云南省水功能区划（2014年修订）》可知，白石江麒麟开发利用区</w:t>
            </w:r>
            <w:r>
              <w:rPr>
                <w:rFonts w:hint="eastAsia" w:cs="Times New Roman"/>
                <w:color w:val="auto"/>
                <w:spacing w:val="0"/>
                <w:position w:val="0"/>
                <w:lang w:val="en-US" w:eastAsia="zh-CN"/>
              </w:rPr>
              <w:t>：由源头入潇湘江口，全长25.4km，规划2030水平年水质目标为Ⅲ类。</w:t>
            </w:r>
            <w:r>
              <w:rPr>
                <w:rFonts w:hint="default" w:ascii="Times New Roman" w:hAnsi="Times New Roman" w:eastAsia="宋体" w:cs="Times New Roman"/>
                <w:color w:val="auto"/>
                <w:spacing w:val="0"/>
                <w:position w:val="0"/>
                <w:lang w:val="en-US" w:eastAsia="zh-CN"/>
              </w:rPr>
              <w:t>潇湘江麒麟开发利用区：由潇湘水库库区起始至入南盘江口，全长13.0km，流经麒麟区城区，规划</w:t>
            </w:r>
            <w:r>
              <w:rPr>
                <w:rFonts w:hint="eastAsia" w:cs="Times New Roman"/>
                <w:color w:val="auto"/>
                <w:spacing w:val="0"/>
                <w:position w:val="0"/>
                <w:lang w:val="en-US" w:eastAsia="zh-CN"/>
              </w:rPr>
              <w:t>2030</w:t>
            </w:r>
            <w:r>
              <w:rPr>
                <w:rFonts w:hint="default" w:ascii="Times New Roman" w:hAnsi="Times New Roman" w:eastAsia="宋体" w:cs="Times New Roman"/>
                <w:color w:val="auto"/>
                <w:spacing w:val="0"/>
                <w:position w:val="0"/>
                <w:lang w:val="en-US" w:eastAsia="zh-CN"/>
              </w:rPr>
              <w:t>水平年水质目标为Ⅲ类，本项目属于潇湘江麒麟开发利用区</w:t>
            </w:r>
            <w:r>
              <w:rPr>
                <w:rFonts w:hint="eastAsia" w:cs="Times New Roman"/>
                <w:color w:val="auto"/>
                <w:spacing w:val="0"/>
                <w:position w:val="0"/>
                <w:lang w:val="en-US" w:eastAsia="zh-CN"/>
              </w:rPr>
              <w:t>，</w:t>
            </w:r>
            <w:r>
              <w:rPr>
                <w:rFonts w:hint="default" w:ascii="Times New Roman" w:hAnsi="Times New Roman" w:eastAsia="宋体" w:cs="Times New Roman"/>
                <w:color w:val="auto"/>
                <w:spacing w:val="0"/>
                <w:position w:val="0"/>
                <w:lang w:val="en-US" w:eastAsia="zh-CN"/>
              </w:rPr>
              <w:t>故本项目所在区域地表水执行《地表水环境质量标准》（GB3838-2002）</w:t>
            </w:r>
            <w:r>
              <w:rPr>
                <w:rFonts w:hint="default" w:ascii="Times New Roman" w:hAnsi="Times New Roman" w:eastAsia="宋体" w:cs="Times New Roman"/>
                <w:color w:val="auto"/>
                <w:spacing w:val="0"/>
                <w:position w:val="0"/>
                <w:lang w:val="en-US" w:eastAsia="zh-CN"/>
              </w:rPr>
              <w:fldChar w:fldCharType="begin"/>
            </w:r>
            <w:r>
              <w:rPr>
                <w:rFonts w:hint="default" w:ascii="Times New Roman" w:hAnsi="Times New Roman" w:eastAsia="宋体" w:cs="Times New Roman"/>
                <w:color w:val="auto"/>
                <w:spacing w:val="0"/>
                <w:position w:val="0"/>
                <w:lang w:val="en-US" w:eastAsia="zh-CN"/>
              </w:rPr>
              <w:instrText xml:space="preserve"> = 3 \* ROMAN \* MERGEFORMAT </w:instrText>
            </w:r>
            <w:r>
              <w:rPr>
                <w:rFonts w:hint="default" w:ascii="Times New Roman" w:hAnsi="Times New Roman" w:eastAsia="宋体" w:cs="Times New Roman"/>
                <w:color w:val="auto"/>
                <w:spacing w:val="0"/>
                <w:position w:val="0"/>
                <w:lang w:val="en-US" w:eastAsia="zh-CN"/>
              </w:rPr>
              <w:fldChar w:fldCharType="separate"/>
            </w:r>
            <w:r>
              <w:rPr>
                <w:rFonts w:hint="default" w:ascii="Times New Roman" w:hAnsi="Times New Roman" w:eastAsia="宋体" w:cs="Times New Roman"/>
                <w:color w:val="auto"/>
                <w:spacing w:val="0"/>
                <w:position w:val="0"/>
                <w:lang w:val="en-US" w:eastAsia="zh-CN"/>
              </w:rPr>
              <w:t>Ⅲ</w:t>
            </w:r>
            <w:r>
              <w:rPr>
                <w:rFonts w:hint="default" w:ascii="Times New Roman" w:hAnsi="Times New Roman" w:eastAsia="宋体" w:cs="Times New Roman"/>
                <w:color w:val="auto"/>
                <w:spacing w:val="0"/>
                <w:position w:val="0"/>
                <w:lang w:val="en-US" w:eastAsia="zh-CN"/>
              </w:rPr>
              <w:fldChar w:fldCharType="end"/>
            </w:r>
            <w:r>
              <w:rPr>
                <w:rFonts w:hint="default" w:ascii="Times New Roman" w:hAnsi="Times New Roman" w:eastAsia="宋体" w:cs="Times New Roman"/>
                <w:color w:val="auto"/>
                <w:spacing w:val="0"/>
                <w:position w:val="0"/>
                <w:lang w:val="en-US" w:eastAsia="zh-CN"/>
              </w:rPr>
              <w:t xml:space="preserve"> 类标准。</w:t>
            </w:r>
          </w:p>
          <w:p w14:paraId="644301A6">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距离最近的地表水监控断面为响水坝老吴村（南盘江省控断面），位于本项目区下游直线距离约31.43km。根据《曲靖市环境质量年报（2024年）》可知，南盘江省控断面响水坝老吴村的水质类别为Ⅲ类，水质状况良好，与上年同期Ⅲ类水保持一致，满足《地表水环境质量标准》（GB3838-2002）Ⅲ类水质标准。</w:t>
            </w:r>
          </w:p>
          <w:p w14:paraId="37C49542">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因此项目所在区域为地表水环境质量达标区域。</w:t>
            </w:r>
          </w:p>
          <w:p w14:paraId="04C68BEA">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zh-CN"/>
              </w:rPr>
            </w:pPr>
            <w:r>
              <w:rPr>
                <w:rFonts w:hint="default" w:ascii="Times New Roman" w:hAnsi="Times New Roman" w:eastAsia="宋体" w:cs="Times New Roman"/>
                <w:color w:val="auto"/>
                <w:spacing w:val="0"/>
                <w:position w:val="0"/>
                <w:lang w:val="zh-CN"/>
              </w:rPr>
              <w:t>（</w:t>
            </w:r>
            <w:r>
              <w:rPr>
                <w:rFonts w:hint="default" w:ascii="Times New Roman" w:hAnsi="Times New Roman" w:eastAsia="宋体" w:cs="Times New Roman"/>
                <w:color w:val="auto"/>
                <w:spacing w:val="0"/>
                <w:position w:val="0"/>
              </w:rPr>
              <w:t>2</w:t>
            </w:r>
            <w:r>
              <w:rPr>
                <w:rFonts w:hint="default" w:ascii="Times New Roman" w:hAnsi="Times New Roman" w:eastAsia="宋体" w:cs="Times New Roman"/>
                <w:color w:val="auto"/>
                <w:spacing w:val="0"/>
                <w:position w:val="0"/>
                <w:lang w:val="zh-CN"/>
              </w:rPr>
              <w:t>）声环境</w:t>
            </w:r>
          </w:p>
          <w:p w14:paraId="40E47B03">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项目位于曲靖市第二人民医院内，项目所在地属于城市建成区，根据《曲靖市麒麟区声环境功能区划（2019—2029年）》可知，项目所在区域属于声环境功能区2类区，执行《声环境质量标准》（GB3096-2008）2类区标准。根据《曲靖市2025年噪声污染防治信息公告》，2025年，曲靖市城市区域噪声昼间强度等级为二级，评价为“较好”。各类功能区噪声昼间、夜间达标率超过95.8%。全市道路交通噪声昼间强度等级为一级，评价为“好”。区域声环境质量：曲靖市2025年区域噪声监测网格961个，昼间平均等效声级为50.8分贝，噪声强度等级为二级，评价为“较好”。功能区声环境质量：曲靖市2025年各类功能区声环境共监测61个点位，其中1类区15个、2类区21个、3类区10个、4a类区11个、4b类区4个。各类功能区昼间平均声级值均达到50，夜间平均声级值均达到41。各类功能区昼间、夜间达标率均达到89.6%。交通噪声环境质量：曲靖市2025年道路交通噪声监测测点224个，昼间平均等效声级 64.8分贝，噪声强度等级一级，评价为“好”。</w:t>
            </w:r>
          </w:p>
          <w:p w14:paraId="6DB2AA6B">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本项目建设区域属于曲靖市主城区范围内，本项目所在区域达到《声环境质量标准》（GB3096-2008）2类区标准要求。</w:t>
            </w:r>
          </w:p>
          <w:p w14:paraId="11EE6E40">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（3）大气环境</w:t>
            </w:r>
          </w:p>
          <w:p w14:paraId="33965398">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本项目位于</w:t>
            </w:r>
            <w:r>
              <w:rPr>
                <w:rFonts w:hint="default" w:ascii="Times New Roman" w:hAnsi="Times New Roman" w:eastAsia="宋体" w:cs="Times New Roman"/>
                <w:color w:val="auto"/>
                <w:spacing w:val="0"/>
                <w:position w:val="0"/>
                <w:lang w:eastAsia="zh-CN"/>
              </w:rPr>
              <w:t>曲靖市麒麟区麒麟西路287号</w:t>
            </w:r>
            <w:r>
              <w:rPr>
                <w:rFonts w:hint="default" w:ascii="Times New Roman" w:hAnsi="Times New Roman" w:eastAsia="宋体" w:cs="Times New Roman"/>
                <w:color w:val="auto"/>
                <w:spacing w:val="0"/>
                <w:position w:val="0"/>
              </w:rPr>
              <w:t>，项目所在区域</w:t>
            </w:r>
            <w:r>
              <w:rPr>
                <w:rFonts w:hint="default" w:ascii="Times New Roman" w:hAnsi="Times New Roman" w:eastAsia="宋体" w:cs="Times New Roman"/>
                <w:color w:val="auto"/>
                <w:spacing w:val="0"/>
                <w:position w:val="0"/>
                <w:lang w:eastAsia="zh-CN"/>
              </w:rPr>
              <w:t>属于</w:t>
            </w:r>
            <w:r>
              <w:rPr>
                <w:rFonts w:hint="default" w:ascii="Times New Roman" w:hAnsi="Times New Roman" w:eastAsia="宋体" w:cs="Times New Roman"/>
                <w:color w:val="auto"/>
                <w:spacing w:val="0"/>
                <w:position w:val="0"/>
              </w:rPr>
              <w:t>环境功能二类区，执行《环境空气质量标准》（GB3095-20</w:t>
            </w:r>
            <w:r>
              <w:rPr>
                <w:rFonts w:hint="default" w:ascii="Times New Roman" w:hAnsi="Times New Roman" w:eastAsia="宋体" w:cs="Times New Roman"/>
                <w:color w:val="auto"/>
                <w:spacing w:val="0"/>
                <w:position w:val="0"/>
                <w:lang w:val="en-US" w:eastAsia="zh-CN"/>
              </w:rPr>
              <w:t>26</w:t>
            </w:r>
            <w:r>
              <w:rPr>
                <w:rFonts w:hint="default" w:ascii="Times New Roman" w:hAnsi="Times New Roman" w:eastAsia="宋体" w:cs="Times New Roman"/>
                <w:color w:val="auto"/>
                <w:spacing w:val="0"/>
                <w:position w:val="0"/>
              </w:rPr>
              <w:t>）二级标准。</w:t>
            </w:r>
          </w:p>
          <w:p w14:paraId="66CDD373">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根据云南省生态环境厅驻曲靖市生态环境监测站《曲靖市环境质量年报》（2024年），2024年曲靖市中心城区环境空气质量综合指数为2.50，全年监测有效天数366天，其中优212天，良146天，轻度污染8天，环境空气质量优良率97.8%，首要污染物（含超标污染物天气）为O</w:t>
            </w:r>
            <w:r>
              <w:rPr>
                <w:rFonts w:hint="default" w:ascii="Times New Roman" w:hAnsi="Times New Roman" w:eastAsia="宋体" w:cs="Times New Roman"/>
                <w:color w:val="auto"/>
                <w:spacing w:val="0"/>
                <w:position w:val="0"/>
                <w:vertAlign w:val="subscript"/>
                <w:lang w:val="en-US" w:eastAsia="zh-CN"/>
              </w:rPr>
              <w:t>3</w:t>
            </w:r>
            <w:r>
              <w:rPr>
                <w:rFonts w:hint="default" w:ascii="Times New Roman" w:hAnsi="Times New Roman" w:eastAsia="宋体" w:cs="Times New Roman"/>
                <w:color w:val="auto"/>
                <w:spacing w:val="0"/>
                <w:position w:val="0"/>
                <w:lang w:val="en-US" w:eastAsia="zh-CN"/>
              </w:rPr>
              <w:t>144天、PM</w:t>
            </w:r>
            <w:r>
              <w:rPr>
                <w:rFonts w:hint="default" w:ascii="Times New Roman" w:hAnsi="Times New Roman" w:eastAsia="宋体" w:cs="Times New Roman"/>
                <w:color w:val="auto"/>
                <w:spacing w:val="0"/>
                <w:position w:val="0"/>
                <w:vertAlign w:val="subscript"/>
                <w:lang w:val="en-US" w:eastAsia="zh-CN"/>
              </w:rPr>
              <w:t>2.5</w:t>
            </w:r>
            <w:r>
              <w:rPr>
                <w:rFonts w:hint="default" w:ascii="Times New Roman" w:hAnsi="Times New Roman" w:eastAsia="宋体" w:cs="Times New Roman"/>
                <w:color w:val="auto"/>
                <w:spacing w:val="0"/>
                <w:position w:val="0"/>
                <w:lang w:val="en-US" w:eastAsia="zh-CN"/>
              </w:rPr>
              <w:t>5天、PM</w:t>
            </w:r>
            <w:r>
              <w:rPr>
                <w:rFonts w:hint="default" w:ascii="Times New Roman" w:hAnsi="Times New Roman" w:eastAsia="宋体" w:cs="Times New Roman"/>
                <w:color w:val="auto"/>
                <w:spacing w:val="0"/>
                <w:position w:val="0"/>
                <w:vertAlign w:val="subscript"/>
                <w:lang w:val="en-US" w:eastAsia="zh-CN"/>
              </w:rPr>
              <w:t>10</w:t>
            </w:r>
            <w:r>
              <w:rPr>
                <w:rFonts w:hint="default" w:ascii="Times New Roman" w:hAnsi="Times New Roman" w:eastAsia="宋体" w:cs="Times New Roman"/>
                <w:color w:val="auto"/>
                <w:spacing w:val="0"/>
                <w:position w:val="0"/>
                <w:lang w:val="en-US" w:eastAsia="zh-CN"/>
              </w:rPr>
              <w:t>6天。6项基本污染物监测年均值及相应百分位数浓度值见下表3-1，经对照，均能达到《环境空气质量标准》（GB3095-2026）中二级标准（过渡阶段浓度限值）。具体区域空气质量现状评价如下：</w:t>
            </w:r>
          </w:p>
          <w:p w14:paraId="436EE0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表</w:t>
            </w:r>
            <w:r>
              <w:rPr>
                <w:rFonts w:hint="eastAsia" w:cs="Times New Roman"/>
                <w:b/>
                <w:bCs/>
                <w:color w:val="auto"/>
                <w:spacing w:val="0"/>
                <w:position w:val="0"/>
                <w:sz w:val="21"/>
                <w:szCs w:val="21"/>
                <w:lang w:val="en-US" w:eastAsia="zh-CN"/>
              </w:rPr>
              <w:t>8</w:t>
            </w:r>
            <w:r>
              <w:rPr>
                <w:rFonts w:hint="default" w:ascii="Times New Roman" w:hAnsi="Times New Roman" w:eastAsia="宋体" w:cs="Times New Roman"/>
                <w:b/>
                <w:bCs/>
                <w:color w:val="auto"/>
                <w:spacing w:val="0"/>
                <w:position w:val="0"/>
                <w:sz w:val="21"/>
                <w:szCs w:val="21"/>
                <w:lang w:val="en-US" w:eastAsia="zh-CN"/>
              </w:rPr>
              <w:t>-1   曲靖市空气质量现状评价表</w:t>
            </w:r>
          </w:p>
          <w:tbl>
            <w:tblPr>
              <w:tblStyle w:val="2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2514"/>
              <w:gridCol w:w="1169"/>
              <w:gridCol w:w="1238"/>
              <w:gridCol w:w="1470"/>
              <w:gridCol w:w="1436"/>
            </w:tblGrid>
            <w:tr w14:paraId="4727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vMerge w:val="restart"/>
                  <w:noWrap w:val="0"/>
                  <w:vAlign w:val="center"/>
                </w:tcPr>
                <w:p w14:paraId="5D25E5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污染物</w:t>
                  </w:r>
                </w:p>
              </w:tc>
              <w:tc>
                <w:tcPr>
                  <w:tcW w:w="2437" w:type="dxa"/>
                  <w:vMerge w:val="restart"/>
                  <w:noWrap w:val="0"/>
                  <w:vAlign w:val="center"/>
                </w:tcPr>
                <w:p w14:paraId="6C668D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年度评价指标</w:t>
                  </w:r>
                </w:p>
              </w:tc>
              <w:tc>
                <w:tcPr>
                  <w:tcW w:w="1133" w:type="dxa"/>
                  <w:vMerge w:val="restart"/>
                  <w:noWrap w:val="0"/>
                  <w:vAlign w:val="center"/>
                </w:tcPr>
                <w:p w14:paraId="6D38947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现状浓度</w:t>
                  </w:r>
                </w:p>
              </w:tc>
              <w:tc>
                <w:tcPr>
                  <w:tcW w:w="4017" w:type="dxa"/>
                  <w:gridSpan w:val="3"/>
                  <w:noWrap w:val="0"/>
                  <w:vAlign w:val="center"/>
                </w:tcPr>
                <w:p w14:paraId="2A1FE2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《环境空气质量标准》（GB3095-2026）中二级标准（过渡阶段浓度限值）</w:t>
                  </w:r>
                </w:p>
              </w:tc>
            </w:tr>
            <w:tr w14:paraId="7A93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vMerge w:val="continue"/>
                  <w:noWrap w:val="0"/>
                  <w:vAlign w:val="center"/>
                </w:tcPr>
                <w:p w14:paraId="4E2CCF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2437" w:type="dxa"/>
                  <w:vMerge w:val="continue"/>
                  <w:noWrap w:val="0"/>
                  <w:vAlign w:val="center"/>
                </w:tcPr>
                <w:p w14:paraId="40C45A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1133" w:type="dxa"/>
                  <w:vMerge w:val="continue"/>
                  <w:noWrap w:val="0"/>
                  <w:vAlign w:val="center"/>
                </w:tcPr>
                <w:p w14:paraId="23925F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p>
              </w:tc>
              <w:tc>
                <w:tcPr>
                  <w:tcW w:w="1200" w:type="dxa"/>
                  <w:noWrap w:val="0"/>
                  <w:vAlign w:val="center"/>
                </w:tcPr>
                <w:p w14:paraId="01C1383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标准值</w:t>
                  </w:r>
                </w:p>
              </w:tc>
              <w:tc>
                <w:tcPr>
                  <w:tcW w:w="1425" w:type="dxa"/>
                  <w:noWrap w:val="0"/>
                  <w:vAlign w:val="center"/>
                </w:tcPr>
                <w:p w14:paraId="65A91D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占标率（%）</w:t>
                  </w:r>
                </w:p>
              </w:tc>
              <w:tc>
                <w:tcPr>
                  <w:tcW w:w="1392" w:type="dxa"/>
                  <w:noWrap w:val="0"/>
                  <w:vAlign w:val="center"/>
                </w:tcPr>
                <w:p w14:paraId="7CA3E3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达标情况</w:t>
                  </w:r>
                </w:p>
              </w:tc>
            </w:tr>
            <w:tr w14:paraId="3AB9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noWrap w:val="0"/>
                  <w:vAlign w:val="center"/>
                </w:tcPr>
                <w:p w14:paraId="66E11A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SO</w:t>
                  </w:r>
                  <w:r>
                    <w:rPr>
                      <w:rFonts w:hint="default" w:ascii="Times New Roman" w:hAnsi="Times New Roman" w:eastAsia="宋体" w:cs="Times New Roman"/>
                      <w:color w:val="auto"/>
                      <w:spacing w:val="0"/>
                      <w:position w:val="0"/>
                      <w:sz w:val="21"/>
                      <w:szCs w:val="21"/>
                      <w:vertAlign w:val="subscript"/>
                      <w:lang w:val="en-US" w:eastAsia="zh-CN"/>
                    </w:rPr>
                    <w:t>2</w:t>
                  </w:r>
                </w:p>
              </w:tc>
              <w:tc>
                <w:tcPr>
                  <w:tcW w:w="2437" w:type="dxa"/>
                  <w:noWrap w:val="0"/>
                  <w:vAlign w:val="center"/>
                </w:tcPr>
                <w:p w14:paraId="148FF6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年平均质量浓度</w:t>
                  </w:r>
                </w:p>
              </w:tc>
              <w:tc>
                <w:tcPr>
                  <w:tcW w:w="1133" w:type="dxa"/>
                  <w:noWrap w:val="0"/>
                  <w:vAlign w:val="center"/>
                </w:tcPr>
                <w:p w14:paraId="164060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7μg/m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200" w:type="dxa"/>
                  <w:noWrap w:val="0"/>
                  <w:vAlign w:val="center"/>
                </w:tcPr>
                <w:p w14:paraId="214E60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60μg/m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425" w:type="dxa"/>
                  <w:noWrap w:val="0"/>
                  <w:vAlign w:val="center"/>
                </w:tcPr>
                <w:p w14:paraId="7544EC9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11.7</w:t>
                  </w:r>
                </w:p>
              </w:tc>
              <w:tc>
                <w:tcPr>
                  <w:tcW w:w="1392" w:type="dxa"/>
                  <w:noWrap w:val="0"/>
                  <w:vAlign w:val="center"/>
                </w:tcPr>
                <w:p w14:paraId="5E6B38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达标</w:t>
                  </w:r>
                </w:p>
              </w:tc>
            </w:tr>
            <w:tr w14:paraId="1280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noWrap w:val="0"/>
                  <w:vAlign w:val="center"/>
                </w:tcPr>
                <w:p w14:paraId="531517E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NO</w:t>
                  </w:r>
                  <w:r>
                    <w:rPr>
                      <w:rFonts w:hint="default" w:ascii="Times New Roman" w:hAnsi="Times New Roman" w:eastAsia="宋体" w:cs="Times New Roman"/>
                      <w:color w:val="auto"/>
                      <w:spacing w:val="0"/>
                      <w:position w:val="0"/>
                      <w:sz w:val="21"/>
                      <w:szCs w:val="21"/>
                      <w:vertAlign w:val="subscript"/>
                      <w:lang w:val="en-US" w:eastAsia="zh-CN"/>
                    </w:rPr>
                    <w:t>2</w:t>
                  </w:r>
                </w:p>
              </w:tc>
              <w:tc>
                <w:tcPr>
                  <w:tcW w:w="2437" w:type="dxa"/>
                  <w:noWrap w:val="0"/>
                  <w:vAlign w:val="center"/>
                </w:tcPr>
                <w:p w14:paraId="542FC7F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年平均质量浓度</w:t>
                  </w:r>
                </w:p>
              </w:tc>
              <w:tc>
                <w:tcPr>
                  <w:tcW w:w="1133" w:type="dxa"/>
                  <w:noWrap w:val="0"/>
                  <w:vAlign w:val="center"/>
                </w:tcPr>
                <w:p w14:paraId="00CFDF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13μg/m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200" w:type="dxa"/>
                  <w:noWrap w:val="0"/>
                  <w:vAlign w:val="center"/>
                </w:tcPr>
                <w:p w14:paraId="4F1F37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40μg/m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425" w:type="dxa"/>
                  <w:noWrap w:val="0"/>
                  <w:vAlign w:val="center"/>
                </w:tcPr>
                <w:p w14:paraId="1C480C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32.5</w:t>
                  </w:r>
                </w:p>
              </w:tc>
              <w:tc>
                <w:tcPr>
                  <w:tcW w:w="1392" w:type="dxa"/>
                  <w:noWrap w:val="0"/>
                  <w:vAlign w:val="center"/>
                </w:tcPr>
                <w:p w14:paraId="46EB1EB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达标</w:t>
                  </w:r>
                </w:p>
              </w:tc>
            </w:tr>
            <w:tr w14:paraId="4BCF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noWrap w:val="0"/>
                  <w:vAlign w:val="center"/>
                </w:tcPr>
                <w:p w14:paraId="19963C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PM</w:t>
                  </w:r>
                  <w:r>
                    <w:rPr>
                      <w:rFonts w:hint="default" w:ascii="Times New Roman" w:hAnsi="Times New Roman" w:eastAsia="宋体" w:cs="Times New Roman"/>
                      <w:color w:val="auto"/>
                      <w:spacing w:val="0"/>
                      <w:position w:val="0"/>
                      <w:sz w:val="21"/>
                      <w:szCs w:val="21"/>
                      <w:vertAlign w:val="subscript"/>
                      <w:lang w:val="en-US" w:eastAsia="zh-CN"/>
                    </w:rPr>
                    <w:t>10</w:t>
                  </w:r>
                </w:p>
              </w:tc>
              <w:tc>
                <w:tcPr>
                  <w:tcW w:w="2437" w:type="dxa"/>
                  <w:noWrap w:val="0"/>
                  <w:vAlign w:val="center"/>
                </w:tcPr>
                <w:p w14:paraId="79878B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年平均质量浓度</w:t>
                  </w:r>
                </w:p>
              </w:tc>
              <w:tc>
                <w:tcPr>
                  <w:tcW w:w="1133" w:type="dxa"/>
                  <w:noWrap w:val="0"/>
                  <w:vAlign w:val="center"/>
                </w:tcPr>
                <w:p w14:paraId="33BDC41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32μg/m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200" w:type="dxa"/>
                  <w:noWrap w:val="0"/>
                  <w:vAlign w:val="center"/>
                </w:tcPr>
                <w:p w14:paraId="37F8BC3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60μg/m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425" w:type="dxa"/>
                  <w:noWrap w:val="0"/>
                  <w:vAlign w:val="center"/>
                </w:tcPr>
                <w:p w14:paraId="7CBC7E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53.3</w:t>
                  </w:r>
                </w:p>
              </w:tc>
              <w:tc>
                <w:tcPr>
                  <w:tcW w:w="1392" w:type="dxa"/>
                  <w:noWrap w:val="0"/>
                  <w:vAlign w:val="center"/>
                </w:tcPr>
                <w:p w14:paraId="244C56B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达标</w:t>
                  </w:r>
                </w:p>
              </w:tc>
            </w:tr>
            <w:tr w14:paraId="1D29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noWrap w:val="0"/>
                  <w:vAlign w:val="center"/>
                </w:tcPr>
                <w:p w14:paraId="283F410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PM</w:t>
                  </w:r>
                  <w:r>
                    <w:rPr>
                      <w:rFonts w:hint="default" w:ascii="Times New Roman" w:hAnsi="Times New Roman" w:eastAsia="宋体" w:cs="Times New Roman"/>
                      <w:color w:val="auto"/>
                      <w:spacing w:val="0"/>
                      <w:position w:val="0"/>
                      <w:sz w:val="21"/>
                      <w:szCs w:val="21"/>
                      <w:vertAlign w:val="subscript"/>
                      <w:lang w:val="en-US" w:eastAsia="zh-CN"/>
                    </w:rPr>
                    <w:t>2.5</w:t>
                  </w:r>
                </w:p>
              </w:tc>
              <w:tc>
                <w:tcPr>
                  <w:tcW w:w="2437" w:type="dxa"/>
                  <w:noWrap w:val="0"/>
                  <w:vAlign w:val="center"/>
                </w:tcPr>
                <w:p w14:paraId="3D9E03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年平均质量浓度</w:t>
                  </w:r>
                </w:p>
              </w:tc>
              <w:tc>
                <w:tcPr>
                  <w:tcW w:w="1133" w:type="dxa"/>
                  <w:noWrap w:val="0"/>
                  <w:vAlign w:val="center"/>
                </w:tcPr>
                <w:p w14:paraId="3D20D9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19μg/m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200" w:type="dxa"/>
                  <w:noWrap w:val="0"/>
                  <w:vAlign w:val="center"/>
                </w:tcPr>
                <w:p w14:paraId="3A69B4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30μg/m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425" w:type="dxa"/>
                  <w:noWrap w:val="0"/>
                  <w:vAlign w:val="center"/>
                </w:tcPr>
                <w:p w14:paraId="1F67B0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63.3</w:t>
                  </w:r>
                </w:p>
              </w:tc>
              <w:tc>
                <w:tcPr>
                  <w:tcW w:w="1392" w:type="dxa"/>
                  <w:noWrap w:val="0"/>
                  <w:vAlign w:val="center"/>
                </w:tcPr>
                <w:p w14:paraId="251EE5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达标</w:t>
                  </w:r>
                </w:p>
              </w:tc>
            </w:tr>
            <w:tr w14:paraId="545E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noWrap w:val="0"/>
                  <w:vAlign w:val="center"/>
                </w:tcPr>
                <w:p w14:paraId="5C67C8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CO</w:t>
                  </w:r>
                </w:p>
              </w:tc>
              <w:tc>
                <w:tcPr>
                  <w:tcW w:w="2437" w:type="dxa"/>
                  <w:noWrap w:val="0"/>
                  <w:vAlign w:val="center"/>
                </w:tcPr>
                <w:p w14:paraId="3134AC5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95%日平均质量浓度</w:t>
                  </w:r>
                </w:p>
              </w:tc>
              <w:tc>
                <w:tcPr>
                  <w:tcW w:w="1133" w:type="dxa"/>
                  <w:noWrap w:val="0"/>
                  <w:vAlign w:val="center"/>
                </w:tcPr>
                <w:p w14:paraId="0AE9445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0.8mg/m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200" w:type="dxa"/>
                  <w:noWrap w:val="0"/>
                  <w:vAlign w:val="center"/>
                </w:tcPr>
                <w:p w14:paraId="394AA1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4mg/m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425" w:type="dxa"/>
                  <w:noWrap w:val="0"/>
                  <w:vAlign w:val="center"/>
                </w:tcPr>
                <w:p w14:paraId="0876D7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20</w:t>
                  </w:r>
                </w:p>
              </w:tc>
              <w:tc>
                <w:tcPr>
                  <w:tcW w:w="1392" w:type="dxa"/>
                  <w:noWrap w:val="0"/>
                  <w:vAlign w:val="center"/>
                </w:tcPr>
                <w:p w14:paraId="0AFA05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达标</w:t>
                  </w:r>
                </w:p>
              </w:tc>
            </w:tr>
            <w:tr w14:paraId="378A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1" w:type="dxa"/>
                  <w:noWrap w:val="0"/>
                  <w:vAlign w:val="center"/>
                </w:tcPr>
                <w:p w14:paraId="06FE30F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O</w:t>
                  </w:r>
                  <w:r>
                    <w:rPr>
                      <w:rFonts w:hint="default" w:ascii="Times New Roman" w:hAnsi="Times New Roman" w:eastAsia="宋体" w:cs="Times New Roman"/>
                      <w:color w:val="auto"/>
                      <w:spacing w:val="0"/>
                      <w:position w:val="0"/>
                      <w:sz w:val="21"/>
                      <w:szCs w:val="21"/>
                      <w:vertAlign w:val="subscript"/>
                      <w:lang w:val="en-US" w:eastAsia="zh-CN"/>
                    </w:rPr>
                    <w:t>3</w:t>
                  </w:r>
                </w:p>
              </w:tc>
              <w:tc>
                <w:tcPr>
                  <w:tcW w:w="2437" w:type="dxa"/>
                  <w:noWrap w:val="0"/>
                  <w:vAlign w:val="center"/>
                </w:tcPr>
                <w:p w14:paraId="78BD029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90%日最大8小时平均质量浓度</w:t>
                  </w:r>
                </w:p>
              </w:tc>
              <w:tc>
                <w:tcPr>
                  <w:tcW w:w="1133" w:type="dxa"/>
                  <w:noWrap w:val="0"/>
                  <w:vAlign w:val="center"/>
                </w:tcPr>
                <w:p w14:paraId="4A97BCA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138μg/m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200" w:type="dxa"/>
                  <w:noWrap w:val="0"/>
                  <w:vAlign w:val="center"/>
                </w:tcPr>
                <w:p w14:paraId="275D60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160μg/m</w:t>
                  </w:r>
                  <w:r>
                    <w:rPr>
                      <w:rFonts w:hint="default" w:ascii="Times New Roman" w:hAnsi="Times New Roman" w:eastAsia="宋体" w:cs="Times New Roman"/>
                      <w:color w:val="auto"/>
                      <w:spacing w:val="0"/>
                      <w:position w:val="0"/>
                      <w:sz w:val="21"/>
                      <w:szCs w:val="21"/>
                      <w:vertAlign w:val="superscript"/>
                      <w:lang w:val="en-US" w:eastAsia="zh-CN"/>
                    </w:rPr>
                    <w:t>3</w:t>
                  </w:r>
                </w:p>
              </w:tc>
              <w:tc>
                <w:tcPr>
                  <w:tcW w:w="1425" w:type="dxa"/>
                  <w:noWrap w:val="0"/>
                  <w:vAlign w:val="center"/>
                </w:tcPr>
                <w:p w14:paraId="4EFAD8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86.3</w:t>
                  </w:r>
                </w:p>
              </w:tc>
              <w:tc>
                <w:tcPr>
                  <w:tcW w:w="1392" w:type="dxa"/>
                  <w:noWrap w:val="0"/>
                  <w:vAlign w:val="center"/>
                </w:tcPr>
                <w:p w14:paraId="60AB1A5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达标</w:t>
                  </w:r>
                </w:p>
              </w:tc>
            </w:tr>
          </w:tbl>
          <w:p w14:paraId="7F457792">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根据监测结果，曲靖市2024年六项污染物年平均浓度能达到《环境空气质量标准》（GB3095-2026）中二级标准（过渡阶段浓度限值）。</w:t>
            </w:r>
            <w:r>
              <w:rPr>
                <w:rFonts w:hint="eastAsia" w:cs="Times New Roman"/>
                <w:color w:val="auto"/>
                <w:spacing w:val="0"/>
                <w:position w:val="0"/>
                <w:lang w:val="en-US" w:eastAsia="zh-CN"/>
              </w:rPr>
              <w:t>由此判断</w:t>
            </w:r>
            <w:r>
              <w:rPr>
                <w:rFonts w:hint="default" w:ascii="Times New Roman" w:hAnsi="Times New Roman" w:eastAsia="宋体" w:cs="Times New Roman"/>
                <w:color w:val="auto"/>
                <w:spacing w:val="0"/>
                <w:position w:val="0"/>
              </w:rPr>
              <w:t>项目所在区域环境空气质量为达标区</w:t>
            </w:r>
            <w:r>
              <w:rPr>
                <w:rFonts w:hint="default" w:ascii="Times New Roman" w:hAnsi="Times New Roman" w:eastAsia="宋体" w:cs="Times New Roman"/>
                <w:color w:val="auto"/>
                <w:spacing w:val="0"/>
                <w:position w:val="0"/>
                <w:lang w:eastAsia="zh-CN"/>
              </w:rPr>
              <w:t>。</w:t>
            </w:r>
          </w:p>
          <w:p w14:paraId="792D75BD">
            <w:pPr>
              <w:keepNext w:val="0"/>
              <w:keepLines w:val="0"/>
              <w:suppressLineNumbers w:val="0"/>
              <w:spacing w:before="0" w:beforeAutospacing="0" w:after="0" w:afterAutospacing="0"/>
              <w:ind w:left="0" w:right="0" w:firstLine="562"/>
              <w:rPr>
                <w:rFonts w:hint="default" w:ascii="Times New Roman" w:hAnsi="Times New Roman" w:eastAsia="宋体" w:cs="Times New Roman"/>
                <w:b/>
                <w:bCs/>
                <w:color w:val="auto"/>
                <w:spacing w:val="0"/>
                <w:position w:val="0"/>
                <w:sz w:val="28"/>
                <w:szCs w:val="28"/>
                <w:highlight w:val="none"/>
              </w:rPr>
            </w:pPr>
            <w:r>
              <w:rPr>
                <w:rFonts w:hint="default" w:ascii="Times New Roman" w:hAnsi="Times New Roman" w:eastAsia="宋体" w:cs="Times New Roman"/>
                <w:b/>
                <w:bCs/>
                <w:color w:val="auto"/>
                <w:spacing w:val="0"/>
                <w:position w:val="0"/>
                <w:sz w:val="28"/>
                <w:szCs w:val="28"/>
                <w:highlight w:val="none"/>
              </w:rPr>
              <w:t>8.2辐射环境</w:t>
            </w:r>
            <w:r>
              <w:rPr>
                <w:rFonts w:hint="default" w:ascii="Times New Roman" w:hAnsi="Times New Roman" w:eastAsia="宋体" w:cs="Times New Roman"/>
                <w:b/>
                <w:bCs/>
                <w:color w:val="auto"/>
                <w:spacing w:val="0"/>
                <w:position w:val="0"/>
                <w:sz w:val="28"/>
                <w:szCs w:val="28"/>
                <w:highlight w:val="none"/>
                <w:lang w:val="en-US" w:eastAsia="zh-CN"/>
              </w:rPr>
              <w:t>质量</w:t>
            </w:r>
            <w:r>
              <w:rPr>
                <w:rFonts w:hint="default" w:ascii="Times New Roman" w:hAnsi="Times New Roman" w:eastAsia="宋体" w:cs="Times New Roman"/>
                <w:b/>
                <w:bCs/>
                <w:color w:val="auto"/>
                <w:spacing w:val="0"/>
                <w:position w:val="0"/>
                <w:sz w:val="28"/>
                <w:szCs w:val="28"/>
                <w:highlight w:val="none"/>
              </w:rPr>
              <w:t>现状</w:t>
            </w:r>
          </w:p>
          <w:p w14:paraId="1636C89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由于项目设备尚未安装运行，为了解项目DSA拟建工作场所及周围辐射环境水平情况，建设单位委托</w:t>
            </w:r>
            <w:r>
              <w:rPr>
                <w:rFonts w:hint="default" w:ascii="Times New Roman" w:hAnsi="Times New Roman" w:eastAsia="宋体" w:cs="Times New Roman"/>
                <w:color w:val="auto"/>
                <w:spacing w:val="0"/>
                <w:position w:val="0"/>
                <w:highlight w:val="none"/>
                <w:lang w:val="en-US" w:eastAsia="zh-CN"/>
              </w:rPr>
              <w:t>云南放卫达检测有限公司</w:t>
            </w:r>
            <w:r>
              <w:rPr>
                <w:rFonts w:hint="default" w:ascii="Times New Roman" w:hAnsi="Times New Roman" w:eastAsia="宋体" w:cs="Times New Roman"/>
                <w:color w:val="auto"/>
                <w:spacing w:val="0"/>
                <w:position w:val="0"/>
                <w:highlight w:val="none"/>
              </w:rPr>
              <w:t>于20</w:t>
            </w:r>
            <w:r>
              <w:rPr>
                <w:rFonts w:hint="default" w:ascii="Times New Roman" w:hAnsi="Times New Roman" w:eastAsia="宋体" w:cs="Times New Roman"/>
                <w:color w:val="auto"/>
                <w:spacing w:val="0"/>
                <w:position w:val="0"/>
                <w:highlight w:val="none"/>
                <w:lang w:val="en-US" w:eastAsia="zh-CN"/>
              </w:rPr>
              <w:t>2</w:t>
            </w:r>
            <w:r>
              <w:rPr>
                <w:rFonts w:hint="eastAsia" w:cs="Times New Roman"/>
                <w:color w:val="auto"/>
                <w:spacing w:val="0"/>
                <w:position w:val="0"/>
                <w:highlight w:val="none"/>
                <w:lang w:val="en-US" w:eastAsia="zh-CN"/>
              </w:rPr>
              <w:t>6</w:t>
            </w:r>
            <w:r>
              <w:rPr>
                <w:rFonts w:hint="default" w:ascii="Times New Roman" w:hAnsi="Times New Roman" w:eastAsia="宋体" w:cs="Times New Roman"/>
                <w:color w:val="auto"/>
                <w:spacing w:val="0"/>
                <w:position w:val="0"/>
                <w:highlight w:val="none"/>
              </w:rPr>
              <w:t>年</w:t>
            </w:r>
            <w:r>
              <w:rPr>
                <w:rFonts w:hint="eastAsia" w:cs="Times New Roman"/>
                <w:color w:val="auto"/>
                <w:spacing w:val="0"/>
                <w:position w:val="0"/>
                <w:highlight w:val="none"/>
                <w:lang w:val="en-US" w:eastAsia="zh-CN"/>
              </w:rPr>
              <w:t>8</w:t>
            </w:r>
            <w:r>
              <w:rPr>
                <w:rFonts w:hint="default" w:ascii="Times New Roman" w:hAnsi="Times New Roman" w:eastAsia="宋体" w:cs="Times New Roman"/>
                <w:color w:val="auto"/>
                <w:spacing w:val="0"/>
                <w:position w:val="0"/>
                <w:highlight w:val="none"/>
              </w:rPr>
              <w:t>月</w:t>
            </w:r>
            <w:r>
              <w:rPr>
                <w:rFonts w:hint="default" w:ascii="Times New Roman" w:hAnsi="Times New Roman" w:eastAsia="宋体" w:cs="Times New Roman"/>
                <w:color w:val="auto"/>
                <w:spacing w:val="0"/>
                <w:position w:val="0"/>
                <w:highlight w:val="none"/>
                <w:lang w:val="en-US" w:eastAsia="zh-CN"/>
              </w:rPr>
              <w:t>9</w:t>
            </w:r>
            <w:r>
              <w:rPr>
                <w:rFonts w:hint="default" w:ascii="Times New Roman" w:hAnsi="Times New Roman" w:eastAsia="宋体" w:cs="Times New Roman"/>
                <w:color w:val="auto"/>
                <w:spacing w:val="0"/>
                <w:position w:val="0"/>
                <w:highlight w:val="none"/>
              </w:rPr>
              <w:t>日对本项目拟建的DSA射线装置工作场所及周围进行X-γ辐射剂量率监测。</w:t>
            </w:r>
          </w:p>
          <w:p w14:paraId="7DDF711B">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pacing w:val="0"/>
                <w:position w:val="0"/>
                <w:highlight w:val="none"/>
              </w:rPr>
            </w:pPr>
            <w:r>
              <w:rPr>
                <w:rFonts w:hint="eastAsia" w:cs="Times New Roman"/>
                <w:b/>
                <w:bCs/>
                <w:color w:val="auto"/>
                <w:spacing w:val="0"/>
                <w:position w:val="0"/>
                <w:highlight w:val="none"/>
                <w:lang w:val="en-US" w:eastAsia="zh-CN"/>
              </w:rPr>
              <w:t>1.</w:t>
            </w:r>
            <w:r>
              <w:rPr>
                <w:rFonts w:hint="default" w:ascii="Times New Roman" w:hAnsi="Times New Roman" w:eastAsia="宋体" w:cs="Times New Roman"/>
                <w:b/>
                <w:bCs/>
                <w:color w:val="auto"/>
                <w:spacing w:val="0"/>
                <w:position w:val="0"/>
                <w:highlight w:val="none"/>
              </w:rPr>
              <w:t>检测方案</w:t>
            </w:r>
          </w:p>
          <w:p w14:paraId="0279E904">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检测单位：</w:t>
            </w:r>
            <w:r>
              <w:rPr>
                <w:rFonts w:hint="default" w:ascii="Times New Roman" w:hAnsi="Times New Roman" w:eastAsia="宋体" w:cs="Times New Roman"/>
                <w:color w:val="auto"/>
                <w:spacing w:val="0"/>
                <w:position w:val="0"/>
                <w:highlight w:val="none"/>
                <w:lang w:val="en-US" w:eastAsia="zh-CN"/>
              </w:rPr>
              <w:t>云南放卫达检测有限公司</w:t>
            </w:r>
          </w:p>
          <w:p w14:paraId="3D79BA80">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检测目的：</w:t>
            </w:r>
            <w:r>
              <w:rPr>
                <w:rFonts w:hint="default" w:ascii="Times New Roman" w:hAnsi="Times New Roman" w:eastAsia="宋体" w:cs="Times New Roman"/>
                <w:color w:val="auto"/>
                <w:spacing w:val="0"/>
                <w:position w:val="0"/>
                <w:highlight w:val="none"/>
                <w:lang w:val="en-US" w:eastAsia="zh-CN"/>
              </w:rPr>
              <w:t>曲靖市第二人民医院X射线血管造影系统（DSA）项目</w:t>
            </w:r>
            <w:r>
              <w:rPr>
                <w:rFonts w:hint="default" w:ascii="Times New Roman" w:hAnsi="Times New Roman" w:eastAsia="宋体" w:cs="Times New Roman"/>
                <w:color w:val="auto"/>
                <w:spacing w:val="0"/>
                <w:position w:val="0"/>
                <w:highlight w:val="none"/>
              </w:rPr>
              <w:t>辐射环境本底检测；</w:t>
            </w:r>
          </w:p>
          <w:p w14:paraId="423FB27B">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检测内容：</w:t>
            </w:r>
            <w:r>
              <w:rPr>
                <w:rFonts w:hint="default" w:ascii="Times New Roman" w:hAnsi="Times New Roman" w:eastAsia="宋体" w:cs="Times New Roman"/>
                <w:color w:val="auto"/>
                <w:spacing w:val="0"/>
                <w:position w:val="0"/>
                <w:highlight w:val="none"/>
                <w:lang w:val="en-US" w:eastAsia="zh-CN"/>
              </w:rPr>
              <w:t>X、γ辐射剂量率</w:t>
            </w:r>
            <w:r>
              <w:rPr>
                <w:rFonts w:hint="default" w:ascii="Times New Roman" w:hAnsi="Times New Roman" w:eastAsia="宋体" w:cs="Times New Roman"/>
                <w:color w:val="auto"/>
                <w:spacing w:val="0"/>
                <w:position w:val="0"/>
                <w:highlight w:val="none"/>
              </w:rPr>
              <w:t>；</w:t>
            </w:r>
          </w:p>
          <w:p w14:paraId="5C8094F5">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检测仪器：</w:t>
            </w:r>
            <w:r>
              <w:rPr>
                <w:rFonts w:hint="default" w:ascii="Times New Roman" w:hAnsi="Times New Roman" w:eastAsia="宋体" w:cs="Times New Roman"/>
                <w:color w:val="auto"/>
                <w:spacing w:val="0"/>
                <w:position w:val="0"/>
                <w:highlight w:val="none"/>
                <w:lang w:val="en-US" w:eastAsia="zh-CN"/>
              </w:rPr>
              <w:t>BH3103B</w:t>
            </w:r>
            <w:r>
              <w:rPr>
                <w:rFonts w:hint="default" w:ascii="Times New Roman" w:hAnsi="Times New Roman" w:eastAsia="宋体" w:cs="Times New Roman"/>
                <w:color w:val="auto"/>
                <w:spacing w:val="0"/>
                <w:position w:val="0"/>
                <w:highlight w:val="none"/>
              </w:rPr>
              <w:t>型</w:t>
            </w:r>
            <w:r>
              <w:rPr>
                <w:rFonts w:hint="default" w:ascii="Times New Roman" w:hAnsi="Times New Roman" w:eastAsia="宋体" w:cs="Times New Roman"/>
                <w:color w:val="auto"/>
                <w:spacing w:val="0"/>
                <w:position w:val="0"/>
                <w:highlight w:val="none"/>
                <w:lang w:val="en-US" w:eastAsia="zh-CN"/>
              </w:rPr>
              <w:t>便携式</w:t>
            </w:r>
            <w:r>
              <w:rPr>
                <w:rFonts w:hint="default" w:ascii="Times New Roman" w:hAnsi="Times New Roman" w:eastAsia="宋体" w:cs="Times New Roman"/>
                <w:color w:val="auto"/>
                <w:spacing w:val="0"/>
                <w:position w:val="0"/>
                <w:highlight w:val="none"/>
              </w:rPr>
              <w:t>X</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γ剂量率仪</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仪器编号YNFWD-YQ0038</w:t>
            </w:r>
            <w:r>
              <w:rPr>
                <w:rFonts w:hint="default" w:ascii="Times New Roman" w:hAnsi="Times New Roman" w:eastAsia="宋体" w:cs="Times New Roman"/>
                <w:color w:val="auto"/>
                <w:spacing w:val="0"/>
                <w:position w:val="0"/>
                <w:highlight w:val="none"/>
              </w:rPr>
              <w:t>；</w:t>
            </w:r>
          </w:p>
          <w:p w14:paraId="07A40682">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主要参数：量程：1~10000×10</w:t>
            </w:r>
            <w:r>
              <w:rPr>
                <w:rFonts w:hint="default" w:ascii="Times New Roman" w:hAnsi="Times New Roman" w:eastAsia="宋体" w:cs="Times New Roman"/>
                <w:color w:val="auto"/>
                <w:spacing w:val="0"/>
                <w:position w:val="0"/>
                <w:highlight w:val="none"/>
                <w:vertAlign w:val="superscript"/>
                <w:lang w:val="en-US" w:eastAsia="zh-CN"/>
              </w:rPr>
              <w:t>-8</w:t>
            </w:r>
            <w:r>
              <w:rPr>
                <w:rFonts w:hint="default" w:ascii="Times New Roman" w:hAnsi="Times New Roman" w:eastAsia="宋体" w:cs="Times New Roman"/>
                <w:color w:val="auto"/>
                <w:spacing w:val="0"/>
                <w:position w:val="0"/>
                <w:highlight w:val="none"/>
                <w:lang w:val="en-US" w:eastAsia="zh-CN"/>
              </w:rPr>
              <w:t>Gy/h；能量响应：25keV~3.0MeV；</w:t>
            </w:r>
          </w:p>
          <w:p w14:paraId="109562C9">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检定/校准证书编号：2026H21-10-6293666001</w:t>
            </w:r>
          </w:p>
          <w:p w14:paraId="4AC9927C">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设备校准有效期</w:t>
            </w:r>
            <w:r>
              <w:rPr>
                <w:rFonts w:hint="default" w:ascii="Times New Roman" w:hAnsi="Times New Roman" w:eastAsia="宋体" w:cs="Times New Roman"/>
                <w:color w:val="auto"/>
                <w:spacing w:val="0"/>
                <w:position w:val="0"/>
                <w:highlight w:val="none"/>
              </w:rPr>
              <w:t>：20</w:t>
            </w:r>
            <w:r>
              <w:rPr>
                <w:rFonts w:hint="eastAsia" w:cs="Times New Roman"/>
                <w:color w:val="auto"/>
                <w:spacing w:val="0"/>
                <w:position w:val="0"/>
                <w:highlight w:val="none"/>
                <w:lang w:val="en-US" w:eastAsia="zh-CN"/>
              </w:rPr>
              <w:t>26</w:t>
            </w:r>
            <w:r>
              <w:rPr>
                <w:rFonts w:hint="default" w:ascii="Times New Roman" w:hAnsi="Times New Roman" w:eastAsia="宋体" w:cs="Times New Roman"/>
                <w:color w:val="auto"/>
                <w:spacing w:val="0"/>
                <w:position w:val="0"/>
                <w:highlight w:val="none"/>
              </w:rPr>
              <w:t>年</w:t>
            </w:r>
            <w:r>
              <w:rPr>
                <w:rFonts w:hint="eastAsia" w:cs="Times New Roman"/>
                <w:color w:val="auto"/>
                <w:spacing w:val="0"/>
                <w:position w:val="0"/>
                <w:highlight w:val="none"/>
                <w:lang w:val="en-US" w:eastAsia="zh-CN"/>
              </w:rPr>
              <w:t>1</w:t>
            </w:r>
            <w:r>
              <w:rPr>
                <w:rFonts w:hint="default" w:ascii="Times New Roman" w:hAnsi="Times New Roman" w:eastAsia="宋体" w:cs="Times New Roman"/>
                <w:color w:val="auto"/>
                <w:spacing w:val="0"/>
                <w:position w:val="0"/>
                <w:highlight w:val="none"/>
              </w:rPr>
              <w:t>月</w:t>
            </w:r>
            <w:r>
              <w:rPr>
                <w:rFonts w:hint="eastAsia" w:cs="Times New Roman"/>
                <w:color w:val="auto"/>
                <w:spacing w:val="0"/>
                <w:position w:val="0"/>
                <w:highlight w:val="none"/>
                <w:lang w:val="en-US" w:eastAsia="zh-CN"/>
              </w:rPr>
              <w:t>4</w:t>
            </w:r>
            <w:r>
              <w:rPr>
                <w:rFonts w:hint="default" w:ascii="Times New Roman" w:hAnsi="Times New Roman" w:eastAsia="宋体" w:cs="Times New Roman"/>
                <w:color w:val="auto"/>
                <w:spacing w:val="0"/>
                <w:position w:val="0"/>
                <w:highlight w:val="none"/>
              </w:rPr>
              <w:t>日至202</w:t>
            </w:r>
            <w:r>
              <w:rPr>
                <w:rFonts w:hint="eastAsia" w:cs="Times New Roman"/>
                <w:color w:val="auto"/>
                <w:spacing w:val="0"/>
                <w:position w:val="0"/>
                <w:highlight w:val="none"/>
                <w:lang w:val="en-US" w:eastAsia="zh-CN"/>
              </w:rPr>
              <w:t>7</w:t>
            </w:r>
            <w:r>
              <w:rPr>
                <w:rFonts w:hint="default" w:ascii="Times New Roman" w:hAnsi="Times New Roman" w:eastAsia="宋体" w:cs="Times New Roman"/>
                <w:color w:val="auto"/>
                <w:spacing w:val="0"/>
                <w:position w:val="0"/>
                <w:highlight w:val="none"/>
              </w:rPr>
              <w:t>年</w:t>
            </w:r>
            <w:r>
              <w:rPr>
                <w:rFonts w:hint="eastAsia" w:cs="Times New Roman"/>
                <w:color w:val="auto"/>
                <w:spacing w:val="0"/>
                <w:position w:val="0"/>
                <w:highlight w:val="none"/>
                <w:lang w:val="en-US" w:eastAsia="zh-CN"/>
              </w:rPr>
              <w:t>1</w:t>
            </w:r>
            <w:r>
              <w:rPr>
                <w:rFonts w:hint="default" w:ascii="Times New Roman" w:hAnsi="Times New Roman" w:eastAsia="宋体" w:cs="Times New Roman"/>
                <w:color w:val="auto"/>
                <w:spacing w:val="0"/>
                <w:position w:val="0"/>
                <w:highlight w:val="none"/>
              </w:rPr>
              <w:t>月</w:t>
            </w:r>
            <w:r>
              <w:rPr>
                <w:rFonts w:hint="eastAsia" w:cs="Times New Roman"/>
                <w:color w:val="auto"/>
                <w:spacing w:val="0"/>
                <w:position w:val="0"/>
                <w:highlight w:val="none"/>
                <w:lang w:val="en-US" w:eastAsia="zh-CN"/>
              </w:rPr>
              <w:t>3</w:t>
            </w:r>
            <w:r>
              <w:rPr>
                <w:rFonts w:hint="default" w:ascii="Times New Roman" w:hAnsi="Times New Roman" w:eastAsia="宋体" w:cs="Times New Roman"/>
                <w:color w:val="auto"/>
                <w:spacing w:val="0"/>
                <w:position w:val="0"/>
                <w:highlight w:val="none"/>
              </w:rPr>
              <w:t>日</w:t>
            </w:r>
            <w:r>
              <w:rPr>
                <w:rFonts w:hint="default" w:ascii="Times New Roman" w:hAnsi="Times New Roman" w:eastAsia="宋体" w:cs="Times New Roman"/>
                <w:color w:val="auto"/>
                <w:spacing w:val="0"/>
                <w:position w:val="0"/>
                <w:highlight w:val="none"/>
                <w:lang w:eastAsia="zh-CN"/>
              </w:rPr>
              <w:t>；</w:t>
            </w:r>
          </w:p>
          <w:p w14:paraId="1CE40246">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布点原则：本次环评在进行现场调查期间，评价人员首先根据建设单位人员介绍，了解了本项目拟建地及周边环境状况，确立了本项目的监测方案。根据本项目平面布置和外环境关系，本次选择在项目拟建地</w:t>
            </w:r>
            <w:r>
              <w:rPr>
                <w:rFonts w:hint="default" w:ascii="Times New Roman" w:hAnsi="Times New Roman" w:eastAsia="宋体" w:cs="Times New Roman"/>
                <w:color w:val="auto"/>
                <w:spacing w:val="0"/>
                <w:position w:val="0"/>
                <w:highlight w:val="none"/>
                <w:lang w:val="en-US" w:eastAsia="zh-CN"/>
              </w:rPr>
              <w:t>DSA</w:t>
            </w:r>
            <w:r>
              <w:rPr>
                <w:rFonts w:hint="default" w:ascii="Times New Roman" w:hAnsi="Times New Roman" w:eastAsia="宋体" w:cs="Times New Roman"/>
                <w:color w:val="auto"/>
                <w:spacing w:val="0"/>
                <w:position w:val="0"/>
                <w:highlight w:val="none"/>
              </w:rPr>
              <w:t>房间、四周及周围敏感目标处布设监测点位以反映区域辐射环境质量状况</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共计布点</w:t>
            </w:r>
            <w:r>
              <w:rPr>
                <w:rFonts w:hint="eastAsia" w:cs="Times New Roman"/>
                <w:color w:val="auto"/>
                <w:spacing w:val="0"/>
                <w:position w:val="0"/>
                <w:highlight w:val="none"/>
                <w:lang w:val="en-US" w:eastAsia="zh-CN"/>
              </w:rPr>
              <w:t>22</w:t>
            </w:r>
            <w:r>
              <w:rPr>
                <w:rFonts w:hint="default" w:ascii="Times New Roman" w:hAnsi="Times New Roman" w:eastAsia="宋体" w:cs="Times New Roman"/>
                <w:color w:val="auto"/>
                <w:spacing w:val="0"/>
                <w:position w:val="0"/>
                <w:highlight w:val="none"/>
              </w:rPr>
              <w:t>个；</w:t>
            </w:r>
          </w:p>
          <w:p w14:paraId="0D3F5C3C">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监测方法：《环境γ辐射剂量率测量技术规范》</w:t>
            </w:r>
            <w:r>
              <w:rPr>
                <w:rFonts w:hint="eastAsia" w:cs="Times New Roman"/>
                <w:color w:val="auto"/>
                <w:spacing w:val="0"/>
                <w:position w:val="0"/>
                <w:highlight w:val="none"/>
                <w:lang w:val="en-US" w:eastAsia="zh-CN"/>
              </w:rPr>
              <w:t>（</w:t>
            </w:r>
            <w:r>
              <w:rPr>
                <w:rFonts w:hint="default" w:ascii="Times New Roman" w:hAnsi="Times New Roman" w:eastAsia="宋体" w:cs="Times New Roman"/>
                <w:color w:val="auto"/>
                <w:spacing w:val="0"/>
                <w:position w:val="0"/>
                <w:highlight w:val="none"/>
                <w:lang w:val="en-US" w:eastAsia="zh-CN"/>
              </w:rPr>
              <w:t>HJ1157-2021</w:t>
            </w:r>
            <w:r>
              <w:rPr>
                <w:rFonts w:hint="eastAsia" w:cs="Times New Roman"/>
                <w:color w:val="auto"/>
                <w:spacing w:val="0"/>
                <w:position w:val="0"/>
                <w:highlight w:val="none"/>
                <w:lang w:val="en-US" w:eastAsia="zh-CN"/>
              </w:rPr>
              <w:t>）</w:t>
            </w:r>
            <w:r>
              <w:rPr>
                <w:rFonts w:hint="default" w:ascii="Times New Roman" w:hAnsi="Times New Roman" w:eastAsia="宋体" w:cs="Times New Roman"/>
                <w:color w:val="auto"/>
                <w:spacing w:val="0"/>
                <w:position w:val="0"/>
                <w:highlight w:val="none"/>
                <w:lang w:val="en-US" w:eastAsia="zh-CN"/>
              </w:rPr>
              <w:t>；</w:t>
            </w:r>
          </w:p>
          <w:p w14:paraId="113D3DBF">
            <w:pPr>
              <w:keepNext w:val="0"/>
              <w:keepLines w:val="0"/>
              <w:numPr>
                <w:ilvl w:val="0"/>
                <w:numId w:val="7"/>
              </w:numPr>
              <w:suppressLineNumbers w:val="0"/>
              <w:spacing w:before="0" w:beforeAutospacing="0" w:after="0" w:afterAutospacing="0"/>
              <w:ind w:left="0" w:leftChars="0" w:right="0" w:rightChars="0" w:firstLine="403" w:firstLineChars="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环境温度：2</w:t>
            </w:r>
            <w:r>
              <w:rPr>
                <w:rFonts w:hint="eastAsia" w:cs="Times New Roman"/>
                <w:color w:val="auto"/>
                <w:spacing w:val="0"/>
                <w:position w:val="0"/>
                <w:highlight w:val="none"/>
                <w:lang w:val="en-US" w:eastAsia="zh-CN"/>
              </w:rPr>
              <w:t>1</w:t>
            </w:r>
            <w:r>
              <w:rPr>
                <w:rFonts w:hint="default" w:ascii="Times New Roman" w:hAnsi="Times New Roman" w:eastAsia="宋体" w:cs="Times New Roman"/>
                <w:color w:val="auto"/>
                <w:spacing w:val="0"/>
                <w:position w:val="0"/>
                <w:highlight w:val="none"/>
                <w:lang w:val="en-US" w:eastAsia="zh-CN"/>
              </w:rPr>
              <w:t>℃，</w:t>
            </w:r>
            <w:r>
              <w:rPr>
                <w:rFonts w:hint="eastAsia" w:cs="Times New Roman"/>
                <w:color w:val="auto"/>
                <w:spacing w:val="0"/>
                <w:position w:val="0"/>
                <w:highlight w:val="none"/>
                <w:lang w:val="en-US" w:eastAsia="zh-CN"/>
              </w:rPr>
              <w:t>晴，</w:t>
            </w:r>
            <w:r>
              <w:rPr>
                <w:rFonts w:hint="default" w:ascii="Times New Roman" w:hAnsi="Times New Roman" w:eastAsia="宋体" w:cs="Times New Roman"/>
                <w:color w:val="auto"/>
                <w:spacing w:val="0"/>
                <w:position w:val="0"/>
                <w:highlight w:val="none"/>
                <w:lang w:val="en-US" w:eastAsia="zh-CN"/>
              </w:rPr>
              <w:t>相对湿度：5</w:t>
            </w:r>
            <w:r>
              <w:rPr>
                <w:rFonts w:hint="eastAsia" w:cs="Times New Roman"/>
                <w:color w:val="auto"/>
                <w:spacing w:val="0"/>
                <w:position w:val="0"/>
                <w:highlight w:val="none"/>
                <w:lang w:val="en-US" w:eastAsia="zh-CN"/>
              </w:rPr>
              <w:t>9</w:t>
            </w:r>
            <w:r>
              <w:rPr>
                <w:rFonts w:hint="default" w:ascii="Times New Roman" w:hAnsi="Times New Roman" w:eastAsia="宋体" w:cs="Times New Roman"/>
                <w:color w:val="auto"/>
                <w:spacing w:val="0"/>
                <w:position w:val="0"/>
                <w:highlight w:val="none"/>
                <w:lang w:val="en-US" w:eastAsia="zh-CN"/>
              </w:rPr>
              <w:t>%。</w:t>
            </w:r>
          </w:p>
          <w:p w14:paraId="641D024B">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pacing w:val="0"/>
                <w:position w:val="0"/>
              </w:rPr>
            </w:pPr>
            <w:r>
              <w:rPr>
                <w:rFonts w:hint="eastAsia" w:cs="Times New Roman"/>
                <w:b/>
                <w:bCs/>
                <w:color w:val="auto"/>
                <w:spacing w:val="0"/>
                <w:position w:val="0"/>
                <w:lang w:val="en-US" w:eastAsia="zh-CN"/>
              </w:rPr>
              <w:t>2.</w:t>
            </w:r>
            <w:r>
              <w:rPr>
                <w:rFonts w:hint="default" w:ascii="Times New Roman" w:hAnsi="Times New Roman" w:eastAsia="宋体" w:cs="Times New Roman"/>
                <w:b/>
                <w:bCs/>
                <w:color w:val="auto"/>
                <w:spacing w:val="0"/>
                <w:position w:val="0"/>
              </w:rPr>
              <w:t>质量保证措施</w:t>
            </w:r>
          </w:p>
          <w:p w14:paraId="7D8A1B6B">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本项目监测单位为</w:t>
            </w:r>
            <w:r>
              <w:rPr>
                <w:rFonts w:hint="default" w:ascii="Times New Roman" w:hAnsi="Times New Roman" w:eastAsia="宋体" w:cs="Times New Roman"/>
                <w:color w:val="auto"/>
                <w:spacing w:val="0"/>
                <w:position w:val="0"/>
                <w:lang w:eastAsia="zh-CN"/>
              </w:rPr>
              <w:t>云南放卫达检测有限公司，</w:t>
            </w:r>
            <w:r>
              <w:rPr>
                <w:rFonts w:hint="default" w:ascii="Times New Roman" w:hAnsi="Times New Roman" w:eastAsia="宋体" w:cs="Times New Roman"/>
                <w:color w:val="auto"/>
                <w:spacing w:val="0"/>
                <w:position w:val="0"/>
              </w:rPr>
              <w:t>取得了</w:t>
            </w:r>
            <w:r>
              <w:rPr>
                <w:rFonts w:hint="default" w:ascii="Times New Roman" w:hAnsi="Times New Roman" w:eastAsia="宋体" w:cs="Times New Roman"/>
                <w:color w:val="auto"/>
                <w:spacing w:val="0"/>
                <w:position w:val="0"/>
                <w:lang w:val="en-US" w:eastAsia="zh-CN"/>
              </w:rPr>
              <w:t>云南省市场监督管理局</w:t>
            </w:r>
            <w:r>
              <w:rPr>
                <w:rFonts w:hint="default" w:ascii="Times New Roman" w:hAnsi="Times New Roman" w:eastAsia="宋体" w:cs="Times New Roman"/>
                <w:color w:val="auto"/>
                <w:spacing w:val="0"/>
                <w:position w:val="0"/>
              </w:rPr>
              <w:t>颁布的资质证书</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CMA认证</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该单位具备完整、有效的质量控制体系；</w:t>
            </w:r>
          </w:p>
          <w:p w14:paraId="36E6CF3C">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根据《环境γ辐射剂量率测量技术规范》</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HJ1157-2021</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制定监测方案及实施细则；</w:t>
            </w:r>
          </w:p>
          <w:p w14:paraId="74984807">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严格按照监测单位《质保手册》、《作业指导书》开展现场工作；</w:t>
            </w:r>
          </w:p>
          <w:p w14:paraId="6AEA4A20">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监测仪器每年经计量部门检定后使用；每次测量前、后均检查仪器的工作状态是否正常，并对仪器进行校验；</w:t>
            </w:r>
          </w:p>
          <w:p w14:paraId="3AA30D08">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监测人员经考核并持有合格证书上岗；</w:t>
            </w:r>
          </w:p>
          <w:p w14:paraId="6AC58DF9">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w:t>
            </w:r>
            <w:r>
              <w:rPr>
                <w:rFonts w:hint="default" w:ascii="Times New Roman" w:hAnsi="Times New Roman" w:eastAsia="宋体" w:cs="Times New Roman"/>
                <w:color w:val="auto"/>
                <w:spacing w:val="0"/>
                <w:position w:val="0"/>
                <w:lang w:val="en-US" w:eastAsia="zh-CN"/>
              </w:rPr>
              <w:t>《环境γ辐射剂量率测量技术规范》</w:t>
            </w:r>
            <w:r>
              <w:rPr>
                <w:rFonts w:hint="eastAsia" w:cs="Times New Roman"/>
                <w:color w:val="auto"/>
                <w:spacing w:val="0"/>
                <w:position w:val="0"/>
                <w:lang w:val="en-US" w:eastAsia="zh-CN"/>
              </w:rPr>
              <w:t>（</w:t>
            </w:r>
            <w:r>
              <w:rPr>
                <w:rFonts w:hint="default" w:ascii="Times New Roman" w:hAnsi="Times New Roman" w:eastAsia="宋体" w:cs="Times New Roman"/>
                <w:color w:val="auto"/>
                <w:spacing w:val="0"/>
                <w:position w:val="0"/>
                <w:lang w:val="en-US" w:eastAsia="zh-CN"/>
              </w:rPr>
              <w:t>HJ1157-2021</w:t>
            </w:r>
            <w:r>
              <w:rPr>
                <w:rFonts w:hint="eastAsia" w:cs="Times New Roman"/>
                <w:color w:val="auto"/>
                <w:spacing w:val="0"/>
                <w:position w:val="0"/>
                <w:lang w:val="en-US" w:eastAsia="zh-CN"/>
              </w:rPr>
              <w:t>）</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手持仪器或将仪器固定在三脚架上</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一般保持仪器探头中心距离地面（基础面）为1 m</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合理布设监测点位置，兼顾监测技术规范和实际情况，监测结果具有代表性和针对性；</w:t>
            </w:r>
          </w:p>
          <w:p w14:paraId="053F3F5A">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监测时获取足够的数据量，以保证监测结果的统计学精度。监测中异常数据以及监测结果的数据处理按照统计学原则处理；</w:t>
            </w:r>
          </w:p>
          <w:p w14:paraId="4053F774">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建立完整的文件资料。仪器校准</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测试</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证书、监测方案、监测布点图、测量原始数据、统计处理程序等全部保留，以备复查；</w:t>
            </w:r>
          </w:p>
          <w:p w14:paraId="60E34DDB">
            <w:pPr>
              <w:keepNext w:val="0"/>
              <w:keepLines w:val="0"/>
              <w:pageBreakBefore w:val="0"/>
              <w:widowControl w:val="0"/>
              <w:numPr>
                <w:ilvl w:val="0"/>
                <w:numId w:val="8"/>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监测报告严格实行三级审核制度，经过校对、校核，最后由技术负责人审定。</w:t>
            </w:r>
          </w:p>
          <w:p w14:paraId="22AFC2EC">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pacing w:val="0"/>
                <w:position w:val="0"/>
              </w:rPr>
            </w:pPr>
            <w:r>
              <w:rPr>
                <w:rFonts w:hint="eastAsia" w:cs="Times New Roman"/>
                <w:b/>
                <w:bCs/>
                <w:color w:val="auto"/>
                <w:spacing w:val="0"/>
                <w:position w:val="0"/>
                <w:lang w:val="en-US" w:eastAsia="zh-CN"/>
              </w:rPr>
              <w:t>3.</w:t>
            </w:r>
            <w:r>
              <w:rPr>
                <w:rFonts w:hint="default" w:ascii="Times New Roman" w:hAnsi="Times New Roman" w:eastAsia="宋体" w:cs="Times New Roman"/>
                <w:b/>
                <w:bCs/>
                <w:color w:val="auto"/>
                <w:spacing w:val="0"/>
                <w:position w:val="0"/>
              </w:rPr>
              <w:t>检测结果及评价</w:t>
            </w:r>
          </w:p>
          <w:p w14:paraId="4EADE50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云南放卫达检测有限公司</w:t>
            </w:r>
            <w:r>
              <w:rPr>
                <w:rFonts w:hint="default" w:ascii="Times New Roman" w:hAnsi="Times New Roman" w:eastAsia="宋体" w:cs="Times New Roman"/>
                <w:color w:val="auto"/>
                <w:spacing w:val="0"/>
                <w:position w:val="0"/>
              </w:rPr>
              <w:t>于20</w:t>
            </w:r>
            <w:r>
              <w:rPr>
                <w:rFonts w:hint="default" w:ascii="Times New Roman" w:hAnsi="Times New Roman" w:eastAsia="宋体" w:cs="Times New Roman"/>
                <w:color w:val="auto"/>
                <w:spacing w:val="0"/>
                <w:position w:val="0"/>
                <w:lang w:val="en-US" w:eastAsia="zh-CN"/>
              </w:rPr>
              <w:t>2</w:t>
            </w:r>
            <w:r>
              <w:rPr>
                <w:rFonts w:hint="eastAsia" w:cs="Times New Roman"/>
                <w:color w:val="auto"/>
                <w:spacing w:val="0"/>
                <w:position w:val="0"/>
                <w:lang w:val="en-US" w:eastAsia="zh-CN"/>
              </w:rPr>
              <w:t>6</w:t>
            </w:r>
            <w:r>
              <w:rPr>
                <w:rFonts w:hint="default" w:ascii="Times New Roman" w:hAnsi="Times New Roman" w:eastAsia="宋体" w:cs="Times New Roman"/>
                <w:color w:val="auto"/>
                <w:spacing w:val="0"/>
                <w:position w:val="0"/>
              </w:rPr>
              <w:t>年</w:t>
            </w:r>
            <w:r>
              <w:rPr>
                <w:rFonts w:hint="eastAsia" w:cs="Times New Roman"/>
                <w:color w:val="auto"/>
                <w:spacing w:val="0"/>
                <w:position w:val="0"/>
                <w:lang w:val="en-US" w:eastAsia="zh-CN"/>
              </w:rPr>
              <w:t>8</w:t>
            </w:r>
            <w:r>
              <w:rPr>
                <w:rFonts w:hint="default" w:ascii="Times New Roman" w:hAnsi="Times New Roman" w:eastAsia="宋体" w:cs="Times New Roman"/>
                <w:color w:val="auto"/>
                <w:spacing w:val="0"/>
                <w:position w:val="0"/>
              </w:rPr>
              <w:t>月</w:t>
            </w:r>
            <w:r>
              <w:rPr>
                <w:rFonts w:hint="default" w:ascii="Times New Roman" w:hAnsi="Times New Roman" w:eastAsia="宋体" w:cs="Times New Roman"/>
                <w:color w:val="auto"/>
                <w:spacing w:val="0"/>
                <w:position w:val="0"/>
                <w:lang w:val="en-US" w:eastAsia="zh-CN"/>
              </w:rPr>
              <w:t>9</w:t>
            </w:r>
            <w:r>
              <w:rPr>
                <w:rFonts w:hint="default" w:ascii="Times New Roman" w:hAnsi="Times New Roman" w:eastAsia="宋体" w:cs="Times New Roman"/>
                <w:color w:val="auto"/>
                <w:spacing w:val="0"/>
                <w:position w:val="0"/>
              </w:rPr>
              <w:t>日对拟建地的辐射环境本底进行了监测检测</w:t>
            </w:r>
            <w:r>
              <w:rPr>
                <w:rFonts w:hint="default" w:ascii="Times New Roman" w:hAnsi="Times New Roman" w:eastAsia="宋体" w:cs="Times New Roman"/>
                <w:color w:val="auto"/>
                <w:spacing w:val="0"/>
                <w:position w:val="0"/>
                <w:lang w:eastAsia="zh-CN"/>
              </w:rPr>
              <w:t>，根据监测报告，</w:t>
            </w:r>
            <w:r>
              <w:rPr>
                <w:rFonts w:hint="default" w:ascii="Times New Roman" w:hAnsi="Times New Roman" w:eastAsia="宋体" w:cs="Times New Roman"/>
                <w:color w:val="auto"/>
                <w:spacing w:val="0"/>
                <w:position w:val="0"/>
              </w:rPr>
              <w:t>结果见表8-</w:t>
            </w:r>
            <w:r>
              <w:rPr>
                <w:rFonts w:hint="eastAsia" w:cs="Times New Roman"/>
                <w:color w:val="auto"/>
                <w:spacing w:val="0"/>
                <w:position w:val="0"/>
                <w:lang w:val="en-US" w:eastAsia="zh-CN"/>
              </w:rPr>
              <w:t>1</w:t>
            </w:r>
            <w:r>
              <w:rPr>
                <w:rFonts w:hint="default" w:ascii="Times New Roman" w:hAnsi="Times New Roman" w:eastAsia="宋体" w:cs="Times New Roman"/>
                <w:color w:val="auto"/>
                <w:spacing w:val="0"/>
                <w:position w:val="0"/>
              </w:rPr>
              <w:t>，</w:t>
            </w:r>
            <w:r>
              <w:rPr>
                <w:rFonts w:hint="eastAsia" w:cs="Times New Roman"/>
                <w:color w:val="auto"/>
                <w:spacing w:val="0"/>
                <w:position w:val="0"/>
                <w:lang w:eastAsia="zh-CN"/>
              </w:rPr>
              <w:t>监测点位</w:t>
            </w:r>
            <w:r>
              <w:rPr>
                <w:rFonts w:hint="default" w:ascii="Times New Roman" w:hAnsi="Times New Roman" w:eastAsia="宋体" w:cs="Times New Roman"/>
                <w:color w:val="auto"/>
                <w:spacing w:val="0"/>
                <w:position w:val="0"/>
              </w:rPr>
              <w:t>见图8-1、图8-2</w:t>
            </w:r>
            <w:r>
              <w:rPr>
                <w:rFonts w:hint="default" w:ascii="Times New Roman" w:hAnsi="Times New Roman" w:eastAsia="宋体" w:cs="Times New Roman"/>
                <w:color w:val="auto"/>
                <w:spacing w:val="0"/>
                <w:position w:val="0"/>
                <w:highlight w:val="none"/>
              </w:rPr>
              <w:t>。</w:t>
            </w:r>
          </w:p>
          <w:p w14:paraId="68373B6D">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yellow"/>
              </w:rPr>
            </w:pPr>
            <w:bookmarkStart w:id="31" w:name="_Toc31800"/>
            <w:bookmarkStart w:id="32" w:name="_Toc11650"/>
            <w:r>
              <w:rPr>
                <w:rFonts w:hint="default" w:ascii="Times New Roman" w:hAnsi="Times New Roman" w:eastAsia="宋体" w:cs="Times New Roman"/>
                <w:color w:val="auto"/>
                <w:spacing w:val="0"/>
                <w:position w:val="0"/>
                <w:sz w:val="21"/>
                <w:szCs w:val="21"/>
                <w:highlight w:val="none"/>
              </w:rPr>
              <w:t>表8-</w:t>
            </w:r>
            <w:r>
              <w:rPr>
                <w:rFonts w:hint="eastAsia" w:cs="Times New Roman"/>
                <w:color w:val="auto"/>
                <w:spacing w:val="0"/>
                <w:position w:val="0"/>
                <w:sz w:val="21"/>
                <w:szCs w:val="21"/>
                <w:highlight w:val="none"/>
                <w:lang w:val="en-US" w:eastAsia="zh-CN"/>
              </w:rPr>
              <w:t>1</w:t>
            </w:r>
            <w:r>
              <w:rPr>
                <w:rFonts w:hint="default" w:ascii="Times New Roman" w:hAnsi="Times New Roman" w:eastAsia="宋体" w:cs="Times New Roman"/>
                <w:color w:val="auto"/>
                <w:spacing w:val="0"/>
                <w:position w:val="0"/>
                <w:sz w:val="21"/>
                <w:szCs w:val="21"/>
                <w:highlight w:val="none"/>
              </w:rPr>
              <w:t>本项目拟建场所及周围环境的X-γ辐射剂量率检测结果</w:t>
            </w:r>
            <w:bookmarkEnd w:id="31"/>
            <w:bookmarkEnd w:id="32"/>
          </w:p>
          <w:tbl>
            <w:tblPr>
              <w:tblStyle w:val="53"/>
              <w:tblW w:w="494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85"/>
              <w:gridCol w:w="2963"/>
              <w:gridCol w:w="1095"/>
              <w:gridCol w:w="854"/>
              <w:gridCol w:w="793"/>
              <w:gridCol w:w="704"/>
              <w:gridCol w:w="824"/>
              <w:gridCol w:w="989"/>
            </w:tblGrid>
            <w:tr w14:paraId="28DD0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vMerge w:val="restart"/>
                  <w:tcBorders>
                    <w:tl2br w:val="nil"/>
                    <w:tr2bl w:val="nil"/>
                  </w:tcBorders>
                  <w:noWrap w:val="0"/>
                  <w:vAlign w:val="center"/>
                </w:tcPr>
                <w:p w14:paraId="2C1410DB">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4"/>
                      <w:sz w:val="21"/>
                      <w:szCs w:val="21"/>
                    </w:rPr>
                    <w:t>序号</w:t>
                  </w:r>
                </w:p>
              </w:tc>
              <w:tc>
                <w:tcPr>
                  <w:tcW w:w="2964" w:type="dxa"/>
                  <w:vMerge w:val="restart"/>
                  <w:tcBorders>
                    <w:tl2br w:val="nil"/>
                    <w:tr2bl w:val="nil"/>
                  </w:tcBorders>
                  <w:noWrap w:val="0"/>
                  <w:vAlign w:val="center"/>
                </w:tcPr>
                <w:p w14:paraId="7420AD58">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6"/>
                      <w:sz w:val="21"/>
                      <w:szCs w:val="21"/>
                    </w:rPr>
                    <w:t>检测点位置</w:t>
                  </w:r>
                </w:p>
              </w:tc>
              <w:tc>
                <w:tcPr>
                  <w:tcW w:w="1095" w:type="dxa"/>
                  <w:vMerge w:val="restart"/>
                  <w:tcBorders>
                    <w:tl2br w:val="nil"/>
                    <w:tr2bl w:val="nil"/>
                  </w:tcBorders>
                  <w:noWrap w:val="0"/>
                  <w:vAlign w:val="center"/>
                </w:tcPr>
                <w:p w14:paraId="60726450">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6"/>
                      <w:sz w:val="21"/>
                      <w:szCs w:val="21"/>
                    </w:rPr>
                    <w:t>地面介质</w:t>
                  </w:r>
                </w:p>
              </w:tc>
              <w:tc>
                <w:tcPr>
                  <w:tcW w:w="3175" w:type="dxa"/>
                  <w:gridSpan w:val="4"/>
                  <w:tcBorders>
                    <w:tl2br w:val="nil"/>
                    <w:tr2bl w:val="nil"/>
                  </w:tcBorders>
                  <w:noWrap w:val="0"/>
                  <w:vAlign w:val="center"/>
                </w:tcPr>
                <w:p w14:paraId="67D62778">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7"/>
                      <w:sz w:val="21"/>
                      <w:szCs w:val="21"/>
                    </w:rPr>
                    <w:t>检测结果（</w:t>
                  </w:r>
                  <w:r>
                    <w:rPr>
                      <w:rFonts w:hint="default" w:ascii="Times New Roman" w:hAnsi="Times New Roman" w:eastAsia="宋体" w:cs="Times New Roman"/>
                      <w:b/>
                      <w:bCs/>
                      <w:color w:val="auto"/>
                      <w:sz w:val="21"/>
                      <w:szCs w:val="21"/>
                    </w:rPr>
                    <w:t>nGy</w:t>
                  </w:r>
                  <w:r>
                    <w:rPr>
                      <w:rFonts w:hint="default" w:ascii="Times New Roman" w:hAnsi="Times New Roman" w:eastAsia="宋体" w:cs="Times New Roman"/>
                      <w:b/>
                      <w:bCs/>
                      <w:color w:val="auto"/>
                      <w:spacing w:val="7"/>
                      <w:sz w:val="21"/>
                      <w:szCs w:val="21"/>
                    </w:rPr>
                    <w:t>/h）</w:t>
                  </w:r>
                </w:p>
              </w:tc>
              <w:tc>
                <w:tcPr>
                  <w:tcW w:w="989" w:type="dxa"/>
                  <w:vMerge w:val="restart"/>
                  <w:tcBorders>
                    <w:tl2br w:val="nil"/>
                    <w:tr2bl w:val="nil"/>
                  </w:tcBorders>
                  <w:noWrap w:val="0"/>
                  <w:vAlign w:val="center"/>
                </w:tcPr>
                <w:p w14:paraId="47979892">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p w14:paraId="3D66DAFA">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备注</w:t>
                  </w:r>
                </w:p>
              </w:tc>
            </w:tr>
            <w:tr w14:paraId="61F80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vMerge w:val="continue"/>
                  <w:tcBorders>
                    <w:tl2br w:val="nil"/>
                    <w:tr2bl w:val="nil"/>
                  </w:tcBorders>
                  <w:noWrap w:val="0"/>
                  <w:vAlign w:val="center"/>
                </w:tcPr>
                <w:p w14:paraId="3FC12BF1">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c>
                <w:tcPr>
                  <w:tcW w:w="2964" w:type="dxa"/>
                  <w:vMerge w:val="continue"/>
                  <w:tcBorders>
                    <w:tl2br w:val="nil"/>
                    <w:tr2bl w:val="nil"/>
                  </w:tcBorders>
                  <w:noWrap w:val="0"/>
                  <w:vAlign w:val="center"/>
                </w:tcPr>
                <w:p w14:paraId="3FFFD05C">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c>
                <w:tcPr>
                  <w:tcW w:w="1095" w:type="dxa"/>
                  <w:vMerge w:val="continue"/>
                  <w:tcBorders>
                    <w:tl2br w:val="nil"/>
                    <w:tr2bl w:val="nil"/>
                  </w:tcBorders>
                  <w:noWrap w:val="0"/>
                  <w:vAlign w:val="center"/>
                </w:tcPr>
                <w:p w14:paraId="6A51FDBF">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c>
                <w:tcPr>
                  <w:tcW w:w="854" w:type="dxa"/>
                  <w:tcBorders>
                    <w:tl2br w:val="nil"/>
                    <w:tr2bl w:val="nil"/>
                  </w:tcBorders>
                  <w:noWrap w:val="0"/>
                  <w:vAlign w:val="center"/>
                </w:tcPr>
                <w:p w14:paraId="39C49376">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4"/>
                      <w:sz w:val="21"/>
                      <w:szCs w:val="21"/>
                    </w:rPr>
                    <w:t>最小值</w:t>
                  </w:r>
                </w:p>
              </w:tc>
              <w:tc>
                <w:tcPr>
                  <w:tcW w:w="793" w:type="dxa"/>
                  <w:tcBorders>
                    <w:tl2br w:val="nil"/>
                    <w:tr2bl w:val="nil"/>
                  </w:tcBorders>
                  <w:noWrap w:val="0"/>
                  <w:vAlign w:val="center"/>
                </w:tcPr>
                <w:p w14:paraId="55E5FFDF">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4"/>
                      <w:sz w:val="21"/>
                      <w:szCs w:val="21"/>
                    </w:rPr>
                    <w:t>最大值</w:t>
                  </w:r>
                </w:p>
              </w:tc>
              <w:tc>
                <w:tcPr>
                  <w:tcW w:w="704" w:type="dxa"/>
                  <w:tcBorders>
                    <w:tl2br w:val="nil"/>
                    <w:tr2bl w:val="nil"/>
                  </w:tcBorders>
                  <w:noWrap w:val="0"/>
                  <w:vAlign w:val="center"/>
                </w:tcPr>
                <w:p w14:paraId="55CAEFD6">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5"/>
                      <w:sz w:val="21"/>
                      <w:szCs w:val="21"/>
                    </w:rPr>
                    <w:t>平均值</w:t>
                  </w:r>
                </w:p>
              </w:tc>
              <w:tc>
                <w:tcPr>
                  <w:tcW w:w="824" w:type="dxa"/>
                  <w:tcBorders>
                    <w:tl2br w:val="nil"/>
                    <w:tr2bl w:val="nil"/>
                  </w:tcBorders>
                  <w:noWrap w:val="0"/>
                  <w:vAlign w:val="center"/>
                </w:tcPr>
                <w:p w14:paraId="120B64AD">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5"/>
                      <w:sz w:val="21"/>
                      <w:szCs w:val="21"/>
                    </w:rPr>
                    <w:t>标准差</w:t>
                  </w:r>
                </w:p>
              </w:tc>
              <w:tc>
                <w:tcPr>
                  <w:tcW w:w="989" w:type="dxa"/>
                  <w:vMerge w:val="continue"/>
                  <w:tcBorders>
                    <w:tl2br w:val="nil"/>
                    <w:tr2bl w:val="nil"/>
                  </w:tcBorders>
                  <w:noWrap w:val="0"/>
                  <w:vAlign w:val="center"/>
                </w:tcPr>
                <w:p w14:paraId="0C63BECF">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p>
              </w:tc>
            </w:tr>
            <w:tr w14:paraId="5E952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401711FB">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46440530">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lang w:val="en-US"/>
                    </w:rPr>
                  </w:pPr>
                  <w:r>
                    <w:rPr>
                      <w:rFonts w:hint="eastAsia" w:ascii="Times New Roman" w:hAnsi="Times New Roman"/>
                      <w:color w:val="auto"/>
                      <w:kern w:val="0"/>
                      <w:sz w:val="21"/>
                      <w:szCs w:val="21"/>
                      <w:lang w:val="en-US" w:eastAsia="zh-CN"/>
                    </w:rPr>
                    <w:t>拟改造为DSA机房的</w:t>
                  </w:r>
                  <w:r>
                    <w:rPr>
                      <w:rFonts w:hint="default" w:ascii="Times New Roman" w:hAnsi="Times New Roman" w:eastAsia="宋体"/>
                      <w:color w:val="auto"/>
                      <w:kern w:val="0"/>
                      <w:sz w:val="21"/>
                      <w:szCs w:val="21"/>
                      <w:lang w:val="en-US" w:eastAsia="zh-CN"/>
                    </w:rPr>
                    <w:t>14号手术室</w:t>
                  </w:r>
                  <w:r>
                    <w:rPr>
                      <w:rFonts w:hint="eastAsia"/>
                      <w:color w:val="auto"/>
                      <w:kern w:val="0"/>
                      <w:sz w:val="21"/>
                      <w:szCs w:val="21"/>
                      <w:lang w:val="en-US" w:eastAsia="zh-CN"/>
                    </w:rPr>
                    <w:t>内东侧</w:t>
                  </w:r>
                </w:p>
              </w:tc>
              <w:tc>
                <w:tcPr>
                  <w:tcW w:w="1095" w:type="dxa"/>
                  <w:tcBorders>
                    <w:tl2br w:val="nil"/>
                    <w:tr2bl w:val="nil"/>
                  </w:tcBorders>
                  <w:noWrap w:val="0"/>
                  <w:vAlign w:val="center"/>
                </w:tcPr>
                <w:p w14:paraId="1679D1FA">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789654D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42</w:t>
                  </w:r>
                </w:p>
              </w:tc>
              <w:tc>
                <w:tcPr>
                  <w:tcW w:w="793" w:type="dxa"/>
                  <w:tcBorders>
                    <w:tl2br w:val="nil"/>
                    <w:tr2bl w:val="nil"/>
                  </w:tcBorders>
                  <w:noWrap w:val="0"/>
                  <w:vAlign w:val="center"/>
                </w:tcPr>
                <w:p w14:paraId="65B976B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44</w:t>
                  </w:r>
                </w:p>
              </w:tc>
              <w:tc>
                <w:tcPr>
                  <w:tcW w:w="704" w:type="dxa"/>
                  <w:tcBorders>
                    <w:tl2br w:val="nil"/>
                    <w:tr2bl w:val="nil"/>
                  </w:tcBorders>
                  <w:noWrap w:val="0"/>
                  <w:vAlign w:val="center"/>
                </w:tcPr>
                <w:p w14:paraId="60ED12C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43</w:t>
                  </w:r>
                </w:p>
              </w:tc>
              <w:tc>
                <w:tcPr>
                  <w:tcW w:w="824" w:type="dxa"/>
                  <w:tcBorders>
                    <w:tl2br w:val="nil"/>
                    <w:tr2bl w:val="nil"/>
                  </w:tcBorders>
                  <w:noWrap w:val="0"/>
                  <w:vAlign w:val="center"/>
                </w:tcPr>
                <w:p w14:paraId="25F3586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291F21A0">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532F7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744AD519">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11F7B7F2">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拟改造为DSA机房的14号手术室内</w:t>
                  </w:r>
                  <w:r>
                    <w:rPr>
                      <w:rFonts w:hint="eastAsia"/>
                      <w:color w:val="auto"/>
                      <w:kern w:val="0"/>
                      <w:sz w:val="21"/>
                      <w:szCs w:val="21"/>
                      <w:lang w:val="en-US" w:eastAsia="zh-CN"/>
                    </w:rPr>
                    <w:t>西</w:t>
                  </w:r>
                  <w:r>
                    <w:rPr>
                      <w:rFonts w:hint="default" w:ascii="Times New Roman" w:hAnsi="Times New Roman" w:eastAsia="宋体"/>
                      <w:color w:val="auto"/>
                      <w:kern w:val="0"/>
                      <w:sz w:val="21"/>
                      <w:szCs w:val="21"/>
                      <w:lang w:val="en-US" w:eastAsia="zh-CN"/>
                    </w:rPr>
                    <w:t>侧</w:t>
                  </w:r>
                </w:p>
              </w:tc>
              <w:tc>
                <w:tcPr>
                  <w:tcW w:w="1095" w:type="dxa"/>
                  <w:tcBorders>
                    <w:tl2br w:val="nil"/>
                    <w:tr2bl w:val="nil"/>
                  </w:tcBorders>
                  <w:noWrap w:val="0"/>
                  <w:vAlign w:val="center"/>
                </w:tcPr>
                <w:p w14:paraId="6859D516">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34C510C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45</w:t>
                  </w:r>
                </w:p>
              </w:tc>
              <w:tc>
                <w:tcPr>
                  <w:tcW w:w="793" w:type="dxa"/>
                  <w:tcBorders>
                    <w:tl2br w:val="nil"/>
                    <w:tr2bl w:val="nil"/>
                  </w:tcBorders>
                  <w:noWrap w:val="0"/>
                  <w:vAlign w:val="center"/>
                </w:tcPr>
                <w:p w14:paraId="35E120C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48</w:t>
                  </w:r>
                </w:p>
              </w:tc>
              <w:tc>
                <w:tcPr>
                  <w:tcW w:w="704" w:type="dxa"/>
                  <w:tcBorders>
                    <w:tl2br w:val="nil"/>
                    <w:tr2bl w:val="nil"/>
                  </w:tcBorders>
                  <w:noWrap w:val="0"/>
                  <w:vAlign w:val="center"/>
                </w:tcPr>
                <w:p w14:paraId="46649BF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47</w:t>
                  </w:r>
                </w:p>
              </w:tc>
              <w:tc>
                <w:tcPr>
                  <w:tcW w:w="824" w:type="dxa"/>
                  <w:tcBorders>
                    <w:tl2br w:val="nil"/>
                    <w:tr2bl w:val="nil"/>
                  </w:tcBorders>
                  <w:noWrap w:val="0"/>
                  <w:vAlign w:val="center"/>
                </w:tcPr>
                <w:p w14:paraId="3B03C60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5B72852B">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1C0A9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5C331DFB">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6A45F7B5">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拟改造为DSA机房的1</w:t>
                  </w:r>
                  <w:r>
                    <w:rPr>
                      <w:rFonts w:hint="eastAsia" w:ascii="Times New Roman" w:hAnsi="Times New Roman"/>
                      <w:color w:val="auto"/>
                      <w:kern w:val="0"/>
                      <w:sz w:val="21"/>
                      <w:szCs w:val="21"/>
                      <w:lang w:val="en-US" w:eastAsia="zh-CN"/>
                    </w:rPr>
                    <w:t>5</w:t>
                  </w:r>
                  <w:r>
                    <w:rPr>
                      <w:rFonts w:hint="default" w:ascii="Times New Roman" w:hAnsi="Times New Roman" w:eastAsia="宋体"/>
                      <w:color w:val="auto"/>
                      <w:kern w:val="0"/>
                      <w:sz w:val="21"/>
                      <w:szCs w:val="21"/>
                      <w:lang w:val="en-US" w:eastAsia="zh-CN"/>
                    </w:rPr>
                    <w:t>号手术室内</w:t>
                  </w:r>
                  <w:r>
                    <w:rPr>
                      <w:rFonts w:hint="eastAsia"/>
                      <w:color w:val="auto"/>
                      <w:kern w:val="0"/>
                      <w:sz w:val="21"/>
                      <w:szCs w:val="21"/>
                      <w:lang w:val="en-US" w:eastAsia="zh-CN"/>
                    </w:rPr>
                    <w:t>北</w:t>
                  </w:r>
                  <w:r>
                    <w:rPr>
                      <w:rFonts w:hint="default" w:ascii="Times New Roman" w:hAnsi="Times New Roman" w:eastAsia="宋体"/>
                      <w:color w:val="auto"/>
                      <w:kern w:val="0"/>
                      <w:sz w:val="21"/>
                      <w:szCs w:val="21"/>
                      <w:lang w:val="en-US" w:eastAsia="zh-CN"/>
                    </w:rPr>
                    <w:t>侧</w:t>
                  </w:r>
                </w:p>
              </w:tc>
              <w:tc>
                <w:tcPr>
                  <w:tcW w:w="1095" w:type="dxa"/>
                  <w:tcBorders>
                    <w:tl2br w:val="nil"/>
                    <w:tr2bl w:val="nil"/>
                  </w:tcBorders>
                  <w:noWrap w:val="0"/>
                  <w:vAlign w:val="center"/>
                </w:tcPr>
                <w:p w14:paraId="3FD316E0">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2A0E9B2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41</w:t>
                  </w:r>
                </w:p>
              </w:tc>
              <w:tc>
                <w:tcPr>
                  <w:tcW w:w="793" w:type="dxa"/>
                  <w:tcBorders>
                    <w:tl2br w:val="nil"/>
                    <w:tr2bl w:val="nil"/>
                  </w:tcBorders>
                  <w:noWrap w:val="0"/>
                  <w:vAlign w:val="center"/>
                </w:tcPr>
                <w:p w14:paraId="0741460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44</w:t>
                  </w:r>
                </w:p>
              </w:tc>
              <w:tc>
                <w:tcPr>
                  <w:tcW w:w="704" w:type="dxa"/>
                  <w:tcBorders>
                    <w:tl2br w:val="nil"/>
                    <w:tr2bl w:val="nil"/>
                  </w:tcBorders>
                  <w:noWrap w:val="0"/>
                  <w:vAlign w:val="center"/>
                </w:tcPr>
                <w:p w14:paraId="30C1671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43</w:t>
                  </w:r>
                </w:p>
              </w:tc>
              <w:tc>
                <w:tcPr>
                  <w:tcW w:w="824" w:type="dxa"/>
                  <w:tcBorders>
                    <w:tl2br w:val="nil"/>
                    <w:tr2bl w:val="nil"/>
                  </w:tcBorders>
                  <w:noWrap w:val="0"/>
                  <w:vAlign w:val="center"/>
                </w:tcPr>
                <w:p w14:paraId="2A6E88D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2CB53564">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22C6D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7FBB9BD5">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41594BDC">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拟改造为DSA机房的1</w:t>
                  </w:r>
                  <w:r>
                    <w:rPr>
                      <w:rFonts w:hint="eastAsia" w:ascii="Times New Roman" w:hAnsi="Times New Roman"/>
                      <w:color w:val="auto"/>
                      <w:kern w:val="0"/>
                      <w:sz w:val="21"/>
                      <w:szCs w:val="21"/>
                      <w:lang w:val="en-US" w:eastAsia="zh-CN"/>
                    </w:rPr>
                    <w:t>5</w:t>
                  </w:r>
                  <w:r>
                    <w:rPr>
                      <w:rFonts w:hint="default" w:ascii="Times New Roman" w:hAnsi="Times New Roman" w:eastAsia="宋体"/>
                      <w:color w:val="auto"/>
                      <w:kern w:val="0"/>
                      <w:sz w:val="21"/>
                      <w:szCs w:val="21"/>
                      <w:lang w:val="en-US" w:eastAsia="zh-CN"/>
                    </w:rPr>
                    <w:t>号手术室内</w:t>
                  </w:r>
                  <w:r>
                    <w:rPr>
                      <w:rFonts w:hint="eastAsia"/>
                      <w:color w:val="auto"/>
                      <w:kern w:val="0"/>
                      <w:sz w:val="21"/>
                      <w:szCs w:val="21"/>
                      <w:lang w:val="en-US" w:eastAsia="zh-CN"/>
                    </w:rPr>
                    <w:t>南侧</w:t>
                  </w:r>
                </w:p>
              </w:tc>
              <w:tc>
                <w:tcPr>
                  <w:tcW w:w="1095" w:type="dxa"/>
                  <w:tcBorders>
                    <w:tl2br w:val="nil"/>
                    <w:tr2bl w:val="nil"/>
                  </w:tcBorders>
                  <w:noWrap w:val="0"/>
                  <w:vAlign w:val="center"/>
                </w:tcPr>
                <w:p w14:paraId="11CF0DC8">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4643B78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47</w:t>
                  </w:r>
                </w:p>
              </w:tc>
              <w:tc>
                <w:tcPr>
                  <w:tcW w:w="793" w:type="dxa"/>
                  <w:tcBorders>
                    <w:tl2br w:val="nil"/>
                    <w:tr2bl w:val="nil"/>
                  </w:tcBorders>
                  <w:noWrap w:val="0"/>
                  <w:vAlign w:val="center"/>
                </w:tcPr>
                <w:p w14:paraId="57210F5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50</w:t>
                  </w:r>
                </w:p>
              </w:tc>
              <w:tc>
                <w:tcPr>
                  <w:tcW w:w="704" w:type="dxa"/>
                  <w:tcBorders>
                    <w:tl2br w:val="nil"/>
                    <w:tr2bl w:val="nil"/>
                  </w:tcBorders>
                  <w:noWrap w:val="0"/>
                  <w:vAlign w:val="center"/>
                </w:tcPr>
                <w:p w14:paraId="1A3DAA2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48</w:t>
                  </w:r>
                </w:p>
              </w:tc>
              <w:tc>
                <w:tcPr>
                  <w:tcW w:w="824" w:type="dxa"/>
                  <w:tcBorders>
                    <w:tl2br w:val="nil"/>
                    <w:tr2bl w:val="nil"/>
                  </w:tcBorders>
                  <w:noWrap w:val="0"/>
                  <w:vAlign w:val="center"/>
                </w:tcPr>
                <w:p w14:paraId="20B5288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2275A3A2">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786B2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55FC32EF">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4B3AE6C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w:t>
                  </w:r>
                  <w:r>
                    <w:rPr>
                      <w:rFonts w:hint="eastAsia" w:ascii="Times New Roman" w:hAnsi="Times New Roman"/>
                      <w:color w:val="auto"/>
                      <w:kern w:val="0"/>
                      <w:sz w:val="21"/>
                      <w:szCs w:val="21"/>
                      <w:lang w:val="en-US" w:eastAsia="zh-CN"/>
                    </w:rPr>
                    <w:t>建</w:t>
                  </w:r>
                  <w:r>
                    <w:rPr>
                      <w:rFonts w:hint="default" w:ascii="Times New Roman" w:hAnsi="Times New Roman" w:eastAsia="宋体"/>
                      <w:color w:val="auto"/>
                      <w:kern w:val="0"/>
                      <w:sz w:val="21"/>
                      <w:szCs w:val="21"/>
                      <w:lang w:val="en-US" w:eastAsia="zh-CN"/>
                    </w:rPr>
                    <w:t>DSA机房</w:t>
                  </w:r>
                  <w:r>
                    <w:rPr>
                      <w:rFonts w:hint="eastAsia" w:ascii="Times New Roman" w:hAnsi="Times New Roman"/>
                      <w:color w:val="auto"/>
                      <w:kern w:val="0"/>
                      <w:sz w:val="21"/>
                      <w:szCs w:val="21"/>
                      <w:lang w:val="en-US" w:eastAsia="zh-CN"/>
                    </w:rPr>
                    <w:t>东侧16号手术室内北侧</w:t>
                  </w:r>
                </w:p>
              </w:tc>
              <w:tc>
                <w:tcPr>
                  <w:tcW w:w="1095" w:type="dxa"/>
                  <w:tcBorders>
                    <w:tl2br w:val="nil"/>
                    <w:tr2bl w:val="nil"/>
                  </w:tcBorders>
                  <w:noWrap w:val="0"/>
                  <w:vAlign w:val="center"/>
                </w:tcPr>
                <w:p w14:paraId="376452D7">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22557E9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46</w:t>
                  </w:r>
                </w:p>
              </w:tc>
              <w:tc>
                <w:tcPr>
                  <w:tcW w:w="793" w:type="dxa"/>
                  <w:tcBorders>
                    <w:tl2br w:val="nil"/>
                    <w:tr2bl w:val="nil"/>
                  </w:tcBorders>
                  <w:noWrap w:val="0"/>
                  <w:vAlign w:val="center"/>
                </w:tcPr>
                <w:p w14:paraId="253B823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48</w:t>
                  </w:r>
                </w:p>
              </w:tc>
              <w:tc>
                <w:tcPr>
                  <w:tcW w:w="704" w:type="dxa"/>
                  <w:tcBorders>
                    <w:tl2br w:val="nil"/>
                    <w:tr2bl w:val="nil"/>
                  </w:tcBorders>
                  <w:noWrap w:val="0"/>
                  <w:vAlign w:val="center"/>
                </w:tcPr>
                <w:p w14:paraId="62B1C06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47</w:t>
                  </w:r>
                </w:p>
              </w:tc>
              <w:tc>
                <w:tcPr>
                  <w:tcW w:w="824" w:type="dxa"/>
                  <w:tcBorders>
                    <w:tl2br w:val="nil"/>
                    <w:tr2bl w:val="nil"/>
                  </w:tcBorders>
                  <w:noWrap w:val="0"/>
                  <w:vAlign w:val="center"/>
                </w:tcPr>
                <w:p w14:paraId="14C65FF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196CE8A5">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18D19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4A5F8D6F">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07702A39">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拟建DSA机房东侧16号手术室内</w:t>
                  </w:r>
                  <w:r>
                    <w:rPr>
                      <w:rFonts w:hint="eastAsia"/>
                      <w:color w:val="auto"/>
                      <w:kern w:val="0"/>
                      <w:sz w:val="21"/>
                      <w:szCs w:val="21"/>
                      <w:lang w:val="en-US" w:eastAsia="zh-CN"/>
                    </w:rPr>
                    <w:t>南</w:t>
                  </w:r>
                  <w:r>
                    <w:rPr>
                      <w:rFonts w:hint="default" w:ascii="Times New Roman" w:hAnsi="Times New Roman" w:eastAsia="宋体"/>
                      <w:color w:val="auto"/>
                      <w:kern w:val="0"/>
                      <w:sz w:val="21"/>
                      <w:szCs w:val="21"/>
                      <w:lang w:val="en-US" w:eastAsia="zh-CN"/>
                    </w:rPr>
                    <w:t>侧</w:t>
                  </w:r>
                </w:p>
              </w:tc>
              <w:tc>
                <w:tcPr>
                  <w:tcW w:w="1095" w:type="dxa"/>
                  <w:tcBorders>
                    <w:tl2br w:val="nil"/>
                    <w:tr2bl w:val="nil"/>
                  </w:tcBorders>
                  <w:noWrap w:val="0"/>
                  <w:vAlign w:val="center"/>
                </w:tcPr>
                <w:p w14:paraId="2362F227">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6E5624E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793" w:type="dxa"/>
                  <w:tcBorders>
                    <w:tl2br w:val="nil"/>
                    <w:tr2bl w:val="nil"/>
                  </w:tcBorders>
                  <w:noWrap w:val="0"/>
                  <w:vAlign w:val="center"/>
                </w:tcPr>
                <w:p w14:paraId="0A7E0B3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42</w:t>
                  </w:r>
                </w:p>
              </w:tc>
              <w:tc>
                <w:tcPr>
                  <w:tcW w:w="704" w:type="dxa"/>
                  <w:tcBorders>
                    <w:tl2br w:val="nil"/>
                    <w:tr2bl w:val="nil"/>
                  </w:tcBorders>
                  <w:noWrap w:val="0"/>
                  <w:vAlign w:val="center"/>
                </w:tcPr>
                <w:p w14:paraId="66AB69D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41</w:t>
                  </w:r>
                </w:p>
              </w:tc>
              <w:tc>
                <w:tcPr>
                  <w:tcW w:w="824" w:type="dxa"/>
                  <w:tcBorders>
                    <w:tl2br w:val="nil"/>
                    <w:tr2bl w:val="nil"/>
                  </w:tcBorders>
                  <w:noWrap w:val="0"/>
                  <w:vAlign w:val="center"/>
                </w:tcPr>
                <w:p w14:paraId="68E7BF2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425EEB72">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2B529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22FFDD97">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7A46F9CB">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拟建DSA机房</w:t>
                  </w:r>
                  <w:r>
                    <w:rPr>
                      <w:rFonts w:hint="eastAsia" w:ascii="Times New Roman" w:hAnsi="Times New Roman"/>
                      <w:color w:val="auto"/>
                      <w:kern w:val="0"/>
                      <w:sz w:val="21"/>
                      <w:szCs w:val="21"/>
                      <w:lang w:val="en-US" w:eastAsia="zh-CN"/>
                    </w:rPr>
                    <w:t>西</w:t>
                  </w:r>
                  <w:r>
                    <w:rPr>
                      <w:rFonts w:hint="default" w:ascii="Times New Roman" w:hAnsi="Times New Roman" w:eastAsia="宋体"/>
                      <w:color w:val="auto"/>
                      <w:kern w:val="0"/>
                      <w:sz w:val="21"/>
                      <w:szCs w:val="21"/>
                      <w:lang w:val="en-US" w:eastAsia="zh-CN"/>
                    </w:rPr>
                    <w:t>侧</w:t>
                  </w:r>
                  <w:r>
                    <w:rPr>
                      <w:rFonts w:hint="eastAsia" w:ascii="Times New Roman" w:hAnsi="Times New Roman"/>
                      <w:color w:val="auto"/>
                      <w:kern w:val="0"/>
                      <w:sz w:val="21"/>
                      <w:szCs w:val="21"/>
                      <w:lang w:val="en-US" w:eastAsia="zh-CN"/>
                    </w:rPr>
                    <w:t>13</w:t>
                  </w:r>
                  <w:r>
                    <w:rPr>
                      <w:rFonts w:hint="default" w:ascii="Times New Roman" w:hAnsi="Times New Roman" w:eastAsia="宋体"/>
                      <w:color w:val="auto"/>
                      <w:kern w:val="0"/>
                      <w:sz w:val="21"/>
                      <w:szCs w:val="21"/>
                      <w:lang w:val="en-US" w:eastAsia="zh-CN"/>
                    </w:rPr>
                    <w:t>号手术室内</w:t>
                  </w:r>
                  <w:r>
                    <w:rPr>
                      <w:rFonts w:hint="eastAsia"/>
                      <w:color w:val="auto"/>
                      <w:kern w:val="0"/>
                      <w:sz w:val="21"/>
                      <w:szCs w:val="21"/>
                      <w:lang w:val="en-US" w:eastAsia="zh-CN"/>
                    </w:rPr>
                    <w:t>东</w:t>
                  </w:r>
                  <w:r>
                    <w:rPr>
                      <w:rFonts w:hint="default" w:ascii="Times New Roman" w:hAnsi="Times New Roman" w:eastAsia="宋体"/>
                      <w:color w:val="auto"/>
                      <w:kern w:val="0"/>
                      <w:sz w:val="21"/>
                      <w:szCs w:val="21"/>
                      <w:lang w:val="en-US" w:eastAsia="zh-CN"/>
                    </w:rPr>
                    <w:t>侧</w:t>
                  </w:r>
                </w:p>
              </w:tc>
              <w:tc>
                <w:tcPr>
                  <w:tcW w:w="1095" w:type="dxa"/>
                  <w:tcBorders>
                    <w:tl2br w:val="nil"/>
                    <w:tr2bl w:val="nil"/>
                  </w:tcBorders>
                  <w:noWrap w:val="0"/>
                  <w:vAlign w:val="center"/>
                </w:tcPr>
                <w:p w14:paraId="3C98B657">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0287938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37</w:t>
                  </w:r>
                </w:p>
              </w:tc>
              <w:tc>
                <w:tcPr>
                  <w:tcW w:w="793" w:type="dxa"/>
                  <w:tcBorders>
                    <w:tl2br w:val="nil"/>
                    <w:tr2bl w:val="nil"/>
                  </w:tcBorders>
                  <w:noWrap w:val="0"/>
                  <w:vAlign w:val="center"/>
                </w:tcPr>
                <w:p w14:paraId="4FFF425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704" w:type="dxa"/>
                  <w:tcBorders>
                    <w:tl2br w:val="nil"/>
                    <w:tr2bl w:val="nil"/>
                  </w:tcBorders>
                  <w:noWrap w:val="0"/>
                  <w:vAlign w:val="center"/>
                </w:tcPr>
                <w:p w14:paraId="2896F4D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39</w:t>
                  </w:r>
                </w:p>
              </w:tc>
              <w:tc>
                <w:tcPr>
                  <w:tcW w:w="824" w:type="dxa"/>
                  <w:tcBorders>
                    <w:tl2br w:val="nil"/>
                    <w:tr2bl w:val="nil"/>
                  </w:tcBorders>
                  <w:noWrap w:val="0"/>
                  <w:vAlign w:val="center"/>
                </w:tcPr>
                <w:p w14:paraId="2FD9AD1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2C8C94CF">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31EDD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132992AA">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6AE9F2BC">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color w:val="auto"/>
                      <w:kern w:val="0"/>
                      <w:sz w:val="21"/>
                      <w:szCs w:val="21"/>
                      <w:lang w:val="en-US" w:eastAsia="zh-CN"/>
                    </w:rPr>
                    <w:t>拟建DSA机房</w:t>
                  </w:r>
                  <w:r>
                    <w:rPr>
                      <w:rFonts w:hint="eastAsia" w:ascii="Times New Roman" w:hAnsi="Times New Roman"/>
                      <w:color w:val="auto"/>
                      <w:kern w:val="0"/>
                      <w:sz w:val="21"/>
                      <w:szCs w:val="21"/>
                      <w:lang w:val="en-US" w:eastAsia="zh-CN"/>
                    </w:rPr>
                    <w:t>北侧洁净通道</w:t>
                  </w:r>
                  <w:r>
                    <w:rPr>
                      <w:rFonts w:hint="eastAsia"/>
                      <w:color w:val="auto"/>
                      <w:kern w:val="0"/>
                      <w:sz w:val="21"/>
                      <w:szCs w:val="21"/>
                      <w:lang w:val="en-US" w:eastAsia="zh-CN"/>
                    </w:rPr>
                    <w:t>靠本项目机房侧</w:t>
                  </w:r>
                </w:p>
              </w:tc>
              <w:tc>
                <w:tcPr>
                  <w:tcW w:w="1095" w:type="dxa"/>
                  <w:tcBorders>
                    <w:tl2br w:val="nil"/>
                    <w:tr2bl w:val="nil"/>
                  </w:tcBorders>
                  <w:noWrap w:val="0"/>
                  <w:vAlign w:val="center"/>
                </w:tcPr>
                <w:p w14:paraId="3FB7A275">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7A1E917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44</w:t>
                  </w:r>
                </w:p>
              </w:tc>
              <w:tc>
                <w:tcPr>
                  <w:tcW w:w="793" w:type="dxa"/>
                  <w:tcBorders>
                    <w:tl2br w:val="nil"/>
                    <w:tr2bl w:val="nil"/>
                  </w:tcBorders>
                  <w:noWrap w:val="0"/>
                  <w:vAlign w:val="center"/>
                </w:tcPr>
                <w:p w14:paraId="424201A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48</w:t>
                  </w:r>
                </w:p>
              </w:tc>
              <w:tc>
                <w:tcPr>
                  <w:tcW w:w="704" w:type="dxa"/>
                  <w:tcBorders>
                    <w:tl2br w:val="nil"/>
                    <w:tr2bl w:val="nil"/>
                  </w:tcBorders>
                  <w:noWrap w:val="0"/>
                  <w:vAlign w:val="center"/>
                </w:tcPr>
                <w:p w14:paraId="060D7D3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46</w:t>
                  </w:r>
                </w:p>
              </w:tc>
              <w:tc>
                <w:tcPr>
                  <w:tcW w:w="824" w:type="dxa"/>
                  <w:tcBorders>
                    <w:tl2br w:val="nil"/>
                    <w:tr2bl w:val="nil"/>
                  </w:tcBorders>
                  <w:noWrap w:val="0"/>
                  <w:vAlign w:val="center"/>
                </w:tcPr>
                <w:p w14:paraId="5DF79E3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53D449A7">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23D6A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45532402">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1614012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拟建DSA机房北侧洁净通道靠本项目机房侧</w:t>
                  </w:r>
                </w:p>
              </w:tc>
              <w:tc>
                <w:tcPr>
                  <w:tcW w:w="1095" w:type="dxa"/>
                  <w:tcBorders>
                    <w:tl2br w:val="nil"/>
                    <w:tr2bl w:val="nil"/>
                  </w:tcBorders>
                  <w:noWrap w:val="0"/>
                  <w:vAlign w:val="center"/>
                </w:tcPr>
                <w:p w14:paraId="694A36C9">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04CED20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793" w:type="dxa"/>
                  <w:tcBorders>
                    <w:tl2br w:val="nil"/>
                    <w:tr2bl w:val="nil"/>
                  </w:tcBorders>
                  <w:noWrap w:val="0"/>
                  <w:vAlign w:val="center"/>
                </w:tcPr>
                <w:p w14:paraId="69DEED9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43</w:t>
                  </w:r>
                </w:p>
              </w:tc>
              <w:tc>
                <w:tcPr>
                  <w:tcW w:w="704" w:type="dxa"/>
                  <w:tcBorders>
                    <w:tl2br w:val="nil"/>
                    <w:tr2bl w:val="nil"/>
                  </w:tcBorders>
                  <w:noWrap w:val="0"/>
                  <w:vAlign w:val="center"/>
                </w:tcPr>
                <w:p w14:paraId="0E3A498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41</w:t>
                  </w:r>
                </w:p>
              </w:tc>
              <w:tc>
                <w:tcPr>
                  <w:tcW w:w="824" w:type="dxa"/>
                  <w:tcBorders>
                    <w:tl2br w:val="nil"/>
                    <w:tr2bl w:val="nil"/>
                  </w:tcBorders>
                  <w:noWrap w:val="0"/>
                  <w:vAlign w:val="center"/>
                </w:tcPr>
                <w:p w14:paraId="540166B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3C04BFA8">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2E0B1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315B54A7">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1725E9F3">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拟建DSA机房</w:t>
                  </w:r>
                  <w:r>
                    <w:rPr>
                      <w:rFonts w:hint="eastAsia" w:ascii="Times New Roman" w:hAnsi="Times New Roman"/>
                      <w:color w:val="auto"/>
                      <w:kern w:val="0"/>
                      <w:sz w:val="21"/>
                      <w:szCs w:val="21"/>
                      <w:lang w:val="en-US" w:eastAsia="zh-CN"/>
                    </w:rPr>
                    <w:t>南侧污物</w:t>
                  </w:r>
                  <w:r>
                    <w:rPr>
                      <w:rFonts w:hint="default" w:ascii="Times New Roman" w:hAnsi="Times New Roman" w:eastAsia="宋体"/>
                      <w:color w:val="auto"/>
                      <w:kern w:val="0"/>
                      <w:sz w:val="21"/>
                      <w:szCs w:val="21"/>
                      <w:lang w:val="en-US" w:eastAsia="zh-CN"/>
                    </w:rPr>
                    <w:t>通道靠本项目机房侧</w:t>
                  </w:r>
                </w:p>
              </w:tc>
              <w:tc>
                <w:tcPr>
                  <w:tcW w:w="1095" w:type="dxa"/>
                  <w:tcBorders>
                    <w:tl2br w:val="nil"/>
                    <w:tr2bl w:val="nil"/>
                  </w:tcBorders>
                  <w:noWrap w:val="0"/>
                  <w:vAlign w:val="center"/>
                </w:tcPr>
                <w:p w14:paraId="38B4AB2E">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3B72042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793" w:type="dxa"/>
                  <w:tcBorders>
                    <w:tl2br w:val="nil"/>
                    <w:tr2bl w:val="nil"/>
                  </w:tcBorders>
                  <w:noWrap w:val="0"/>
                  <w:vAlign w:val="center"/>
                </w:tcPr>
                <w:p w14:paraId="0B7AF92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42</w:t>
                  </w:r>
                </w:p>
              </w:tc>
              <w:tc>
                <w:tcPr>
                  <w:tcW w:w="704" w:type="dxa"/>
                  <w:tcBorders>
                    <w:tl2br w:val="nil"/>
                    <w:tr2bl w:val="nil"/>
                  </w:tcBorders>
                  <w:noWrap w:val="0"/>
                  <w:vAlign w:val="center"/>
                </w:tcPr>
                <w:p w14:paraId="6A85F10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824" w:type="dxa"/>
                  <w:tcBorders>
                    <w:tl2br w:val="nil"/>
                    <w:tr2bl w:val="nil"/>
                  </w:tcBorders>
                  <w:noWrap w:val="0"/>
                  <w:vAlign w:val="center"/>
                </w:tcPr>
                <w:p w14:paraId="64D3D44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01D5A62B">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4258C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68700C05">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3D2855F7">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olor w:val="auto"/>
                      <w:kern w:val="0"/>
                      <w:sz w:val="21"/>
                      <w:szCs w:val="21"/>
                      <w:lang w:val="en-US" w:eastAsia="zh-CN"/>
                    </w:rPr>
                    <w:t>拟建DSA机房南侧污物通道靠本项目机房侧</w:t>
                  </w:r>
                </w:p>
              </w:tc>
              <w:tc>
                <w:tcPr>
                  <w:tcW w:w="1095" w:type="dxa"/>
                  <w:tcBorders>
                    <w:tl2br w:val="nil"/>
                    <w:tr2bl w:val="nil"/>
                  </w:tcBorders>
                  <w:noWrap w:val="0"/>
                  <w:vAlign w:val="center"/>
                </w:tcPr>
                <w:p w14:paraId="1EC33A3D">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4421169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43</w:t>
                  </w:r>
                </w:p>
              </w:tc>
              <w:tc>
                <w:tcPr>
                  <w:tcW w:w="793" w:type="dxa"/>
                  <w:tcBorders>
                    <w:tl2br w:val="nil"/>
                    <w:tr2bl w:val="nil"/>
                  </w:tcBorders>
                  <w:noWrap w:val="0"/>
                  <w:vAlign w:val="center"/>
                </w:tcPr>
                <w:p w14:paraId="4441E6C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45</w:t>
                  </w:r>
                </w:p>
              </w:tc>
              <w:tc>
                <w:tcPr>
                  <w:tcW w:w="704" w:type="dxa"/>
                  <w:tcBorders>
                    <w:tl2br w:val="nil"/>
                    <w:tr2bl w:val="nil"/>
                  </w:tcBorders>
                  <w:noWrap w:val="0"/>
                  <w:vAlign w:val="center"/>
                </w:tcPr>
                <w:p w14:paraId="7D6ED02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44</w:t>
                  </w:r>
                </w:p>
              </w:tc>
              <w:tc>
                <w:tcPr>
                  <w:tcW w:w="824" w:type="dxa"/>
                  <w:tcBorders>
                    <w:tl2br w:val="nil"/>
                    <w:tr2bl w:val="nil"/>
                  </w:tcBorders>
                  <w:noWrap w:val="0"/>
                  <w:vAlign w:val="center"/>
                </w:tcPr>
                <w:p w14:paraId="09825B7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2F78995C">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5B0B8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04338926">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7D4AABC7">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color w:val="auto"/>
                      <w:kern w:val="0"/>
                      <w:sz w:val="21"/>
                      <w:szCs w:val="21"/>
                      <w:lang w:val="en-US" w:eastAsia="zh-CN"/>
                    </w:rPr>
                    <w:t>拟建DSA机房</w:t>
                  </w:r>
                  <w:r>
                    <w:rPr>
                      <w:rFonts w:hint="eastAsia" w:ascii="Times New Roman" w:hAnsi="Times New Roman"/>
                      <w:color w:val="auto"/>
                      <w:kern w:val="0"/>
                      <w:sz w:val="21"/>
                      <w:szCs w:val="21"/>
                      <w:lang w:val="en-US" w:eastAsia="zh-CN"/>
                    </w:rPr>
                    <w:t>上方病房（癫痫病房）</w:t>
                  </w:r>
                  <w:r>
                    <w:rPr>
                      <w:rFonts w:hint="eastAsia"/>
                      <w:color w:val="auto"/>
                      <w:kern w:val="0"/>
                      <w:sz w:val="21"/>
                      <w:szCs w:val="21"/>
                      <w:lang w:val="en-US" w:eastAsia="zh-CN"/>
                    </w:rPr>
                    <w:t>房间中部</w:t>
                  </w:r>
                </w:p>
              </w:tc>
              <w:tc>
                <w:tcPr>
                  <w:tcW w:w="1095" w:type="dxa"/>
                  <w:tcBorders>
                    <w:tl2br w:val="nil"/>
                    <w:tr2bl w:val="nil"/>
                  </w:tcBorders>
                  <w:noWrap w:val="0"/>
                  <w:vAlign w:val="center"/>
                </w:tcPr>
                <w:p w14:paraId="4487DF52">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43A736B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46</w:t>
                  </w:r>
                </w:p>
              </w:tc>
              <w:tc>
                <w:tcPr>
                  <w:tcW w:w="793" w:type="dxa"/>
                  <w:tcBorders>
                    <w:tl2br w:val="nil"/>
                    <w:tr2bl w:val="nil"/>
                  </w:tcBorders>
                  <w:noWrap w:val="0"/>
                  <w:vAlign w:val="center"/>
                </w:tcPr>
                <w:p w14:paraId="700CAF6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49</w:t>
                  </w:r>
                </w:p>
              </w:tc>
              <w:tc>
                <w:tcPr>
                  <w:tcW w:w="704" w:type="dxa"/>
                  <w:tcBorders>
                    <w:tl2br w:val="nil"/>
                    <w:tr2bl w:val="nil"/>
                  </w:tcBorders>
                  <w:noWrap w:val="0"/>
                  <w:vAlign w:val="center"/>
                </w:tcPr>
                <w:p w14:paraId="35C3403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47</w:t>
                  </w:r>
                </w:p>
              </w:tc>
              <w:tc>
                <w:tcPr>
                  <w:tcW w:w="824" w:type="dxa"/>
                  <w:tcBorders>
                    <w:tl2br w:val="nil"/>
                    <w:tr2bl w:val="nil"/>
                  </w:tcBorders>
                  <w:noWrap w:val="0"/>
                  <w:vAlign w:val="center"/>
                </w:tcPr>
                <w:p w14:paraId="1CBA1BF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0184C1A1">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00B6D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6E5677D1">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2A50A57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color w:val="auto"/>
                      <w:kern w:val="0"/>
                      <w:sz w:val="21"/>
                      <w:szCs w:val="21"/>
                      <w:lang w:val="en-US" w:eastAsia="zh-CN"/>
                    </w:rPr>
                    <w:t>拟建DSA机房上方病房（</w:t>
                  </w:r>
                  <w:r>
                    <w:rPr>
                      <w:rFonts w:hint="eastAsia" w:ascii="Times New Roman" w:hAnsi="Times New Roman"/>
                      <w:color w:val="auto"/>
                      <w:kern w:val="0"/>
                      <w:sz w:val="21"/>
                      <w:szCs w:val="21"/>
                      <w:lang w:val="en-US" w:eastAsia="zh-CN"/>
                    </w:rPr>
                    <w:t>神经外科</w:t>
                  </w:r>
                  <w:r>
                    <w:rPr>
                      <w:rFonts w:hint="default" w:ascii="Times New Roman" w:hAnsi="Times New Roman"/>
                      <w:color w:val="auto"/>
                      <w:kern w:val="0"/>
                      <w:sz w:val="21"/>
                      <w:szCs w:val="21"/>
                      <w:lang w:val="en-US" w:eastAsia="zh-CN"/>
                    </w:rPr>
                    <w:t>病房）房间中部</w:t>
                  </w:r>
                </w:p>
              </w:tc>
              <w:tc>
                <w:tcPr>
                  <w:tcW w:w="1095" w:type="dxa"/>
                  <w:tcBorders>
                    <w:tl2br w:val="nil"/>
                    <w:tr2bl w:val="nil"/>
                  </w:tcBorders>
                  <w:noWrap w:val="0"/>
                  <w:vAlign w:val="center"/>
                </w:tcPr>
                <w:p w14:paraId="16A33041">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717B57F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39</w:t>
                  </w:r>
                </w:p>
              </w:tc>
              <w:tc>
                <w:tcPr>
                  <w:tcW w:w="793" w:type="dxa"/>
                  <w:tcBorders>
                    <w:tl2br w:val="nil"/>
                    <w:tr2bl w:val="nil"/>
                  </w:tcBorders>
                  <w:noWrap w:val="0"/>
                  <w:vAlign w:val="center"/>
                </w:tcPr>
                <w:p w14:paraId="06915AA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41</w:t>
                  </w:r>
                </w:p>
              </w:tc>
              <w:tc>
                <w:tcPr>
                  <w:tcW w:w="704" w:type="dxa"/>
                  <w:tcBorders>
                    <w:tl2br w:val="nil"/>
                    <w:tr2bl w:val="nil"/>
                  </w:tcBorders>
                  <w:noWrap w:val="0"/>
                  <w:vAlign w:val="center"/>
                </w:tcPr>
                <w:p w14:paraId="2D4D3C9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824" w:type="dxa"/>
                  <w:tcBorders>
                    <w:tl2br w:val="nil"/>
                    <w:tr2bl w:val="nil"/>
                  </w:tcBorders>
                  <w:noWrap w:val="0"/>
                  <w:vAlign w:val="center"/>
                </w:tcPr>
                <w:p w14:paraId="43A7869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19263644">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3F2D4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05E4C414">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05876B56">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color w:val="auto"/>
                      <w:kern w:val="0"/>
                      <w:sz w:val="21"/>
                      <w:szCs w:val="21"/>
                      <w:lang w:val="en-US" w:eastAsia="zh-CN"/>
                    </w:rPr>
                    <w:t>拟建DSA机房上方病房（神经外科病房）房间中部</w:t>
                  </w:r>
                </w:p>
              </w:tc>
              <w:tc>
                <w:tcPr>
                  <w:tcW w:w="1095" w:type="dxa"/>
                  <w:tcBorders>
                    <w:tl2br w:val="nil"/>
                    <w:tr2bl w:val="nil"/>
                  </w:tcBorders>
                  <w:noWrap w:val="0"/>
                  <w:vAlign w:val="center"/>
                </w:tcPr>
                <w:p w14:paraId="2F560057">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28EF4A2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43</w:t>
                  </w:r>
                </w:p>
              </w:tc>
              <w:tc>
                <w:tcPr>
                  <w:tcW w:w="793" w:type="dxa"/>
                  <w:tcBorders>
                    <w:tl2br w:val="nil"/>
                    <w:tr2bl w:val="nil"/>
                  </w:tcBorders>
                  <w:noWrap w:val="0"/>
                  <w:vAlign w:val="center"/>
                </w:tcPr>
                <w:p w14:paraId="4DB72FE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46</w:t>
                  </w:r>
                </w:p>
              </w:tc>
              <w:tc>
                <w:tcPr>
                  <w:tcW w:w="704" w:type="dxa"/>
                  <w:tcBorders>
                    <w:tl2br w:val="nil"/>
                    <w:tr2bl w:val="nil"/>
                  </w:tcBorders>
                  <w:noWrap w:val="0"/>
                  <w:vAlign w:val="center"/>
                </w:tcPr>
                <w:p w14:paraId="008243B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44</w:t>
                  </w:r>
                </w:p>
              </w:tc>
              <w:tc>
                <w:tcPr>
                  <w:tcW w:w="824" w:type="dxa"/>
                  <w:tcBorders>
                    <w:tl2br w:val="nil"/>
                    <w:tr2bl w:val="nil"/>
                  </w:tcBorders>
                  <w:noWrap w:val="0"/>
                  <w:vAlign w:val="center"/>
                </w:tcPr>
                <w:p w14:paraId="1DEE23B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31A6FD3A">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4B620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79388BFD">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rPr>
                  </w:pPr>
                </w:p>
              </w:tc>
              <w:tc>
                <w:tcPr>
                  <w:tcW w:w="2964" w:type="dxa"/>
                  <w:tcBorders>
                    <w:tl2br w:val="nil"/>
                    <w:tr2bl w:val="nil"/>
                  </w:tcBorders>
                  <w:noWrap w:val="0"/>
                  <w:vAlign w:val="center"/>
                </w:tcPr>
                <w:p w14:paraId="29A70D3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color w:val="auto"/>
                      <w:kern w:val="0"/>
                      <w:sz w:val="21"/>
                      <w:szCs w:val="21"/>
                      <w:lang w:val="en-US" w:eastAsia="zh-CN"/>
                    </w:rPr>
                    <w:t>拟建DSA机房</w:t>
                  </w:r>
                  <w:r>
                    <w:rPr>
                      <w:rFonts w:hint="eastAsia" w:ascii="Times New Roman" w:hAnsi="Times New Roman"/>
                      <w:color w:val="auto"/>
                      <w:kern w:val="0"/>
                      <w:sz w:val="21"/>
                      <w:szCs w:val="21"/>
                      <w:lang w:val="en-US" w:eastAsia="zh-CN"/>
                    </w:rPr>
                    <w:t>下方敷料打包间房间中部</w:t>
                  </w:r>
                </w:p>
              </w:tc>
              <w:tc>
                <w:tcPr>
                  <w:tcW w:w="1095" w:type="dxa"/>
                  <w:tcBorders>
                    <w:tl2br w:val="nil"/>
                    <w:tr2bl w:val="nil"/>
                  </w:tcBorders>
                  <w:noWrap w:val="0"/>
                  <w:vAlign w:val="center"/>
                </w:tcPr>
                <w:p w14:paraId="7DFC52FA">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3F718F7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793" w:type="dxa"/>
                  <w:tcBorders>
                    <w:tl2br w:val="nil"/>
                    <w:tr2bl w:val="nil"/>
                  </w:tcBorders>
                  <w:noWrap w:val="0"/>
                  <w:vAlign w:val="center"/>
                </w:tcPr>
                <w:p w14:paraId="4419957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45</w:t>
                  </w:r>
                </w:p>
              </w:tc>
              <w:tc>
                <w:tcPr>
                  <w:tcW w:w="704" w:type="dxa"/>
                  <w:tcBorders>
                    <w:tl2br w:val="nil"/>
                    <w:tr2bl w:val="nil"/>
                  </w:tcBorders>
                  <w:noWrap w:val="0"/>
                  <w:vAlign w:val="center"/>
                </w:tcPr>
                <w:p w14:paraId="6ABB544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42</w:t>
                  </w:r>
                </w:p>
              </w:tc>
              <w:tc>
                <w:tcPr>
                  <w:tcW w:w="824" w:type="dxa"/>
                  <w:tcBorders>
                    <w:tl2br w:val="nil"/>
                    <w:tr2bl w:val="nil"/>
                  </w:tcBorders>
                  <w:noWrap w:val="0"/>
                  <w:vAlign w:val="center"/>
                </w:tcPr>
                <w:p w14:paraId="447E039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4E0D2B42">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楼房内</w:t>
                  </w:r>
                </w:p>
              </w:tc>
            </w:tr>
            <w:tr w14:paraId="614A9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1F8B08D6">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8"/>
                      <w:sz w:val="21"/>
                      <w:szCs w:val="21"/>
                    </w:rPr>
                  </w:pPr>
                </w:p>
              </w:tc>
              <w:tc>
                <w:tcPr>
                  <w:tcW w:w="2964" w:type="dxa"/>
                  <w:tcBorders>
                    <w:tl2br w:val="nil"/>
                    <w:tr2bl w:val="nil"/>
                  </w:tcBorders>
                  <w:noWrap w:val="0"/>
                  <w:vAlign w:val="center"/>
                </w:tcPr>
                <w:p w14:paraId="6B014BA1">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color w:val="auto"/>
                      <w:kern w:val="0"/>
                      <w:sz w:val="21"/>
                      <w:szCs w:val="21"/>
                      <w:lang w:val="en-US" w:eastAsia="zh-CN"/>
                    </w:rPr>
                  </w:pPr>
                  <w:r>
                    <w:rPr>
                      <w:rFonts w:hint="default" w:ascii="Times New Roman" w:hAnsi="Times New Roman"/>
                      <w:color w:val="auto"/>
                      <w:kern w:val="0"/>
                      <w:sz w:val="21"/>
                      <w:szCs w:val="21"/>
                      <w:lang w:val="en-US" w:eastAsia="zh-CN"/>
                    </w:rPr>
                    <w:t>拟建DSA机房下方</w:t>
                  </w:r>
                  <w:r>
                    <w:rPr>
                      <w:rFonts w:hint="eastAsia" w:ascii="Times New Roman" w:hAnsi="Times New Roman"/>
                      <w:color w:val="auto"/>
                      <w:kern w:val="0"/>
                      <w:sz w:val="21"/>
                      <w:szCs w:val="21"/>
                      <w:lang w:val="en-US" w:eastAsia="zh-CN"/>
                    </w:rPr>
                    <w:t>库房房间中部</w:t>
                  </w:r>
                </w:p>
              </w:tc>
              <w:tc>
                <w:tcPr>
                  <w:tcW w:w="1095" w:type="dxa"/>
                  <w:tcBorders>
                    <w:tl2br w:val="nil"/>
                    <w:tr2bl w:val="nil"/>
                  </w:tcBorders>
                  <w:noWrap w:val="0"/>
                  <w:vAlign w:val="center"/>
                </w:tcPr>
                <w:p w14:paraId="18FDF4DB">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6263A7F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34</w:t>
                  </w:r>
                </w:p>
              </w:tc>
              <w:tc>
                <w:tcPr>
                  <w:tcW w:w="793" w:type="dxa"/>
                  <w:tcBorders>
                    <w:tl2br w:val="nil"/>
                    <w:tr2bl w:val="nil"/>
                  </w:tcBorders>
                  <w:noWrap w:val="0"/>
                  <w:vAlign w:val="center"/>
                </w:tcPr>
                <w:p w14:paraId="40F9023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1"/>
                      <w:sz w:val="21"/>
                      <w:szCs w:val="21"/>
                    </w:rPr>
                  </w:pPr>
                  <w:r>
                    <w:rPr>
                      <w:rFonts w:ascii="Times New Roman" w:hAnsi="Times New Roman" w:eastAsia="Times New Roman" w:cs="Times New Roman"/>
                      <w:color w:val="auto"/>
                      <w:sz w:val="21"/>
                      <w:szCs w:val="21"/>
                    </w:rPr>
                    <w:t>37</w:t>
                  </w:r>
                </w:p>
              </w:tc>
              <w:tc>
                <w:tcPr>
                  <w:tcW w:w="704" w:type="dxa"/>
                  <w:tcBorders>
                    <w:tl2br w:val="nil"/>
                    <w:tr2bl w:val="nil"/>
                  </w:tcBorders>
                  <w:noWrap w:val="0"/>
                  <w:vAlign w:val="center"/>
                </w:tcPr>
                <w:p w14:paraId="6227008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36</w:t>
                  </w:r>
                </w:p>
              </w:tc>
              <w:tc>
                <w:tcPr>
                  <w:tcW w:w="824" w:type="dxa"/>
                  <w:tcBorders>
                    <w:tl2br w:val="nil"/>
                    <w:tr2bl w:val="nil"/>
                  </w:tcBorders>
                  <w:noWrap w:val="0"/>
                  <w:vAlign w:val="center"/>
                </w:tcPr>
                <w:p w14:paraId="27CA985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4"/>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3AC7B44A">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7"/>
                      <w:sz w:val="21"/>
                      <w:szCs w:val="21"/>
                    </w:rPr>
                    <w:t>楼房内</w:t>
                  </w:r>
                </w:p>
              </w:tc>
            </w:tr>
            <w:tr w14:paraId="501F1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47CF8D95">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8"/>
                      <w:sz w:val="21"/>
                      <w:szCs w:val="21"/>
                    </w:rPr>
                  </w:pPr>
                </w:p>
              </w:tc>
              <w:tc>
                <w:tcPr>
                  <w:tcW w:w="2964" w:type="dxa"/>
                  <w:tcBorders>
                    <w:tl2br w:val="nil"/>
                    <w:tr2bl w:val="nil"/>
                  </w:tcBorders>
                  <w:noWrap w:val="0"/>
                  <w:vAlign w:val="center"/>
                </w:tcPr>
                <w:p w14:paraId="70A43AB2">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color w:val="auto"/>
                      <w:kern w:val="0"/>
                      <w:sz w:val="21"/>
                      <w:szCs w:val="21"/>
                      <w:lang w:val="en-US" w:eastAsia="zh-CN"/>
                    </w:rPr>
                  </w:pPr>
                  <w:r>
                    <w:rPr>
                      <w:rFonts w:hint="default" w:ascii="Times New Roman" w:hAnsi="Times New Roman"/>
                      <w:color w:val="auto"/>
                      <w:kern w:val="0"/>
                      <w:sz w:val="21"/>
                      <w:szCs w:val="21"/>
                      <w:lang w:val="en-US" w:eastAsia="zh-CN"/>
                    </w:rPr>
                    <w:t>拟建DSA机房下方</w:t>
                  </w:r>
                  <w:r>
                    <w:rPr>
                      <w:rFonts w:hint="eastAsia" w:ascii="Times New Roman" w:hAnsi="Times New Roman"/>
                      <w:color w:val="auto"/>
                      <w:kern w:val="0"/>
                      <w:sz w:val="21"/>
                      <w:szCs w:val="21"/>
                      <w:lang w:val="en-US" w:eastAsia="zh-CN"/>
                    </w:rPr>
                    <w:t>器械预清洗房间中部</w:t>
                  </w:r>
                </w:p>
              </w:tc>
              <w:tc>
                <w:tcPr>
                  <w:tcW w:w="1095" w:type="dxa"/>
                  <w:tcBorders>
                    <w:tl2br w:val="nil"/>
                    <w:tr2bl w:val="nil"/>
                  </w:tcBorders>
                  <w:noWrap w:val="0"/>
                  <w:vAlign w:val="center"/>
                </w:tcPr>
                <w:p w14:paraId="5A03C2FD">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3B0909E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35</w:t>
                  </w:r>
                </w:p>
              </w:tc>
              <w:tc>
                <w:tcPr>
                  <w:tcW w:w="793" w:type="dxa"/>
                  <w:tcBorders>
                    <w:tl2br w:val="nil"/>
                    <w:tr2bl w:val="nil"/>
                  </w:tcBorders>
                  <w:noWrap w:val="0"/>
                  <w:vAlign w:val="center"/>
                </w:tcPr>
                <w:p w14:paraId="5D1B2F7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1"/>
                      <w:sz w:val="21"/>
                      <w:szCs w:val="21"/>
                    </w:rPr>
                  </w:pPr>
                  <w:r>
                    <w:rPr>
                      <w:rFonts w:ascii="Times New Roman" w:hAnsi="Times New Roman" w:eastAsia="Times New Roman" w:cs="Times New Roman"/>
                      <w:color w:val="auto"/>
                      <w:spacing w:val="3"/>
                      <w:sz w:val="21"/>
                      <w:szCs w:val="21"/>
                    </w:rPr>
                    <w:t>40</w:t>
                  </w:r>
                </w:p>
              </w:tc>
              <w:tc>
                <w:tcPr>
                  <w:tcW w:w="704" w:type="dxa"/>
                  <w:tcBorders>
                    <w:tl2br w:val="nil"/>
                    <w:tr2bl w:val="nil"/>
                  </w:tcBorders>
                  <w:noWrap w:val="0"/>
                  <w:vAlign w:val="center"/>
                </w:tcPr>
                <w:p w14:paraId="5249647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37</w:t>
                  </w:r>
                </w:p>
              </w:tc>
              <w:tc>
                <w:tcPr>
                  <w:tcW w:w="824" w:type="dxa"/>
                  <w:tcBorders>
                    <w:tl2br w:val="nil"/>
                    <w:tr2bl w:val="nil"/>
                  </w:tcBorders>
                  <w:noWrap w:val="0"/>
                  <w:vAlign w:val="center"/>
                </w:tcPr>
                <w:p w14:paraId="45F31D7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4"/>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5705E95F">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7"/>
                      <w:sz w:val="21"/>
                      <w:szCs w:val="21"/>
                    </w:rPr>
                    <w:t>楼房内</w:t>
                  </w:r>
                </w:p>
              </w:tc>
            </w:tr>
            <w:tr w14:paraId="252C7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65A03EE2">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8"/>
                      <w:sz w:val="21"/>
                      <w:szCs w:val="21"/>
                    </w:rPr>
                  </w:pPr>
                </w:p>
              </w:tc>
              <w:tc>
                <w:tcPr>
                  <w:tcW w:w="2964" w:type="dxa"/>
                  <w:tcBorders>
                    <w:tl2br w:val="nil"/>
                    <w:tr2bl w:val="nil"/>
                  </w:tcBorders>
                  <w:noWrap w:val="0"/>
                  <w:vAlign w:val="center"/>
                </w:tcPr>
                <w:p w14:paraId="03DA5D37">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color w:val="auto"/>
                      <w:kern w:val="0"/>
                      <w:sz w:val="21"/>
                      <w:szCs w:val="21"/>
                      <w:lang w:val="en-US" w:eastAsia="zh-CN"/>
                    </w:rPr>
                  </w:pPr>
                  <w:r>
                    <w:rPr>
                      <w:rFonts w:hint="default" w:ascii="Times New Roman" w:hAnsi="Times New Roman"/>
                      <w:color w:val="auto"/>
                      <w:kern w:val="0"/>
                      <w:sz w:val="21"/>
                      <w:szCs w:val="21"/>
                      <w:lang w:val="en-US" w:eastAsia="zh-CN"/>
                    </w:rPr>
                    <w:t>拟建DSA机房下方</w:t>
                  </w:r>
                  <w:r>
                    <w:rPr>
                      <w:rFonts w:hint="eastAsia" w:ascii="Times New Roman" w:hAnsi="Times New Roman"/>
                      <w:color w:val="auto"/>
                      <w:kern w:val="0"/>
                      <w:sz w:val="21"/>
                      <w:szCs w:val="21"/>
                      <w:lang w:val="en-US" w:eastAsia="zh-CN"/>
                    </w:rPr>
                    <w:t>2号手术室房间中部</w:t>
                  </w:r>
                </w:p>
              </w:tc>
              <w:tc>
                <w:tcPr>
                  <w:tcW w:w="1095" w:type="dxa"/>
                  <w:tcBorders>
                    <w:tl2br w:val="nil"/>
                    <w:tr2bl w:val="nil"/>
                  </w:tcBorders>
                  <w:noWrap w:val="0"/>
                  <w:vAlign w:val="center"/>
                </w:tcPr>
                <w:p w14:paraId="6F4D0D6D">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48DBF98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33</w:t>
                  </w:r>
                </w:p>
              </w:tc>
              <w:tc>
                <w:tcPr>
                  <w:tcW w:w="793" w:type="dxa"/>
                  <w:tcBorders>
                    <w:tl2br w:val="nil"/>
                    <w:tr2bl w:val="nil"/>
                  </w:tcBorders>
                  <w:noWrap w:val="0"/>
                  <w:vAlign w:val="center"/>
                </w:tcPr>
                <w:p w14:paraId="080CF59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1"/>
                      <w:sz w:val="21"/>
                      <w:szCs w:val="21"/>
                    </w:rPr>
                  </w:pPr>
                  <w:r>
                    <w:rPr>
                      <w:rFonts w:ascii="Times New Roman" w:hAnsi="Times New Roman" w:eastAsia="Times New Roman" w:cs="Times New Roman"/>
                      <w:color w:val="auto"/>
                      <w:sz w:val="21"/>
                      <w:szCs w:val="21"/>
                    </w:rPr>
                    <w:t>37</w:t>
                  </w:r>
                </w:p>
              </w:tc>
              <w:tc>
                <w:tcPr>
                  <w:tcW w:w="704" w:type="dxa"/>
                  <w:tcBorders>
                    <w:tl2br w:val="nil"/>
                    <w:tr2bl w:val="nil"/>
                  </w:tcBorders>
                  <w:noWrap w:val="0"/>
                  <w:vAlign w:val="center"/>
                </w:tcPr>
                <w:p w14:paraId="7B1EA98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36</w:t>
                  </w:r>
                </w:p>
              </w:tc>
              <w:tc>
                <w:tcPr>
                  <w:tcW w:w="824" w:type="dxa"/>
                  <w:tcBorders>
                    <w:tl2br w:val="nil"/>
                    <w:tr2bl w:val="nil"/>
                  </w:tcBorders>
                  <w:noWrap w:val="0"/>
                  <w:vAlign w:val="center"/>
                </w:tcPr>
                <w:p w14:paraId="47ACF29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4"/>
                      <w:sz w:val="21"/>
                      <w:szCs w:val="21"/>
                    </w:rPr>
                  </w:pPr>
                  <w:r>
                    <w:rPr>
                      <w:rFonts w:ascii="Times New Roman" w:hAnsi="Times New Roman" w:eastAsia="Times New Roman" w:cs="Times New Roman"/>
                      <w:color w:val="auto"/>
                      <w:spacing w:val="1"/>
                      <w:sz w:val="21"/>
                      <w:szCs w:val="21"/>
                    </w:rPr>
                    <w:t>0.2</w:t>
                  </w:r>
                </w:p>
              </w:tc>
              <w:tc>
                <w:tcPr>
                  <w:tcW w:w="989" w:type="dxa"/>
                  <w:tcBorders>
                    <w:tl2br w:val="nil"/>
                    <w:tr2bl w:val="nil"/>
                  </w:tcBorders>
                  <w:noWrap w:val="0"/>
                  <w:vAlign w:val="center"/>
                </w:tcPr>
                <w:p w14:paraId="656DAE64">
                  <w:pPr>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7"/>
                      <w:sz w:val="21"/>
                      <w:szCs w:val="21"/>
                    </w:rPr>
                    <w:t>楼房内</w:t>
                  </w:r>
                </w:p>
              </w:tc>
            </w:tr>
            <w:tr w14:paraId="6CB1C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5224AE8F">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8"/>
                      <w:sz w:val="21"/>
                      <w:szCs w:val="21"/>
                    </w:rPr>
                  </w:pPr>
                </w:p>
              </w:tc>
              <w:tc>
                <w:tcPr>
                  <w:tcW w:w="2964" w:type="dxa"/>
                  <w:tcBorders>
                    <w:tl2br w:val="nil"/>
                    <w:tr2bl w:val="nil"/>
                  </w:tcBorders>
                  <w:noWrap w:val="0"/>
                  <w:vAlign w:val="center"/>
                </w:tcPr>
                <w:p w14:paraId="0731BB03">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color w:val="auto"/>
                      <w:kern w:val="0"/>
                      <w:sz w:val="21"/>
                      <w:szCs w:val="21"/>
                      <w:lang w:val="en-US" w:eastAsia="zh-CN"/>
                    </w:rPr>
                  </w:pPr>
                  <w:r>
                    <w:rPr>
                      <w:rFonts w:hint="eastAsia" w:ascii="Times New Roman" w:hAnsi="Times New Roman"/>
                      <w:color w:val="auto"/>
                      <w:kern w:val="0"/>
                      <w:sz w:val="21"/>
                      <w:szCs w:val="21"/>
                      <w:lang w:val="en-US" w:eastAsia="zh-CN"/>
                    </w:rPr>
                    <w:t>住院楼北侧停车场</w:t>
                  </w:r>
                </w:p>
              </w:tc>
              <w:tc>
                <w:tcPr>
                  <w:tcW w:w="1095" w:type="dxa"/>
                  <w:tcBorders>
                    <w:tl2br w:val="nil"/>
                    <w:tr2bl w:val="nil"/>
                  </w:tcBorders>
                  <w:noWrap w:val="0"/>
                  <w:vAlign w:val="center"/>
                </w:tcPr>
                <w:p w14:paraId="600ECC4D">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1501354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39</w:t>
                  </w:r>
                </w:p>
              </w:tc>
              <w:tc>
                <w:tcPr>
                  <w:tcW w:w="793" w:type="dxa"/>
                  <w:tcBorders>
                    <w:tl2br w:val="nil"/>
                    <w:tr2bl w:val="nil"/>
                  </w:tcBorders>
                  <w:noWrap w:val="0"/>
                  <w:vAlign w:val="center"/>
                </w:tcPr>
                <w:p w14:paraId="348B95D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1"/>
                      <w:sz w:val="21"/>
                      <w:szCs w:val="21"/>
                    </w:rPr>
                  </w:pPr>
                  <w:r>
                    <w:rPr>
                      <w:rFonts w:ascii="Times New Roman" w:hAnsi="Times New Roman" w:eastAsia="Times New Roman" w:cs="Times New Roman"/>
                      <w:color w:val="auto"/>
                      <w:spacing w:val="3"/>
                      <w:sz w:val="21"/>
                      <w:szCs w:val="21"/>
                    </w:rPr>
                    <w:t>41</w:t>
                  </w:r>
                </w:p>
              </w:tc>
              <w:tc>
                <w:tcPr>
                  <w:tcW w:w="704" w:type="dxa"/>
                  <w:tcBorders>
                    <w:tl2br w:val="nil"/>
                    <w:tr2bl w:val="nil"/>
                  </w:tcBorders>
                  <w:noWrap w:val="0"/>
                  <w:vAlign w:val="center"/>
                </w:tcPr>
                <w:p w14:paraId="5A4177E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824" w:type="dxa"/>
                  <w:tcBorders>
                    <w:tl2br w:val="nil"/>
                    <w:tr2bl w:val="nil"/>
                  </w:tcBorders>
                  <w:noWrap w:val="0"/>
                  <w:vAlign w:val="center"/>
                </w:tcPr>
                <w:p w14:paraId="03DFB34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4"/>
                      <w:sz w:val="21"/>
                      <w:szCs w:val="21"/>
                    </w:rPr>
                  </w:pPr>
                  <w:r>
                    <w:rPr>
                      <w:rFonts w:ascii="Times New Roman" w:hAnsi="Times New Roman" w:eastAsia="Times New Roman" w:cs="Times New Roman"/>
                      <w:color w:val="auto"/>
                      <w:sz w:val="21"/>
                      <w:szCs w:val="21"/>
                    </w:rPr>
                    <w:t>0.</w:t>
                  </w:r>
                  <w:r>
                    <w:rPr>
                      <w:rFonts w:ascii="Times New Roman" w:hAnsi="Times New Roman" w:eastAsia="Times New Roman" w:cs="Times New Roman"/>
                      <w:color w:val="auto"/>
                      <w:spacing w:val="-25"/>
                      <w:sz w:val="21"/>
                      <w:szCs w:val="21"/>
                    </w:rPr>
                    <w:t xml:space="preserve"> </w:t>
                  </w:r>
                  <w:r>
                    <w:rPr>
                      <w:rFonts w:ascii="Times New Roman" w:hAnsi="Times New Roman" w:eastAsia="Times New Roman" w:cs="Times New Roman"/>
                      <w:color w:val="auto"/>
                      <w:sz w:val="21"/>
                      <w:szCs w:val="21"/>
                    </w:rPr>
                    <w:t>1</w:t>
                  </w:r>
                </w:p>
              </w:tc>
              <w:tc>
                <w:tcPr>
                  <w:tcW w:w="989" w:type="dxa"/>
                  <w:tcBorders>
                    <w:tl2br w:val="nil"/>
                    <w:tr2bl w:val="nil"/>
                  </w:tcBorders>
                  <w:noWrap w:val="0"/>
                  <w:vAlign w:val="center"/>
                </w:tcPr>
                <w:p w14:paraId="37938939">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道路</w:t>
                  </w:r>
                </w:p>
              </w:tc>
            </w:tr>
            <w:tr w14:paraId="21F04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29305F10">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8"/>
                      <w:sz w:val="21"/>
                      <w:szCs w:val="21"/>
                    </w:rPr>
                  </w:pPr>
                </w:p>
              </w:tc>
              <w:tc>
                <w:tcPr>
                  <w:tcW w:w="2964" w:type="dxa"/>
                  <w:tcBorders>
                    <w:tl2br w:val="nil"/>
                    <w:tr2bl w:val="nil"/>
                  </w:tcBorders>
                  <w:noWrap w:val="0"/>
                  <w:vAlign w:val="center"/>
                </w:tcPr>
                <w:p w14:paraId="07E9811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color w:val="auto"/>
                      <w:kern w:val="0"/>
                      <w:sz w:val="21"/>
                      <w:szCs w:val="21"/>
                      <w:lang w:val="en-US" w:eastAsia="zh-CN"/>
                    </w:rPr>
                  </w:pPr>
                  <w:r>
                    <w:rPr>
                      <w:rFonts w:hint="eastAsia" w:ascii="Times New Roman" w:hAnsi="Times New Roman"/>
                      <w:color w:val="auto"/>
                      <w:kern w:val="0"/>
                      <w:sz w:val="21"/>
                      <w:szCs w:val="21"/>
                      <w:lang w:val="en-US" w:eastAsia="zh-CN"/>
                    </w:rPr>
                    <w:t>住院楼东侧院区过道</w:t>
                  </w:r>
                </w:p>
              </w:tc>
              <w:tc>
                <w:tcPr>
                  <w:tcW w:w="1095" w:type="dxa"/>
                  <w:tcBorders>
                    <w:tl2br w:val="nil"/>
                    <w:tr2bl w:val="nil"/>
                  </w:tcBorders>
                  <w:noWrap w:val="0"/>
                  <w:vAlign w:val="center"/>
                </w:tcPr>
                <w:p w14:paraId="4E460222">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0E33DD1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37</w:t>
                  </w:r>
                </w:p>
              </w:tc>
              <w:tc>
                <w:tcPr>
                  <w:tcW w:w="793" w:type="dxa"/>
                  <w:tcBorders>
                    <w:tl2br w:val="nil"/>
                    <w:tr2bl w:val="nil"/>
                  </w:tcBorders>
                  <w:noWrap w:val="0"/>
                  <w:vAlign w:val="center"/>
                </w:tcPr>
                <w:p w14:paraId="56E1AE2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1"/>
                      <w:sz w:val="21"/>
                      <w:szCs w:val="21"/>
                    </w:rPr>
                  </w:pPr>
                  <w:r>
                    <w:rPr>
                      <w:rFonts w:ascii="Times New Roman" w:hAnsi="Times New Roman" w:eastAsia="Times New Roman" w:cs="Times New Roman"/>
                      <w:color w:val="auto"/>
                      <w:spacing w:val="3"/>
                      <w:sz w:val="21"/>
                      <w:szCs w:val="21"/>
                    </w:rPr>
                    <w:t>41</w:t>
                  </w:r>
                </w:p>
              </w:tc>
              <w:tc>
                <w:tcPr>
                  <w:tcW w:w="704" w:type="dxa"/>
                  <w:tcBorders>
                    <w:tl2br w:val="nil"/>
                    <w:tr2bl w:val="nil"/>
                  </w:tcBorders>
                  <w:noWrap w:val="0"/>
                  <w:vAlign w:val="center"/>
                </w:tcPr>
                <w:p w14:paraId="145812B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39</w:t>
                  </w:r>
                </w:p>
              </w:tc>
              <w:tc>
                <w:tcPr>
                  <w:tcW w:w="824" w:type="dxa"/>
                  <w:tcBorders>
                    <w:tl2br w:val="nil"/>
                    <w:tr2bl w:val="nil"/>
                  </w:tcBorders>
                  <w:noWrap w:val="0"/>
                  <w:vAlign w:val="center"/>
                </w:tcPr>
                <w:p w14:paraId="6706F92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4"/>
                      <w:sz w:val="21"/>
                      <w:szCs w:val="21"/>
                    </w:rPr>
                  </w:pPr>
                  <w:r>
                    <w:rPr>
                      <w:rFonts w:ascii="Times New Roman" w:hAnsi="Times New Roman" w:eastAsia="Times New Roman" w:cs="Times New Roman"/>
                      <w:color w:val="auto"/>
                      <w:spacing w:val="1"/>
                      <w:sz w:val="21"/>
                      <w:szCs w:val="21"/>
                    </w:rPr>
                    <w:t>0.2</w:t>
                  </w:r>
                </w:p>
              </w:tc>
              <w:tc>
                <w:tcPr>
                  <w:tcW w:w="989" w:type="dxa"/>
                  <w:tcBorders>
                    <w:tl2br w:val="nil"/>
                    <w:tr2bl w:val="nil"/>
                  </w:tcBorders>
                  <w:noWrap w:val="0"/>
                  <w:vAlign w:val="center"/>
                </w:tcPr>
                <w:p w14:paraId="2E7AA555">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道路</w:t>
                  </w:r>
                </w:p>
              </w:tc>
            </w:tr>
            <w:tr w14:paraId="2E1B1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77A38FB6">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8"/>
                      <w:sz w:val="21"/>
                      <w:szCs w:val="21"/>
                    </w:rPr>
                  </w:pPr>
                </w:p>
              </w:tc>
              <w:tc>
                <w:tcPr>
                  <w:tcW w:w="2964" w:type="dxa"/>
                  <w:tcBorders>
                    <w:tl2br w:val="nil"/>
                    <w:tr2bl w:val="nil"/>
                  </w:tcBorders>
                  <w:noWrap w:val="0"/>
                  <w:vAlign w:val="center"/>
                </w:tcPr>
                <w:p w14:paraId="2D9128A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color w:val="auto"/>
                      <w:kern w:val="0"/>
                      <w:sz w:val="21"/>
                      <w:szCs w:val="21"/>
                      <w:lang w:val="en-US" w:eastAsia="zh-CN"/>
                    </w:rPr>
                  </w:pPr>
                  <w:r>
                    <w:rPr>
                      <w:rFonts w:hint="default" w:ascii="Times New Roman" w:hAnsi="Times New Roman"/>
                      <w:color w:val="auto"/>
                      <w:kern w:val="0"/>
                      <w:sz w:val="21"/>
                      <w:szCs w:val="21"/>
                      <w:lang w:val="en-US" w:eastAsia="zh-CN"/>
                    </w:rPr>
                    <w:t>住院楼</w:t>
                  </w:r>
                  <w:r>
                    <w:rPr>
                      <w:rFonts w:hint="eastAsia" w:ascii="Times New Roman" w:hAnsi="Times New Roman"/>
                      <w:color w:val="auto"/>
                      <w:kern w:val="0"/>
                      <w:sz w:val="21"/>
                      <w:szCs w:val="21"/>
                      <w:lang w:val="en-US" w:eastAsia="zh-CN"/>
                    </w:rPr>
                    <w:t>南</w:t>
                  </w:r>
                  <w:r>
                    <w:rPr>
                      <w:rFonts w:hint="default" w:ascii="Times New Roman" w:hAnsi="Times New Roman"/>
                      <w:color w:val="auto"/>
                      <w:kern w:val="0"/>
                      <w:sz w:val="21"/>
                      <w:szCs w:val="21"/>
                      <w:lang w:val="en-US" w:eastAsia="zh-CN"/>
                    </w:rPr>
                    <w:t>侧院区过道</w:t>
                  </w:r>
                </w:p>
              </w:tc>
              <w:tc>
                <w:tcPr>
                  <w:tcW w:w="1095" w:type="dxa"/>
                  <w:tcBorders>
                    <w:tl2br w:val="nil"/>
                    <w:tr2bl w:val="nil"/>
                  </w:tcBorders>
                  <w:noWrap w:val="0"/>
                  <w:vAlign w:val="center"/>
                </w:tcPr>
                <w:p w14:paraId="7EF66B31">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2CB3528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37</w:t>
                  </w:r>
                </w:p>
              </w:tc>
              <w:tc>
                <w:tcPr>
                  <w:tcW w:w="793" w:type="dxa"/>
                  <w:tcBorders>
                    <w:tl2br w:val="nil"/>
                    <w:tr2bl w:val="nil"/>
                  </w:tcBorders>
                  <w:noWrap w:val="0"/>
                  <w:vAlign w:val="center"/>
                </w:tcPr>
                <w:p w14:paraId="5A1C5C9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1"/>
                      <w:sz w:val="21"/>
                      <w:szCs w:val="21"/>
                    </w:rPr>
                  </w:pPr>
                  <w:r>
                    <w:rPr>
                      <w:rFonts w:ascii="Times New Roman" w:hAnsi="Times New Roman" w:eastAsia="Times New Roman" w:cs="Times New Roman"/>
                      <w:color w:val="auto"/>
                      <w:spacing w:val="3"/>
                      <w:sz w:val="21"/>
                      <w:szCs w:val="21"/>
                    </w:rPr>
                    <w:t>42</w:t>
                  </w:r>
                </w:p>
              </w:tc>
              <w:tc>
                <w:tcPr>
                  <w:tcW w:w="704" w:type="dxa"/>
                  <w:tcBorders>
                    <w:tl2br w:val="nil"/>
                    <w:tr2bl w:val="nil"/>
                  </w:tcBorders>
                  <w:noWrap w:val="0"/>
                  <w:vAlign w:val="center"/>
                </w:tcPr>
                <w:p w14:paraId="4B70744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pacing w:val="3"/>
                      <w:sz w:val="21"/>
                      <w:szCs w:val="21"/>
                    </w:rPr>
                    <w:t>40</w:t>
                  </w:r>
                </w:p>
              </w:tc>
              <w:tc>
                <w:tcPr>
                  <w:tcW w:w="824" w:type="dxa"/>
                  <w:tcBorders>
                    <w:tl2br w:val="nil"/>
                    <w:tr2bl w:val="nil"/>
                  </w:tcBorders>
                  <w:noWrap w:val="0"/>
                  <w:vAlign w:val="center"/>
                </w:tcPr>
                <w:p w14:paraId="5BA5300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4"/>
                      <w:sz w:val="21"/>
                      <w:szCs w:val="21"/>
                    </w:rPr>
                  </w:pPr>
                  <w:r>
                    <w:rPr>
                      <w:rFonts w:ascii="Times New Roman" w:hAnsi="Times New Roman" w:eastAsia="Times New Roman" w:cs="Times New Roman"/>
                      <w:color w:val="auto"/>
                      <w:spacing w:val="1"/>
                      <w:sz w:val="21"/>
                      <w:szCs w:val="21"/>
                    </w:rPr>
                    <w:t>0.2</w:t>
                  </w:r>
                </w:p>
              </w:tc>
              <w:tc>
                <w:tcPr>
                  <w:tcW w:w="989" w:type="dxa"/>
                  <w:tcBorders>
                    <w:tl2br w:val="nil"/>
                    <w:tr2bl w:val="nil"/>
                  </w:tcBorders>
                  <w:noWrap w:val="0"/>
                  <w:vAlign w:val="center"/>
                </w:tcPr>
                <w:p w14:paraId="4C1E5271">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道路</w:t>
                  </w:r>
                </w:p>
              </w:tc>
            </w:tr>
            <w:tr w14:paraId="11899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86" w:type="dxa"/>
                  <w:tcBorders>
                    <w:tl2br w:val="nil"/>
                    <w:tr2bl w:val="nil"/>
                  </w:tcBorders>
                  <w:noWrap w:val="0"/>
                  <w:vAlign w:val="center"/>
                </w:tcPr>
                <w:p w14:paraId="57A6C3A8">
                  <w:pPr>
                    <w:keepNext w:val="0"/>
                    <w:keepLines w:val="0"/>
                    <w:pageBreakBefore w:val="0"/>
                    <w:widowControl w:val="0"/>
                    <w:numPr>
                      <w:ilvl w:val="0"/>
                      <w:numId w:val="9"/>
                    </w:numPr>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8"/>
                      <w:sz w:val="21"/>
                      <w:szCs w:val="21"/>
                    </w:rPr>
                  </w:pPr>
                </w:p>
              </w:tc>
              <w:tc>
                <w:tcPr>
                  <w:tcW w:w="2964" w:type="dxa"/>
                  <w:tcBorders>
                    <w:tl2br w:val="nil"/>
                    <w:tr2bl w:val="nil"/>
                  </w:tcBorders>
                  <w:noWrap w:val="0"/>
                  <w:vAlign w:val="center"/>
                </w:tcPr>
                <w:p w14:paraId="29CFB69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firstLine="0" w:firstLineChars="0"/>
                    <w:jc w:val="center"/>
                    <w:textAlignment w:val="center"/>
                    <w:rPr>
                      <w:rFonts w:hint="default" w:ascii="Times New Roman" w:hAnsi="Times New Roman"/>
                      <w:color w:val="auto"/>
                      <w:kern w:val="0"/>
                      <w:sz w:val="21"/>
                      <w:szCs w:val="21"/>
                      <w:lang w:val="en-US" w:eastAsia="zh-CN"/>
                    </w:rPr>
                  </w:pPr>
                  <w:r>
                    <w:rPr>
                      <w:rFonts w:hint="default" w:ascii="Times New Roman" w:hAnsi="Times New Roman"/>
                      <w:color w:val="auto"/>
                      <w:kern w:val="0"/>
                      <w:sz w:val="21"/>
                      <w:szCs w:val="21"/>
                      <w:lang w:val="en-US" w:eastAsia="zh-CN"/>
                    </w:rPr>
                    <w:t>住院楼</w:t>
                  </w:r>
                  <w:r>
                    <w:rPr>
                      <w:rFonts w:hint="eastAsia" w:ascii="Times New Roman" w:hAnsi="Times New Roman"/>
                      <w:color w:val="auto"/>
                      <w:kern w:val="0"/>
                      <w:sz w:val="21"/>
                      <w:szCs w:val="21"/>
                      <w:lang w:val="en-US" w:eastAsia="zh-CN"/>
                    </w:rPr>
                    <w:t>西</w:t>
                  </w:r>
                  <w:r>
                    <w:rPr>
                      <w:rFonts w:hint="default" w:ascii="Times New Roman" w:hAnsi="Times New Roman"/>
                      <w:color w:val="auto"/>
                      <w:kern w:val="0"/>
                      <w:sz w:val="21"/>
                      <w:szCs w:val="21"/>
                      <w:lang w:val="en-US" w:eastAsia="zh-CN"/>
                    </w:rPr>
                    <w:t>侧院区过道</w:t>
                  </w:r>
                </w:p>
              </w:tc>
              <w:tc>
                <w:tcPr>
                  <w:tcW w:w="1095" w:type="dxa"/>
                  <w:tcBorders>
                    <w:tl2br w:val="nil"/>
                    <w:tr2bl w:val="nil"/>
                  </w:tcBorders>
                  <w:noWrap w:val="0"/>
                  <w:vAlign w:val="center"/>
                </w:tcPr>
                <w:p w14:paraId="2DD0AB79">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6"/>
                      <w:sz w:val="21"/>
                      <w:szCs w:val="21"/>
                    </w:rPr>
                  </w:pPr>
                  <w:r>
                    <w:rPr>
                      <w:rFonts w:hint="default" w:ascii="Times New Roman" w:hAnsi="Times New Roman" w:eastAsia="宋体" w:cs="Times New Roman"/>
                      <w:color w:val="auto"/>
                      <w:spacing w:val="6"/>
                      <w:sz w:val="21"/>
                      <w:szCs w:val="21"/>
                    </w:rPr>
                    <w:t>混凝土</w:t>
                  </w:r>
                </w:p>
              </w:tc>
              <w:tc>
                <w:tcPr>
                  <w:tcW w:w="854" w:type="dxa"/>
                  <w:tcBorders>
                    <w:tl2br w:val="nil"/>
                    <w:tr2bl w:val="nil"/>
                  </w:tcBorders>
                  <w:noWrap w:val="0"/>
                  <w:vAlign w:val="center"/>
                </w:tcPr>
                <w:p w14:paraId="5B172EE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36</w:t>
                  </w:r>
                </w:p>
              </w:tc>
              <w:tc>
                <w:tcPr>
                  <w:tcW w:w="793" w:type="dxa"/>
                  <w:tcBorders>
                    <w:tl2br w:val="nil"/>
                    <w:tr2bl w:val="nil"/>
                  </w:tcBorders>
                  <w:noWrap w:val="0"/>
                  <w:vAlign w:val="center"/>
                </w:tcPr>
                <w:p w14:paraId="13B6643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1"/>
                      <w:sz w:val="21"/>
                      <w:szCs w:val="21"/>
                    </w:rPr>
                  </w:pPr>
                  <w:r>
                    <w:rPr>
                      <w:rFonts w:ascii="Times New Roman" w:hAnsi="Times New Roman" w:eastAsia="Times New Roman" w:cs="Times New Roman"/>
                      <w:color w:val="auto"/>
                      <w:spacing w:val="3"/>
                      <w:sz w:val="21"/>
                      <w:szCs w:val="21"/>
                    </w:rPr>
                    <w:t>42</w:t>
                  </w:r>
                </w:p>
              </w:tc>
              <w:tc>
                <w:tcPr>
                  <w:tcW w:w="704" w:type="dxa"/>
                  <w:tcBorders>
                    <w:tl2br w:val="nil"/>
                    <w:tr2bl w:val="nil"/>
                  </w:tcBorders>
                  <w:noWrap w:val="0"/>
                  <w:vAlign w:val="center"/>
                </w:tcPr>
                <w:p w14:paraId="0B9A6EC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z w:val="21"/>
                      <w:szCs w:val="21"/>
                    </w:rPr>
                  </w:pPr>
                  <w:r>
                    <w:rPr>
                      <w:rFonts w:ascii="Times New Roman" w:hAnsi="Times New Roman" w:eastAsia="Times New Roman" w:cs="Times New Roman"/>
                      <w:color w:val="auto"/>
                      <w:sz w:val="21"/>
                      <w:szCs w:val="21"/>
                    </w:rPr>
                    <w:t>39</w:t>
                  </w:r>
                </w:p>
              </w:tc>
              <w:tc>
                <w:tcPr>
                  <w:tcW w:w="824" w:type="dxa"/>
                  <w:tcBorders>
                    <w:tl2br w:val="nil"/>
                    <w:tr2bl w:val="nil"/>
                  </w:tcBorders>
                  <w:noWrap w:val="0"/>
                  <w:vAlign w:val="center"/>
                </w:tcPr>
                <w:p w14:paraId="1116039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rPr>
                      <w:rFonts w:hint="default" w:ascii="Times New Roman" w:hAnsi="Times New Roman" w:eastAsia="宋体" w:cs="Times New Roman"/>
                      <w:color w:val="auto"/>
                      <w:spacing w:val="-4"/>
                      <w:sz w:val="21"/>
                      <w:szCs w:val="21"/>
                    </w:rPr>
                  </w:pPr>
                  <w:r>
                    <w:rPr>
                      <w:rFonts w:ascii="Times New Roman" w:hAnsi="Times New Roman" w:eastAsia="Times New Roman" w:cs="Times New Roman"/>
                      <w:color w:val="auto"/>
                      <w:spacing w:val="1"/>
                      <w:sz w:val="21"/>
                      <w:szCs w:val="21"/>
                    </w:rPr>
                    <w:t>0.2</w:t>
                  </w:r>
                </w:p>
              </w:tc>
              <w:tc>
                <w:tcPr>
                  <w:tcW w:w="989" w:type="dxa"/>
                  <w:tcBorders>
                    <w:tl2br w:val="nil"/>
                    <w:tr2bl w:val="nil"/>
                  </w:tcBorders>
                  <w:noWrap w:val="0"/>
                  <w:vAlign w:val="center"/>
                </w:tcPr>
                <w:p w14:paraId="123AD05B">
                  <w:pPr>
                    <w:pStyle w:val="52"/>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rPr>
                    <w:t>道路</w:t>
                  </w:r>
                </w:p>
              </w:tc>
            </w:tr>
            <w:tr w14:paraId="010A2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8809" w:type="dxa"/>
                  <w:gridSpan w:val="8"/>
                  <w:tcBorders>
                    <w:tl2br w:val="nil"/>
                    <w:tr2bl w:val="nil"/>
                  </w:tcBorders>
                  <w:noWrap w:val="0"/>
                  <w:vAlign w:val="center"/>
                </w:tcPr>
                <w:p w14:paraId="332F5478">
                  <w:pPr>
                    <w:pStyle w:val="52"/>
                    <w:keepNext w:val="0"/>
                    <w:keepLines w:val="0"/>
                    <w:pageBreakBefore w:val="0"/>
                    <w:widowControl w:val="0"/>
                    <w:kinsoku/>
                    <w:wordWrap/>
                    <w:overflowPunct/>
                    <w:topLinePunct w:val="0"/>
                    <w:autoSpaceDE/>
                    <w:autoSpaceDN/>
                    <w:bidi w:val="0"/>
                    <w:adjustRightInd/>
                    <w:snapToGrid w:val="0"/>
                    <w:spacing w:line="240" w:lineRule="auto"/>
                    <w:ind w:left="0" w:firstLine="0" w:firstLineChars="0"/>
                    <w:jc w:val="center"/>
                    <w:textAlignment w:val="auto"/>
                    <w:rPr>
                      <w:rFonts w:hint="default" w:ascii="Times New Roman" w:hAnsi="Times New Roman" w:eastAsia="宋体" w:cs="Times New Roman"/>
                      <w:color w:val="auto"/>
                      <w:spacing w:val="5"/>
                      <w:sz w:val="21"/>
                      <w:szCs w:val="21"/>
                    </w:rPr>
                  </w:pPr>
                  <w:r>
                    <w:rPr>
                      <w:rFonts w:hint="default" w:ascii="Times New Roman" w:hAnsi="Times New Roman" w:eastAsia="宋体" w:cs="Times New Roman"/>
                      <w:color w:val="auto"/>
                      <w:spacing w:val="5"/>
                      <w:sz w:val="21"/>
                      <w:szCs w:val="21"/>
                      <w:lang w:val="en-US" w:eastAsia="zh-CN"/>
                    </w:rPr>
                    <w:t>备注：以上检测结果已扣除宇宙射线的响应部分，均在距地面 1m 测得。</w:t>
                  </w:r>
                </w:p>
              </w:tc>
            </w:tr>
          </w:tbl>
          <w:p w14:paraId="51FDEF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pacing w:val="0"/>
                <w:position w:val="0"/>
                <w:highlight w:val="none"/>
                <w:lang w:eastAsia="zh-CN"/>
              </w:rPr>
            </w:pPr>
            <w:r>
              <w:rPr>
                <w:rFonts w:hint="default" w:ascii="Times New Roman" w:hAnsi="Times New Roman" w:eastAsia="宋体" w:cs="Times New Roman"/>
                <w:color w:val="auto"/>
                <w:spacing w:val="0"/>
                <w:position w:val="0"/>
                <w:highlight w:val="none"/>
              </w:rPr>
              <w:t>据表</w:t>
            </w:r>
            <w:r>
              <w:rPr>
                <w:rFonts w:hint="default" w:ascii="Times New Roman" w:hAnsi="Times New Roman" w:eastAsia="宋体" w:cs="Times New Roman"/>
                <w:color w:val="auto"/>
                <w:spacing w:val="0"/>
                <w:position w:val="0"/>
                <w:highlight w:val="none"/>
                <w:lang w:val="en-US" w:eastAsia="zh-CN"/>
              </w:rPr>
              <w:t>8-</w:t>
            </w:r>
            <w:r>
              <w:rPr>
                <w:rFonts w:hint="eastAsia" w:cs="Times New Roman"/>
                <w:color w:val="auto"/>
                <w:spacing w:val="0"/>
                <w:position w:val="0"/>
                <w:highlight w:val="none"/>
                <w:lang w:val="en-US" w:eastAsia="zh-CN"/>
              </w:rPr>
              <w:t>1</w:t>
            </w:r>
            <w:r>
              <w:rPr>
                <w:rFonts w:hint="default" w:ascii="Times New Roman" w:hAnsi="Times New Roman" w:eastAsia="宋体" w:cs="Times New Roman"/>
                <w:color w:val="auto"/>
                <w:spacing w:val="0"/>
                <w:position w:val="0"/>
                <w:highlight w:val="none"/>
              </w:rPr>
              <w:t>监测数据，</w:t>
            </w:r>
            <w:r>
              <w:rPr>
                <w:rFonts w:hint="default" w:ascii="Times New Roman" w:hAnsi="Times New Roman" w:eastAsia="宋体" w:cs="Times New Roman"/>
                <w:color w:val="auto"/>
                <w:spacing w:val="0"/>
                <w:position w:val="0"/>
                <w:highlight w:val="none"/>
                <w:lang w:val="en-US" w:eastAsia="zh-CN"/>
              </w:rPr>
              <w:t>本项目DSA拟使用</w:t>
            </w:r>
            <w:r>
              <w:rPr>
                <w:rFonts w:hint="default" w:ascii="Times New Roman" w:hAnsi="Times New Roman" w:eastAsia="宋体" w:cs="Times New Roman"/>
                <w:color w:val="auto"/>
                <w:spacing w:val="0"/>
                <w:position w:val="0"/>
                <w:highlight w:val="none"/>
              </w:rPr>
              <w:t>机房区域周围X-γ辐射剂量率测值在</w:t>
            </w:r>
            <w:r>
              <w:rPr>
                <w:rFonts w:hint="eastAsia" w:cs="Times New Roman"/>
                <w:color w:val="auto"/>
                <w:spacing w:val="0"/>
                <w:position w:val="0"/>
                <w:highlight w:val="none"/>
                <w:lang w:val="en-US" w:eastAsia="zh-CN"/>
              </w:rPr>
              <w:t>33</w:t>
            </w:r>
            <w:r>
              <w:rPr>
                <w:rFonts w:hint="default" w:ascii="Times New Roman" w:hAnsi="Times New Roman" w:eastAsia="宋体" w:cs="Times New Roman"/>
                <w:color w:val="auto"/>
                <w:spacing w:val="0"/>
                <w:position w:val="0"/>
                <w:highlight w:val="none"/>
              </w:rPr>
              <w:t>~</w:t>
            </w:r>
            <w:r>
              <w:rPr>
                <w:rFonts w:hint="eastAsia" w:cs="Times New Roman"/>
                <w:color w:val="auto"/>
                <w:spacing w:val="0"/>
                <w:position w:val="0"/>
                <w:highlight w:val="none"/>
                <w:lang w:val="en-US" w:eastAsia="zh-CN"/>
              </w:rPr>
              <w:t>50</w:t>
            </w:r>
            <w:r>
              <w:rPr>
                <w:rFonts w:hint="default" w:ascii="Times New Roman" w:hAnsi="Times New Roman" w:eastAsia="宋体" w:cs="Times New Roman"/>
                <w:color w:val="auto"/>
                <w:spacing w:val="0"/>
                <w:position w:val="0"/>
                <w:highlight w:val="none"/>
                <w:lang w:val="en-US" w:eastAsia="zh-CN"/>
              </w:rPr>
              <w:t xml:space="preserve"> </w:t>
            </w:r>
            <w:r>
              <w:rPr>
                <w:rFonts w:hint="default" w:ascii="Times New Roman" w:hAnsi="Times New Roman" w:eastAsia="宋体" w:cs="Times New Roman"/>
                <w:color w:val="auto"/>
                <w:spacing w:val="0"/>
                <w:position w:val="0"/>
                <w:highlight w:val="none"/>
              </w:rPr>
              <w:t>nGy/h之间，</w:t>
            </w:r>
            <w:r>
              <w:rPr>
                <w:rFonts w:hint="eastAsia" w:cs="Times New Roman"/>
                <w:color w:val="auto"/>
                <w:spacing w:val="0"/>
                <w:position w:val="0"/>
                <w:highlight w:val="none"/>
                <w:lang w:val="en-US" w:eastAsia="zh-CN"/>
              </w:rPr>
              <w:t>曲靖市第二人民医院</w:t>
            </w:r>
            <w:r>
              <w:rPr>
                <w:rFonts w:hint="default" w:ascii="Times New Roman" w:hAnsi="Times New Roman" w:eastAsia="宋体" w:cs="Times New Roman"/>
                <w:color w:val="auto"/>
                <w:spacing w:val="0"/>
                <w:position w:val="0"/>
                <w:highlight w:val="none"/>
              </w:rPr>
              <w:t>院内区域周围X-γ辐射剂量率测值在</w:t>
            </w:r>
            <w:r>
              <w:rPr>
                <w:rFonts w:hint="eastAsia" w:cs="Times New Roman"/>
                <w:color w:val="auto"/>
                <w:spacing w:val="0"/>
                <w:position w:val="0"/>
                <w:highlight w:val="none"/>
                <w:lang w:val="en-US" w:eastAsia="zh-CN"/>
              </w:rPr>
              <w:t>36</w:t>
            </w:r>
            <w:r>
              <w:rPr>
                <w:rFonts w:hint="default" w:ascii="Times New Roman" w:hAnsi="Times New Roman" w:eastAsia="宋体" w:cs="Times New Roman"/>
                <w:color w:val="auto"/>
                <w:spacing w:val="0"/>
                <w:position w:val="0"/>
                <w:highlight w:val="none"/>
              </w:rPr>
              <w:t>~</w:t>
            </w:r>
            <w:r>
              <w:rPr>
                <w:rFonts w:hint="eastAsia" w:cs="Times New Roman"/>
                <w:color w:val="auto"/>
                <w:spacing w:val="0"/>
                <w:position w:val="0"/>
                <w:highlight w:val="none"/>
                <w:lang w:val="en-US" w:eastAsia="zh-CN"/>
              </w:rPr>
              <w:t>42</w:t>
            </w:r>
            <w:r>
              <w:rPr>
                <w:rFonts w:hint="default" w:ascii="Times New Roman" w:hAnsi="Times New Roman" w:eastAsia="宋体" w:cs="Times New Roman"/>
                <w:color w:val="auto"/>
                <w:spacing w:val="0"/>
                <w:position w:val="0"/>
                <w:highlight w:val="none"/>
              </w:rPr>
              <w:t>nGy/h之间。</w:t>
            </w:r>
          </w:p>
          <w:p w14:paraId="323A3F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highlight w:val="none"/>
              </w:rPr>
              <w:t>DSA拟建场所X-γ辐射剂量率水平与医院背景值相当，属于医院正常X-γ辐射水平。本项目拟建场所属于所在区域正常辐射水平范围内。</w:t>
            </w:r>
          </w:p>
          <w:p w14:paraId="41025C52">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pacing w:val="0"/>
                <w:position w:val="0"/>
              </w:rPr>
            </w:pPr>
            <w:r>
              <w:rPr>
                <w:rFonts w:hint="eastAsia"/>
                <w:b/>
                <w:bCs/>
                <w:color w:val="auto"/>
                <w:sz w:val="21"/>
                <w:szCs w:val="22"/>
                <w:vertAlign w:val="baseline"/>
                <w:lang w:val="en-US" w:eastAsia="zh-CN"/>
              </w:rPr>
              <w:drawing>
                <wp:inline distT="0" distB="0" distL="114300" distR="114300">
                  <wp:extent cx="5209540" cy="3639820"/>
                  <wp:effectExtent l="0" t="0" r="10160" b="17780"/>
                  <wp:docPr id="24" name="图片 9" descr="现状监测布点图-模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descr="现状监测布点图-模型_01"/>
                          <pic:cNvPicPr>
                            <a:picLocks noChangeAspect="1"/>
                          </pic:cNvPicPr>
                        </pic:nvPicPr>
                        <pic:blipFill>
                          <a:blip r:embed="rId28"/>
                          <a:stretch>
                            <a:fillRect/>
                          </a:stretch>
                        </pic:blipFill>
                        <pic:spPr>
                          <a:xfrm>
                            <a:off x="0" y="0"/>
                            <a:ext cx="5209540" cy="3639820"/>
                          </a:xfrm>
                          <a:prstGeom prst="rect">
                            <a:avLst/>
                          </a:prstGeom>
                          <a:noFill/>
                          <a:ln>
                            <a:noFill/>
                          </a:ln>
                        </pic:spPr>
                      </pic:pic>
                    </a:graphicData>
                  </a:graphic>
                </wp:inline>
              </w:drawing>
            </w:r>
          </w:p>
          <w:p w14:paraId="7E4BD69C">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bookmarkStart w:id="33" w:name="_Toc544"/>
            <w:bookmarkStart w:id="34" w:name="_Toc3677"/>
            <w:r>
              <w:rPr>
                <w:rFonts w:hint="default" w:ascii="Times New Roman" w:hAnsi="Times New Roman" w:eastAsia="宋体" w:cs="Times New Roman"/>
                <w:color w:val="auto"/>
                <w:spacing w:val="0"/>
                <w:position w:val="0"/>
                <w:sz w:val="21"/>
                <w:szCs w:val="21"/>
                <w:highlight w:val="none"/>
              </w:rPr>
              <w:t>图8-1本项目DSA拟建场所及周围辐射环境现状</w:t>
            </w:r>
            <w:r>
              <w:rPr>
                <w:rFonts w:hint="eastAsia" w:cs="Times New Roman"/>
                <w:color w:val="auto"/>
                <w:spacing w:val="0"/>
                <w:position w:val="0"/>
                <w:sz w:val="21"/>
                <w:szCs w:val="21"/>
                <w:highlight w:val="none"/>
                <w:lang w:eastAsia="zh-CN"/>
              </w:rPr>
              <w:t>监测点位</w:t>
            </w:r>
            <w:r>
              <w:rPr>
                <w:rFonts w:hint="default" w:ascii="Times New Roman" w:hAnsi="Times New Roman" w:eastAsia="宋体" w:cs="Times New Roman"/>
                <w:color w:val="auto"/>
                <w:spacing w:val="0"/>
                <w:position w:val="0"/>
                <w:sz w:val="21"/>
                <w:szCs w:val="21"/>
                <w:highlight w:val="none"/>
              </w:rPr>
              <w:t>示意图</w:t>
            </w:r>
          </w:p>
          <w:p w14:paraId="59E3A84A">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2"/>
                <w:szCs w:val="22"/>
              </w:rPr>
            </w:pPr>
            <w:r>
              <w:rPr>
                <w:rFonts w:hint="eastAsia" w:eastAsia="宋体"/>
                <w:color w:val="auto"/>
                <w:vertAlign w:val="baseline"/>
                <w:lang w:eastAsia="zh-CN"/>
              </w:rPr>
              <w:drawing>
                <wp:inline distT="0" distB="0" distL="114300" distR="114300">
                  <wp:extent cx="5541010" cy="3441065"/>
                  <wp:effectExtent l="0" t="0" r="2540" b="6985"/>
                  <wp:docPr id="25" name="图片 32" descr="现状监测布点图-模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2" descr="现状监测布点图-模型_01"/>
                          <pic:cNvPicPr>
                            <a:picLocks noChangeAspect="1"/>
                          </pic:cNvPicPr>
                        </pic:nvPicPr>
                        <pic:blipFill>
                          <a:blip r:embed="rId29"/>
                          <a:stretch>
                            <a:fillRect/>
                          </a:stretch>
                        </pic:blipFill>
                        <pic:spPr>
                          <a:xfrm>
                            <a:off x="0" y="0"/>
                            <a:ext cx="5541010" cy="3441065"/>
                          </a:xfrm>
                          <a:prstGeom prst="rect">
                            <a:avLst/>
                          </a:prstGeom>
                          <a:noFill/>
                          <a:ln>
                            <a:noFill/>
                          </a:ln>
                        </pic:spPr>
                      </pic:pic>
                    </a:graphicData>
                  </a:graphic>
                </wp:inline>
              </w:drawing>
            </w:r>
          </w:p>
          <w:p w14:paraId="79B6B413">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sz w:val="21"/>
                <w:szCs w:val="21"/>
                <w:highlight w:val="none"/>
              </w:rPr>
              <w:t>图8-2本项目外</w:t>
            </w:r>
            <w:r>
              <w:rPr>
                <w:rFonts w:hint="default" w:ascii="Times New Roman" w:hAnsi="Times New Roman" w:eastAsia="宋体" w:cs="Times New Roman"/>
                <w:color w:val="auto"/>
                <w:spacing w:val="0"/>
                <w:position w:val="0"/>
                <w:sz w:val="21"/>
                <w:szCs w:val="21"/>
                <w:highlight w:val="none"/>
                <w:lang w:val="en-US" w:eastAsia="zh-CN"/>
              </w:rPr>
              <w:t>环境</w:t>
            </w:r>
            <w:r>
              <w:rPr>
                <w:rFonts w:hint="default" w:ascii="Times New Roman" w:hAnsi="Times New Roman" w:eastAsia="宋体" w:cs="Times New Roman"/>
                <w:color w:val="auto"/>
                <w:spacing w:val="0"/>
                <w:position w:val="0"/>
                <w:sz w:val="21"/>
                <w:szCs w:val="21"/>
                <w:highlight w:val="none"/>
              </w:rPr>
              <w:t>辐射环境现状</w:t>
            </w:r>
            <w:r>
              <w:rPr>
                <w:rFonts w:hint="eastAsia" w:cs="Times New Roman"/>
                <w:color w:val="auto"/>
                <w:spacing w:val="0"/>
                <w:position w:val="0"/>
                <w:sz w:val="21"/>
                <w:szCs w:val="21"/>
                <w:highlight w:val="none"/>
                <w:lang w:eastAsia="zh-CN"/>
              </w:rPr>
              <w:t>监测点位</w:t>
            </w:r>
            <w:r>
              <w:rPr>
                <w:rFonts w:hint="default" w:ascii="Times New Roman" w:hAnsi="Times New Roman" w:eastAsia="宋体" w:cs="Times New Roman"/>
                <w:color w:val="auto"/>
                <w:spacing w:val="0"/>
                <w:position w:val="0"/>
                <w:sz w:val="21"/>
                <w:szCs w:val="21"/>
                <w:highlight w:val="none"/>
              </w:rPr>
              <w:t>示意图</w:t>
            </w:r>
            <w:bookmarkEnd w:id="33"/>
            <w:bookmarkEnd w:id="34"/>
          </w:p>
        </w:tc>
      </w:tr>
    </w:tbl>
    <w:p w14:paraId="7DEA2738">
      <w:pPr>
        <w:rPr>
          <w:rFonts w:hint="default" w:ascii="Times New Roman" w:hAnsi="Times New Roman" w:eastAsia="宋体" w:cs="Times New Roman"/>
          <w:color w:val="auto"/>
          <w:spacing w:val="0"/>
          <w:position w:val="0"/>
        </w:rPr>
      </w:pPr>
      <w:bookmarkStart w:id="35" w:name="_Toc23997"/>
      <w:bookmarkStart w:id="36" w:name="_Toc28835"/>
      <w:r>
        <w:rPr>
          <w:rFonts w:hint="default" w:ascii="Times New Roman" w:hAnsi="Times New Roman" w:eastAsia="宋体" w:cs="Times New Roman"/>
          <w:color w:val="auto"/>
          <w:spacing w:val="0"/>
          <w:position w:val="0"/>
        </w:rPr>
        <w:br w:type="page"/>
      </w:r>
    </w:p>
    <w:p w14:paraId="26BCD080">
      <w:pPr>
        <w:pStyle w:val="2"/>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表9项目工程分析与源项</w:t>
      </w:r>
      <w:bookmarkEnd w:id="35"/>
      <w:bookmarkEnd w:id="36"/>
    </w:p>
    <w:tbl>
      <w:tblPr>
        <w:tblStyle w:val="20"/>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6"/>
      </w:tblGrid>
      <w:tr w14:paraId="036B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84" w:type="dxa"/>
            <w:noWrap w:val="0"/>
            <w:vAlign w:val="top"/>
          </w:tcPr>
          <w:p w14:paraId="74FF08D4">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9.1工程设备和工艺分析</w:t>
            </w:r>
          </w:p>
          <w:p w14:paraId="1B8691A8">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一、施工期工艺分析</w:t>
            </w:r>
          </w:p>
          <w:p w14:paraId="7035C26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bookmarkStart w:id="37" w:name="_Toc10350"/>
            <w:r>
              <w:rPr>
                <w:rFonts w:hint="default" w:ascii="Times New Roman" w:hAnsi="Times New Roman" w:eastAsia="宋体" w:cs="Times New Roman"/>
                <w:color w:val="auto"/>
                <w:spacing w:val="0"/>
                <w:position w:val="0"/>
              </w:rPr>
              <w:t>项目施工过</w:t>
            </w:r>
            <w:r>
              <w:rPr>
                <w:rFonts w:hint="default" w:ascii="Times New Roman" w:hAnsi="Times New Roman" w:eastAsia="宋体" w:cs="Times New Roman"/>
                <w:color w:val="auto"/>
                <w:spacing w:val="0"/>
                <w:position w:val="0"/>
                <w:lang w:eastAsia="zh-CN"/>
              </w:rPr>
              <w:t>程中</w:t>
            </w:r>
            <w:r>
              <w:rPr>
                <w:rFonts w:hint="default" w:ascii="Times New Roman" w:hAnsi="Times New Roman" w:eastAsia="宋体" w:cs="Times New Roman"/>
                <w:color w:val="auto"/>
                <w:spacing w:val="0"/>
                <w:position w:val="0"/>
              </w:rPr>
              <w:t>首先根据使用要求进行规划布置及设计；然后按照设计组织施工，对建筑物内部进行</w:t>
            </w:r>
            <w:r>
              <w:rPr>
                <w:rFonts w:hint="default" w:ascii="Times New Roman" w:hAnsi="Times New Roman" w:eastAsia="宋体" w:cs="Times New Roman"/>
                <w:color w:val="auto"/>
                <w:spacing w:val="0"/>
                <w:position w:val="0"/>
                <w:lang w:val="en-US" w:eastAsia="zh-CN"/>
              </w:rPr>
              <w:t>改造</w:t>
            </w:r>
            <w:r>
              <w:rPr>
                <w:rFonts w:hint="default" w:ascii="Times New Roman" w:hAnsi="Times New Roman" w:eastAsia="宋体" w:cs="Times New Roman"/>
                <w:color w:val="auto"/>
                <w:spacing w:val="0"/>
                <w:position w:val="0"/>
              </w:rPr>
              <w:t>及必要的辐射防护施工、装修和设备安装，并进行调试。</w:t>
            </w:r>
          </w:p>
          <w:p w14:paraId="7F27834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w:t>
            </w:r>
            <w:r>
              <w:rPr>
                <w:rFonts w:hint="default" w:ascii="Times New Roman" w:hAnsi="Times New Roman" w:eastAsia="宋体" w:cs="Times New Roman"/>
                <w:color w:val="auto"/>
                <w:spacing w:val="0"/>
                <w:position w:val="0"/>
              </w:rPr>
              <w:t>项目拟建DSA机房位于</w:t>
            </w:r>
            <w:r>
              <w:rPr>
                <w:rFonts w:hint="default" w:ascii="Times New Roman" w:hAnsi="Times New Roman" w:eastAsia="宋体" w:cs="Times New Roman"/>
                <w:color w:val="auto"/>
                <w:spacing w:val="0"/>
                <w:position w:val="0"/>
                <w:lang w:val="en-US" w:eastAsia="zh-CN"/>
              </w:rPr>
              <w:t>曲靖市第二人民医院住院楼5楼</w:t>
            </w:r>
            <w:r>
              <w:rPr>
                <w:rFonts w:hint="default" w:ascii="Times New Roman" w:hAnsi="Times New Roman" w:eastAsia="宋体" w:cs="Times New Roman"/>
                <w:color w:val="auto"/>
                <w:spacing w:val="0"/>
                <w:position w:val="0"/>
              </w:rPr>
              <w:t>，本次建设DSA手术室</w:t>
            </w:r>
            <w:r>
              <w:rPr>
                <w:rFonts w:hint="default" w:ascii="Times New Roman" w:hAnsi="Times New Roman" w:eastAsia="宋体" w:cs="Times New Roman"/>
                <w:color w:val="auto"/>
                <w:spacing w:val="0"/>
                <w:position w:val="0"/>
                <w:lang w:val="en-US" w:eastAsia="zh-CN"/>
              </w:rPr>
              <w:t>建设过程中涉及墙体设置隔断、水电、通排风等基装，在安装屏蔽材料、安装防护铅门、铅玻璃等工程中，主要污染物有施工粉尘、噪声、装修废气、建筑垃圾、生活垃圾、生活污水、少量电离辐射、氮氧化物和臭气。</w:t>
            </w:r>
            <w:r>
              <w:rPr>
                <w:rFonts w:hint="default" w:ascii="Times New Roman" w:hAnsi="Times New Roman" w:eastAsia="宋体" w:cs="Times New Roman"/>
                <w:color w:val="auto"/>
                <w:spacing w:val="0"/>
                <w:position w:val="0"/>
              </w:rPr>
              <w:t>施工工艺流程及产污环节，见图9-1：</w:t>
            </w:r>
          </w:p>
          <w:p w14:paraId="4B9F5597">
            <w:pPr>
              <w:keepNext w:val="0"/>
              <w:keepLines w:val="0"/>
              <w:suppressLineNumbers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object>
                <v:shape id="_x0000_i1025" o:spt="75" type="#_x0000_t75" style="height:127.5pt;width:429.75pt;" o:ole="t" filled="f" o:preferrelative="t" stroked="f" coordsize="21600,21600">
                  <v:path/>
                  <v:fill on="f" focussize="0,0"/>
                  <v:stroke on="f"/>
                  <v:imagedata r:id="rId31" o:title=""/>
                  <o:lock v:ext="edit" aspectratio="f"/>
                  <w10:wrap type="none"/>
                  <w10:anchorlock/>
                </v:shape>
                <o:OLEObject Type="Embed" ProgID="Visio.Drawing.15" ShapeID="_x0000_i1025" DrawAspect="Content" ObjectID="_1468075725" r:id="rId30">
                  <o:LockedField>false</o:LockedField>
                </o:OLEObject>
              </w:object>
            </w:r>
          </w:p>
          <w:p w14:paraId="1D64EE9C">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b/>
                <w:color w:val="auto"/>
                <w:spacing w:val="0"/>
                <w:position w:val="0"/>
                <w:sz w:val="21"/>
                <w:szCs w:val="18"/>
              </w:rPr>
              <w:t>图9-1项目施工期工艺流程及产污环节图</w:t>
            </w:r>
          </w:p>
          <w:p w14:paraId="2F7D2EA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本项目主要是在建筑内部进行施工，先进行区划调整改造后，根据平面设计进行隔断，再进行水电、通排风等基装，再对机房内部墙体安装屏蔽材料、安装防护铅门、观察窗及装修工程等。</w:t>
            </w:r>
          </w:p>
          <w:p w14:paraId="5BC2D00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环评要求：</w:t>
            </w:r>
            <w:r>
              <w:rPr>
                <w:rFonts w:hint="default" w:ascii="Times New Roman" w:hAnsi="Times New Roman" w:eastAsia="宋体" w:cs="Times New Roman"/>
                <w:color w:val="auto"/>
                <w:spacing w:val="0"/>
                <w:position w:val="0"/>
                <w:lang w:val="en-US" w:eastAsia="zh-CN"/>
              </w:rPr>
              <w:t>严格按照设计方案进行防护施工，隐蔽工程需留下影像资料，如：机房地面防护涂料施工、墙体防护涂料板安装、墙体和顶板铅板、防护门及铅玻璃安装、通风管穿墙防护、电缆穿墙防护等影像资料，以备后期查验</w:t>
            </w:r>
            <w:r>
              <w:rPr>
                <w:rFonts w:hint="default" w:ascii="Times New Roman" w:hAnsi="Times New Roman" w:eastAsia="宋体" w:cs="Times New Roman"/>
                <w:color w:val="auto"/>
                <w:spacing w:val="0"/>
                <w:position w:val="0"/>
              </w:rPr>
              <w:t>。</w:t>
            </w:r>
          </w:p>
          <w:p w14:paraId="0B46C468">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pacing w:val="0"/>
                <w:position w:val="0"/>
              </w:rPr>
            </w:pPr>
            <w:r>
              <w:rPr>
                <w:rFonts w:hint="eastAsia" w:cs="Times New Roman"/>
                <w:b/>
                <w:bCs/>
                <w:color w:val="auto"/>
                <w:spacing w:val="0"/>
                <w:position w:val="0"/>
                <w:lang w:val="en-US" w:eastAsia="zh-CN"/>
              </w:rPr>
              <w:t>1、</w:t>
            </w:r>
            <w:r>
              <w:rPr>
                <w:rFonts w:hint="default" w:ascii="Times New Roman" w:hAnsi="Times New Roman" w:eastAsia="宋体" w:cs="Times New Roman"/>
                <w:b/>
                <w:bCs/>
                <w:color w:val="auto"/>
                <w:spacing w:val="0"/>
                <w:position w:val="0"/>
              </w:rPr>
              <w:t>介入手术室施工质量的要求：</w:t>
            </w:r>
          </w:p>
          <w:p w14:paraId="27A027F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①机房屏蔽施工时，观察窗铅玻璃内嵌到防护墙内并在四周用铅皮进行包裹，机房门与墙、窗与墙之间的重叠处搭接应大于相关缝隙的10倍；</w:t>
            </w:r>
          </w:p>
          <w:p w14:paraId="4379BD8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②穿过介入手术室的电缆沟及通风管道均采用铅皮包裹以避免电缆沟及通排风管道布设方式</w:t>
            </w:r>
            <w:r>
              <w:rPr>
                <w:rFonts w:hint="default" w:ascii="Times New Roman" w:hAnsi="Times New Roman" w:eastAsia="宋体" w:cs="Times New Roman"/>
                <w:color w:val="auto"/>
                <w:spacing w:val="0"/>
                <w:position w:val="0"/>
                <w:lang w:eastAsia="zh-CN"/>
              </w:rPr>
              <w:t>影响</w:t>
            </w:r>
            <w:r>
              <w:rPr>
                <w:rFonts w:hint="default" w:ascii="Times New Roman" w:hAnsi="Times New Roman" w:eastAsia="宋体" w:cs="Times New Roman"/>
                <w:color w:val="auto"/>
                <w:spacing w:val="0"/>
                <w:position w:val="0"/>
              </w:rPr>
              <w:t>屏蔽墙体的屏蔽效果</w:t>
            </w:r>
            <w:r>
              <w:rPr>
                <w:rFonts w:hint="default" w:ascii="Times New Roman" w:hAnsi="Times New Roman" w:eastAsia="宋体" w:cs="Times New Roman"/>
                <w:color w:val="auto"/>
                <w:spacing w:val="0"/>
                <w:position w:val="0"/>
                <w:lang w:eastAsia="zh-CN"/>
              </w:rPr>
              <w:t>；</w:t>
            </w:r>
          </w:p>
          <w:p w14:paraId="2E9E1DA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③剪力墙和铅板，铅板和铅板等所有屏蔽搭接缝隙处，铅板搭接外延100mm，墙面拐角及吊顶衔接处采用圆弧形施工，确保错缝搭接。</w:t>
            </w:r>
          </w:p>
          <w:p w14:paraId="645F90E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本项目调试应请设备供货方专业人员进行，医院方不得自行调试设备。在调试阶段，应加强辐射防护管理，在此过程中应保证各屏蔽体屏蔽到位，关闭防护门，在机房门外设立电离辐射警告标志，禁止无关人员靠近</w:t>
            </w:r>
            <w:r>
              <w:rPr>
                <w:rFonts w:hint="default" w:ascii="Times New Roman" w:hAnsi="Times New Roman" w:eastAsia="宋体" w:cs="Times New Roman"/>
                <w:color w:val="auto"/>
                <w:spacing w:val="0"/>
                <w:position w:val="0"/>
                <w:lang w:eastAsia="zh-CN"/>
              </w:rPr>
              <w:t>。</w:t>
            </w:r>
          </w:p>
          <w:p w14:paraId="3727EDE0">
            <w:pPr>
              <w:keepNext w:val="0"/>
              <w:keepLines w:val="0"/>
              <w:suppressLineNumbers w:val="0"/>
              <w:spacing w:before="0" w:beforeAutospacing="0" w:after="0" w:afterAutospacing="0"/>
              <w:ind w:left="0" w:right="0"/>
              <w:rPr>
                <w:rFonts w:hint="eastAsia" w:cs="Times New Roman"/>
                <w:b/>
                <w:bCs/>
                <w:color w:val="auto"/>
                <w:spacing w:val="0"/>
                <w:position w:val="0"/>
                <w:lang w:val="en-US" w:eastAsia="zh-CN"/>
              </w:rPr>
            </w:pPr>
            <w:r>
              <w:rPr>
                <w:rFonts w:hint="eastAsia" w:cs="Times New Roman"/>
                <w:b/>
                <w:bCs/>
                <w:color w:val="auto"/>
                <w:spacing w:val="0"/>
                <w:position w:val="0"/>
                <w:lang w:val="en-US" w:eastAsia="zh-CN"/>
              </w:rPr>
              <w:t>2、设备安装及调试：</w:t>
            </w:r>
          </w:p>
          <w:p w14:paraId="79CB672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设备安装及调试阶段主要污染物是运输器械产生噪声及包装废弃物、电离辐射和臭氧。本项目射线装置运输、安装和调试均由设备厂家专业人员进行操作。在设备安装调试期间，医院应配合设备厂家专业人员加强安装调试现场的辐射安全管理，保证在此期间内放射工作场所设置的各类辐射安全防护措施正常运行，具体措施要求如下：</w:t>
            </w:r>
          </w:p>
          <w:p w14:paraId="71F8EF6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①医用射线装置的安装调试、维修的技术服务单位，必须是持有辐射安全许可证的单位；调试人员应取得辐射安全与防护培训考核合格证。</w:t>
            </w:r>
          </w:p>
          <w:p w14:paraId="2C6A550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②在医用射线装置出束调试前，应确保机房四周墙体、顶板、防护门等实体屏蔽设施防护到位，并先启动各项安全联锁装置（如门-机联锁、门-灯联锁等），经确认所有安全联锁系统运行正常后，方可启动装置出束。</w:t>
            </w:r>
          </w:p>
          <w:p w14:paraId="1A497E0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③在医用射线装置的安装调试期间，应关闭机房防护门，在机房防护门外醒目位置张贴电离辐射警告标志，禁止无关人员靠近。</w:t>
            </w:r>
          </w:p>
          <w:p w14:paraId="4EB3B69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④在安装调试期间，射线装置的开关钥匙应安排专人看管。</w:t>
            </w:r>
          </w:p>
          <w:p w14:paraId="3908FA0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t>⑤安装调试人员离开机房期间，机房和控制室必须关闭上锁，钥匙交由专人看管或安排专人看守。</w:t>
            </w:r>
          </w:p>
          <w:bookmarkEnd w:id="37"/>
          <w:p w14:paraId="17EE33BB">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二、施工期污染源项分析</w:t>
            </w:r>
          </w:p>
          <w:p w14:paraId="324A5A6A">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（1）废气</w:t>
            </w:r>
          </w:p>
          <w:p w14:paraId="166AE898">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本项目在施工装修阶段会有粉尘及涂料废气产生，其中粉尘主要产生于室内凿电缆沟、通风管道过墙凿洞、四周墙体及顶部装修等过程，由于工程量较小，粉尘产生量较少，且该过程进行喷雾洒水抑尘，采取湿式作业，一方面给切割机、电钻降温，一方面减少粉尘产生量，同时将施工场地四周用彩条布围挡，经洒水降尘后的少量扬尘通过门窗自然通风排出。在装修时采用</w:t>
            </w:r>
            <w:r>
              <w:rPr>
                <w:rFonts w:hint="default" w:ascii="Times New Roman" w:hAnsi="Times New Roman" w:eastAsia="宋体" w:cs="Times New Roman"/>
                <w:b w:val="0"/>
                <w:bCs w:val="0"/>
                <w:color w:val="auto"/>
                <w:spacing w:val="0"/>
                <w:position w:val="0"/>
                <w:lang w:eastAsia="zh-CN"/>
              </w:rPr>
              <w:t>“</w:t>
            </w:r>
            <w:r>
              <w:rPr>
                <w:rFonts w:hint="default" w:ascii="Times New Roman" w:hAnsi="Times New Roman" w:eastAsia="宋体" w:cs="Times New Roman"/>
                <w:b w:val="0"/>
                <w:bCs w:val="0"/>
                <w:color w:val="auto"/>
                <w:spacing w:val="0"/>
                <w:position w:val="0"/>
              </w:rPr>
              <w:t>环保型</w:t>
            </w:r>
            <w:r>
              <w:rPr>
                <w:rFonts w:hint="default" w:ascii="Times New Roman" w:hAnsi="Times New Roman" w:eastAsia="宋体" w:cs="Times New Roman"/>
                <w:b w:val="0"/>
                <w:bCs w:val="0"/>
                <w:color w:val="auto"/>
                <w:spacing w:val="0"/>
                <w:position w:val="0"/>
                <w:lang w:eastAsia="zh-CN"/>
              </w:rPr>
              <w:t>”</w:t>
            </w:r>
            <w:r>
              <w:rPr>
                <w:rFonts w:hint="default" w:ascii="Times New Roman" w:hAnsi="Times New Roman" w:eastAsia="宋体" w:cs="Times New Roman"/>
                <w:b w:val="0"/>
                <w:bCs w:val="0"/>
                <w:color w:val="auto"/>
                <w:spacing w:val="0"/>
                <w:position w:val="0"/>
              </w:rPr>
              <w:t>油漆及涂料，该废气的排放属无组织排放，因项目工期短，施工量小，故涂料废气排放量较少。废气通过自然通风排出室外。</w:t>
            </w:r>
          </w:p>
          <w:p w14:paraId="753D7F16">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（2）废水</w:t>
            </w:r>
          </w:p>
          <w:p w14:paraId="059BE265">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本项目DSA机房和相应配套场所施工量较少，施工期短，施工过程中切割机、电钻降温、降尘洒水使用少量的水，该部分水最终蒸发不产生施工废水。且本项目不设施工营地，仅产生少量的清洗废水，依托医院污水处理站处理。施工人员产生的生活污水按照</w:t>
            </w:r>
            <w:r>
              <w:rPr>
                <w:rFonts w:hint="eastAsia" w:cs="Times New Roman"/>
                <w:b w:val="0"/>
                <w:bCs w:val="0"/>
                <w:color w:val="auto"/>
                <w:spacing w:val="0"/>
                <w:position w:val="0"/>
                <w:lang w:val="en-US" w:eastAsia="zh-CN"/>
              </w:rPr>
              <w:t>2</w:t>
            </w:r>
            <w:r>
              <w:rPr>
                <w:rFonts w:hint="default" w:ascii="Times New Roman" w:hAnsi="Times New Roman" w:eastAsia="宋体" w:cs="Times New Roman"/>
                <w:b w:val="0"/>
                <w:bCs w:val="0"/>
                <w:color w:val="auto"/>
                <w:spacing w:val="0"/>
                <w:position w:val="0"/>
              </w:rPr>
              <w:t>L/d/人，施工人员8人，工期20天，则本项目施工人员产生的废水约为</w:t>
            </w:r>
            <w:r>
              <w:rPr>
                <w:rFonts w:hint="eastAsia" w:cs="Times New Roman"/>
                <w:b w:val="0"/>
                <w:bCs w:val="0"/>
                <w:color w:val="auto"/>
                <w:spacing w:val="0"/>
                <w:position w:val="0"/>
                <w:lang w:val="en-US" w:eastAsia="zh-CN"/>
              </w:rPr>
              <w:t>32</w:t>
            </w:r>
            <w:r>
              <w:rPr>
                <w:rFonts w:hint="default" w:ascii="Times New Roman" w:hAnsi="Times New Roman" w:eastAsia="宋体" w:cs="Times New Roman"/>
                <w:b w:val="0"/>
                <w:bCs w:val="0"/>
                <w:color w:val="auto"/>
                <w:spacing w:val="0"/>
                <w:position w:val="0"/>
              </w:rPr>
              <w:t>0L。生活污水依托医院的污水处理站处理。</w:t>
            </w:r>
          </w:p>
          <w:p w14:paraId="0D117831">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（3）固体废弃物</w:t>
            </w:r>
          </w:p>
          <w:p w14:paraId="11C603A1">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①建筑垃圾</w:t>
            </w:r>
          </w:p>
          <w:p w14:paraId="399B45A6">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建筑固废产生量与施工水平、建筑类型等多种因素有关。项目用房装修后使用，因此建筑垃圾主要来自装修期间开孔、凿沟、装修材料边角料等，根据项目工程特点，项目建筑垃圾产生量较少，均由施工方统一收集后，能回收利用的尽量回收利用，不能回收利用的清运至住建部门指定堆放点。</w:t>
            </w:r>
          </w:p>
          <w:p w14:paraId="15F75D95">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②生活垃圾</w:t>
            </w:r>
          </w:p>
          <w:p w14:paraId="2FF8D29C">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本项目施工量少，施工期短，施工人员数量少，故生活垃圾产生量也很少。施工人员生活垃圾产生系数按0.5kg/（人•天）计，本项目施工人员8人，施工期约20天，则本项目施工人员生活垃圾产生量约为80kg。</w:t>
            </w:r>
            <w:r>
              <w:rPr>
                <w:rFonts w:hint="eastAsia" w:cs="Times New Roman"/>
                <w:b w:val="0"/>
                <w:bCs w:val="0"/>
                <w:color w:val="auto"/>
                <w:spacing w:val="0"/>
                <w:position w:val="0"/>
                <w:lang w:eastAsia="zh-CN"/>
              </w:rPr>
              <w:t>生活垃圾经垃圾收集桶收集至垃圾房内，统一由医院委托环卫部门清运处置</w:t>
            </w:r>
            <w:r>
              <w:rPr>
                <w:rFonts w:hint="default" w:ascii="Times New Roman" w:hAnsi="Times New Roman" w:eastAsia="宋体" w:cs="Times New Roman"/>
                <w:b w:val="0"/>
                <w:bCs w:val="0"/>
                <w:color w:val="auto"/>
                <w:spacing w:val="0"/>
                <w:position w:val="0"/>
              </w:rPr>
              <w:t>。</w:t>
            </w:r>
          </w:p>
          <w:p w14:paraId="5FE23216">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（4）施工噪声</w:t>
            </w:r>
          </w:p>
          <w:p w14:paraId="1B927000">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机房装修时的噪声源主要有电锯、电钻、角磨机、电焊及切割机等，产生的噪声在70dB（A）～95dB（A）之间，项目装修施工均在室内进行，墙体可起到衰减噪声的作用。主要施工机械的噪声源强见表9-1。</w:t>
            </w:r>
          </w:p>
          <w:p w14:paraId="69C20A2F">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表9-1主要施工机械设备的噪声声级</w:t>
            </w:r>
          </w:p>
          <w:tbl>
            <w:tblPr>
              <w:tblStyle w:val="53"/>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55"/>
              <w:gridCol w:w="2929"/>
              <w:gridCol w:w="4197"/>
            </w:tblGrid>
            <w:tr w14:paraId="6FD46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1076" w:type="pct"/>
                  <w:noWrap w:val="0"/>
                  <w:vAlign w:val="center"/>
                </w:tcPr>
                <w:p w14:paraId="05427B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序号</w:t>
                  </w:r>
                </w:p>
              </w:tc>
              <w:tc>
                <w:tcPr>
                  <w:tcW w:w="1612" w:type="pct"/>
                  <w:noWrap w:val="0"/>
                  <w:vAlign w:val="center"/>
                </w:tcPr>
                <w:p w14:paraId="19E737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施工机械</w:t>
                  </w:r>
                </w:p>
              </w:tc>
              <w:tc>
                <w:tcPr>
                  <w:tcW w:w="2310" w:type="pct"/>
                  <w:noWrap w:val="0"/>
                  <w:vAlign w:val="center"/>
                </w:tcPr>
                <w:p w14:paraId="4316B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声级[dB（A）]</w:t>
                  </w:r>
                </w:p>
              </w:tc>
            </w:tr>
            <w:tr w14:paraId="382DA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1076" w:type="pct"/>
                  <w:noWrap w:val="0"/>
                  <w:vAlign w:val="center"/>
                </w:tcPr>
                <w:p w14:paraId="7C6640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1</w:t>
                  </w:r>
                </w:p>
              </w:tc>
              <w:tc>
                <w:tcPr>
                  <w:tcW w:w="1612" w:type="pct"/>
                  <w:noWrap w:val="0"/>
                  <w:vAlign w:val="center"/>
                </w:tcPr>
                <w:p w14:paraId="00C78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电锯</w:t>
                  </w:r>
                </w:p>
              </w:tc>
              <w:tc>
                <w:tcPr>
                  <w:tcW w:w="2310" w:type="pct"/>
                  <w:noWrap w:val="0"/>
                  <w:vAlign w:val="center"/>
                </w:tcPr>
                <w:p w14:paraId="40DE4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70</w:t>
                  </w: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88</w:t>
                  </w:r>
                </w:p>
              </w:tc>
            </w:tr>
            <w:tr w14:paraId="0D587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1076" w:type="pct"/>
                  <w:noWrap w:val="0"/>
                  <w:vAlign w:val="center"/>
                </w:tcPr>
                <w:p w14:paraId="2F44CB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2</w:t>
                  </w:r>
                </w:p>
              </w:tc>
              <w:tc>
                <w:tcPr>
                  <w:tcW w:w="1612" w:type="pct"/>
                  <w:noWrap w:val="0"/>
                  <w:vAlign w:val="center"/>
                </w:tcPr>
                <w:p w14:paraId="0C917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电钻</w:t>
                  </w:r>
                </w:p>
              </w:tc>
              <w:tc>
                <w:tcPr>
                  <w:tcW w:w="2310" w:type="pct"/>
                  <w:noWrap w:val="0"/>
                  <w:vAlign w:val="center"/>
                </w:tcPr>
                <w:p w14:paraId="54A466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80</w:t>
                  </w: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85</w:t>
                  </w:r>
                </w:p>
              </w:tc>
            </w:tr>
            <w:tr w14:paraId="48A44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1076" w:type="pct"/>
                  <w:noWrap w:val="0"/>
                  <w:vAlign w:val="center"/>
                </w:tcPr>
                <w:p w14:paraId="0DBF9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3</w:t>
                  </w:r>
                </w:p>
              </w:tc>
              <w:tc>
                <w:tcPr>
                  <w:tcW w:w="1612" w:type="pct"/>
                  <w:noWrap w:val="0"/>
                  <w:vAlign w:val="center"/>
                </w:tcPr>
                <w:p w14:paraId="268511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角磨机</w:t>
                  </w:r>
                </w:p>
              </w:tc>
              <w:tc>
                <w:tcPr>
                  <w:tcW w:w="2310" w:type="pct"/>
                  <w:noWrap w:val="0"/>
                  <w:vAlign w:val="center"/>
                </w:tcPr>
                <w:p w14:paraId="745E4D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90</w:t>
                  </w: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95</w:t>
                  </w:r>
                </w:p>
              </w:tc>
            </w:tr>
            <w:tr w14:paraId="122E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1076" w:type="pct"/>
                  <w:noWrap w:val="0"/>
                  <w:vAlign w:val="center"/>
                </w:tcPr>
                <w:p w14:paraId="42E08A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4</w:t>
                  </w:r>
                </w:p>
              </w:tc>
              <w:tc>
                <w:tcPr>
                  <w:tcW w:w="1612" w:type="pct"/>
                  <w:noWrap w:val="0"/>
                  <w:vAlign w:val="center"/>
                </w:tcPr>
                <w:p w14:paraId="4FA4A3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电焊机</w:t>
                  </w:r>
                </w:p>
              </w:tc>
              <w:tc>
                <w:tcPr>
                  <w:tcW w:w="2310" w:type="pct"/>
                  <w:noWrap w:val="0"/>
                  <w:vAlign w:val="center"/>
                </w:tcPr>
                <w:p w14:paraId="6EB42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80</w:t>
                  </w: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85</w:t>
                  </w:r>
                </w:p>
              </w:tc>
            </w:tr>
            <w:tr w14:paraId="1832B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1076" w:type="pct"/>
                  <w:noWrap w:val="0"/>
                  <w:vAlign w:val="center"/>
                </w:tcPr>
                <w:p w14:paraId="24DF9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5</w:t>
                  </w:r>
                </w:p>
              </w:tc>
              <w:tc>
                <w:tcPr>
                  <w:tcW w:w="1612" w:type="pct"/>
                  <w:noWrap w:val="0"/>
                  <w:vAlign w:val="center"/>
                </w:tcPr>
                <w:p w14:paraId="3CC19A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切割机</w:t>
                  </w:r>
                </w:p>
              </w:tc>
              <w:tc>
                <w:tcPr>
                  <w:tcW w:w="2310" w:type="pct"/>
                  <w:noWrap w:val="0"/>
                  <w:vAlign w:val="center"/>
                </w:tcPr>
                <w:p w14:paraId="3ABED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pacing w:val="0"/>
                      <w:position w:val="0"/>
                      <w:sz w:val="21"/>
                      <w:szCs w:val="21"/>
                    </w:rPr>
                  </w:pPr>
                  <w:r>
                    <w:rPr>
                      <w:rFonts w:hint="default" w:ascii="Times New Roman" w:hAnsi="Times New Roman" w:eastAsia="宋体" w:cs="Times New Roman"/>
                      <w:b w:val="0"/>
                      <w:bCs w:val="0"/>
                      <w:color w:val="auto"/>
                      <w:spacing w:val="0"/>
                      <w:position w:val="0"/>
                      <w:sz w:val="21"/>
                      <w:szCs w:val="21"/>
                    </w:rPr>
                    <w:t>90</w:t>
                  </w:r>
                  <w:r>
                    <w:rPr>
                      <w:rFonts w:hint="default" w:ascii="Times New Roman" w:hAnsi="Times New Roman" w:eastAsia="宋体" w:cs="Times New Roman"/>
                      <w:b w:val="0"/>
                      <w:bCs w:val="0"/>
                      <w:color w:val="auto"/>
                      <w:spacing w:val="0"/>
                      <w:position w:val="0"/>
                      <w:sz w:val="21"/>
                      <w:szCs w:val="21"/>
                      <w:lang w:eastAsia="zh-CN"/>
                    </w:rPr>
                    <w:t>~</w:t>
                  </w:r>
                  <w:r>
                    <w:rPr>
                      <w:rFonts w:hint="default" w:ascii="Times New Roman" w:hAnsi="Times New Roman" w:eastAsia="宋体" w:cs="Times New Roman"/>
                      <w:b w:val="0"/>
                      <w:bCs w:val="0"/>
                      <w:color w:val="auto"/>
                      <w:spacing w:val="0"/>
                      <w:position w:val="0"/>
                      <w:sz w:val="21"/>
                      <w:szCs w:val="21"/>
                    </w:rPr>
                    <w:t>95</w:t>
                  </w:r>
                </w:p>
              </w:tc>
            </w:tr>
          </w:tbl>
          <w:p w14:paraId="5BD0CAD4">
            <w:pPr>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（5）设备安装调试</w:t>
            </w:r>
          </w:p>
          <w:p w14:paraId="66FBD05F">
            <w:pPr>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本项目DSA安装及调试由设备供货方专业人员进行，院方不得自行安装及调试设备。</w:t>
            </w:r>
          </w:p>
          <w:p w14:paraId="7284EABE">
            <w:pPr>
              <w:keepNext w:val="0"/>
              <w:keepLines w:val="0"/>
              <w:suppressLineNumbers w:val="0"/>
              <w:spacing w:before="0" w:beforeAutospacing="0" w:after="0" w:afterAutospacing="0"/>
              <w:ind w:left="0" w:right="0"/>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安装调试阶段是在辐射防护施工完成后进行，在此过程中各屏蔽体屏蔽到位，关闭防护门，在机房门外设立辐射警示标志，禁止无关人员靠近。设备安装过程中会产生废包装纸/袋、噪声、X 射线、微量臭氧及氮氧化物。因安装调试时间短，各污染物产生量很少，且调试结束关机后，X射线将及时消除，因此，本项目设备安装调试造成的环境影响很小。</w:t>
            </w:r>
          </w:p>
          <w:p w14:paraId="796B0DFD">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val="en-US" w:eastAsia="zh-CN"/>
              </w:rPr>
              <w:t>三、</w:t>
            </w:r>
            <w:r>
              <w:rPr>
                <w:rFonts w:hint="default" w:ascii="Times New Roman" w:hAnsi="Times New Roman" w:eastAsia="宋体" w:cs="Times New Roman"/>
                <w:b/>
                <w:bCs/>
                <w:color w:val="auto"/>
                <w:spacing w:val="0"/>
                <w:position w:val="0"/>
              </w:rPr>
              <w:t>运营期工艺分析</w:t>
            </w:r>
          </w:p>
          <w:p w14:paraId="4D3A4BD2">
            <w:pPr>
              <w:keepNext w:val="0"/>
              <w:keepLines w:val="0"/>
              <w:suppressLineNumbers w:val="0"/>
              <w:spacing w:before="0" w:beforeAutospacing="0" w:after="0" w:afterAutospacing="0"/>
              <w:ind w:left="0" w:right="0" w:firstLine="482"/>
              <w:rPr>
                <w:rFonts w:hint="default" w:ascii="Times New Roman" w:hAnsi="Times New Roman" w:eastAsia="宋体" w:cs="Times New Roman"/>
                <w:b/>
                <w:color w:val="auto"/>
                <w:spacing w:val="0"/>
                <w:kern w:val="0"/>
                <w:position w:val="0"/>
                <w:sz w:val="28"/>
                <w:szCs w:val="28"/>
              </w:rPr>
            </w:pPr>
            <w:r>
              <w:rPr>
                <w:rFonts w:hint="default" w:ascii="Times New Roman" w:hAnsi="Times New Roman" w:eastAsia="宋体" w:cs="Times New Roman"/>
                <w:b/>
                <w:color w:val="auto"/>
                <w:spacing w:val="0"/>
                <w:kern w:val="0"/>
                <w:position w:val="0"/>
                <w:lang w:eastAsia="zh-CN"/>
              </w:rPr>
              <w:t>1.</w:t>
            </w:r>
            <w:r>
              <w:rPr>
                <w:rFonts w:hint="default" w:ascii="Times New Roman" w:hAnsi="Times New Roman" w:eastAsia="宋体" w:cs="Times New Roman"/>
                <w:b/>
                <w:color w:val="auto"/>
                <w:spacing w:val="0"/>
                <w:kern w:val="0"/>
                <w:position w:val="0"/>
              </w:rPr>
              <w:t>工作原理</w:t>
            </w:r>
          </w:p>
          <w:p w14:paraId="061D6F6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Style w:val="48"/>
                <w:rFonts w:hint="default" w:ascii="Times New Roman" w:hAnsi="Times New Roman" w:eastAsia="宋体" w:cs="Times New Roman"/>
                <w:color w:val="auto"/>
                <w:spacing w:val="0"/>
                <w:position w:val="0"/>
                <w:highlight w:val="none"/>
              </w:rPr>
              <w:t>数字减影血管造影</w:t>
            </w:r>
            <w:r>
              <w:rPr>
                <w:rFonts w:hint="default" w:ascii="Times New Roman" w:hAnsi="Times New Roman" w:eastAsia="宋体" w:cs="Times New Roman"/>
                <w:color w:val="auto"/>
                <w:spacing w:val="0"/>
                <w:position w:val="0"/>
                <w:highlight w:val="none"/>
              </w:rPr>
              <w:t>系统（Digital subtraction angiography简称DSA），其基本原理是：由产生X射线的X射线管、供给X射线管灯丝电压及管电压的高压发生器、控制X射线的</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量</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和</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质</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及曝光时间的控制装置，以及为满足诊断需要而装配的各种机械装置和辅助装置</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外围设备</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组成DSA在透视及减影工作中，X射线管是一个内真空的玻璃管，其中一端是作为电子源的阴极，另一端是嵌有靶材料的阳极，当两端加有高压时，阴极的灯丝热致发射电子。由于阴极和阳极两端存在电位差，电子向阳极运动，形成静电式加速获取能量。具有一定动能的高速运动电子，撞击靶材料，产生X射线。DSA通过计算机程序进行两次成像，在注入造影剂之前，首先进行第一次成像，并用计算机将图像转换成数字信号储存起来，注入造影剂后，再次成像并转换成数字信号两次数字相减，消除相同的信号，得出一个只有造影剂的血管图像。这种图像较以往所用的常规脑血管造影所显示的图像更清晰和直观，能显示精细的血管结构，且对比度分辨率高，减去了血管以外的背景，尤其使与骨骼重叠的血管能清</w:t>
            </w:r>
            <w:r>
              <w:rPr>
                <w:rFonts w:hint="default" w:ascii="Times New Roman" w:hAnsi="Times New Roman" w:eastAsia="宋体" w:cs="Times New Roman"/>
                <w:color w:val="auto"/>
                <w:spacing w:val="0"/>
                <w:position w:val="0"/>
                <w:highlight w:val="none"/>
                <w:lang w:eastAsia="zh-CN"/>
              </w:rPr>
              <w:t>楚地</w:t>
            </w:r>
            <w:r>
              <w:rPr>
                <w:rFonts w:hint="default" w:ascii="Times New Roman" w:hAnsi="Times New Roman" w:eastAsia="宋体" w:cs="Times New Roman"/>
                <w:color w:val="auto"/>
                <w:spacing w:val="0"/>
                <w:position w:val="0"/>
                <w:highlight w:val="none"/>
              </w:rPr>
              <w:t>显示；由于造影剂用量少、浓度低、损伤小，使用较为安全；通过DSA处理的图像，使血管的影像更为清晰，在进行介入手术时更为安全。</w:t>
            </w:r>
            <w:r>
              <w:rPr>
                <w:rFonts w:hint="default" w:ascii="Times New Roman" w:hAnsi="Times New Roman" w:eastAsia="宋体" w:cs="Times New Roman"/>
                <w:color w:val="auto"/>
                <w:spacing w:val="0"/>
                <w:position w:val="0"/>
              </w:rPr>
              <w:t>DSA特点是图像清晰，分辨率高，对观察血管病变，血管狭窄的定位测量，诊断及</w:t>
            </w:r>
            <w:r>
              <w:rPr>
                <w:rFonts w:hint="default" w:ascii="Times New Roman" w:hAnsi="Times New Roman" w:eastAsia="宋体" w:cs="Times New Roman"/>
                <w:color w:val="auto"/>
                <w:spacing w:val="0"/>
                <w:position w:val="0"/>
              </w:rPr>
              <w:fldChar w:fldCharType="begin"/>
            </w:r>
            <w:r>
              <w:rPr>
                <w:rFonts w:hint="default" w:ascii="Times New Roman" w:hAnsi="Times New Roman" w:eastAsia="宋体" w:cs="Times New Roman"/>
                <w:color w:val="auto"/>
                <w:spacing w:val="0"/>
                <w:position w:val="0"/>
              </w:rPr>
              <w:instrText xml:space="preserve"> HYPERLINK "http://baike.baidu.com/view/129198.htm" \t "_blank" </w:instrText>
            </w:r>
            <w:r>
              <w:rPr>
                <w:rFonts w:hint="default" w:ascii="Times New Roman" w:hAnsi="Times New Roman" w:eastAsia="宋体" w:cs="Times New Roman"/>
                <w:color w:val="auto"/>
                <w:spacing w:val="0"/>
                <w:position w:val="0"/>
              </w:rPr>
              <w:fldChar w:fldCharType="separate"/>
            </w:r>
            <w:r>
              <w:rPr>
                <w:rStyle w:val="26"/>
                <w:rFonts w:hint="default" w:ascii="Times New Roman" w:hAnsi="Times New Roman" w:eastAsia="宋体" w:cs="Times New Roman"/>
                <w:color w:val="auto"/>
                <w:spacing w:val="0"/>
                <w:position w:val="0"/>
              </w:rPr>
              <w:t>介入治疗</w:t>
            </w:r>
            <w:r>
              <w:rPr>
                <w:rStyle w:val="26"/>
                <w:rFonts w:hint="default" w:ascii="Times New Roman" w:hAnsi="Times New Roman" w:eastAsia="宋体" w:cs="Times New Roman"/>
                <w:color w:val="auto"/>
                <w:spacing w:val="0"/>
                <w:position w:val="0"/>
              </w:rPr>
              <w:fldChar w:fldCharType="end"/>
            </w:r>
            <w:r>
              <w:rPr>
                <w:rFonts w:hint="default" w:ascii="Times New Roman" w:hAnsi="Times New Roman" w:eastAsia="宋体" w:cs="Times New Roman"/>
                <w:color w:val="auto"/>
                <w:spacing w:val="0"/>
                <w:position w:val="0"/>
              </w:rPr>
              <w:t>提供了真实的立体图像，为各种介入治疗提供了必备条件。</w:t>
            </w:r>
          </w:p>
          <w:p w14:paraId="15BCD487">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转换过程基本原理见图9-2，临床DSA实际图像见图9-3。</w:t>
            </w:r>
          </w:p>
          <w:p w14:paraId="3A2ADD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w:drawing>
                <wp:inline distT="0" distB="0" distL="114300" distR="114300">
                  <wp:extent cx="4024630" cy="2867025"/>
                  <wp:effectExtent l="0" t="0" r="13970" b="9525"/>
                  <wp:docPr id="2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2"/>
                          <pic:cNvPicPr>
                            <a:picLocks noChangeAspect="1"/>
                          </pic:cNvPicPr>
                        </pic:nvPicPr>
                        <pic:blipFill>
                          <a:blip r:embed="rId32"/>
                          <a:stretch>
                            <a:fillRect/>
                          </a:stretch>
                        </pic:blipFill>
                        <pic:spPr>
                          <a:xfrm>
                            <a:off x="0" y="0"/>
                            <a:ext cx="4024630" cy="2867025"/>
                          </a:xfrm>
                          <a:prstGeom prst="rect">
                            <a:avLst/>
                          </a:prstGeom>
                          <a:noFill/>
                          <a:ln>
                            <a:noFill/>
                          </a:ln>
                        </pic:spPr>
                      </pic:pic>
                    </a:graphicData>
                  </a:graphic>
                </wp:inline>
              </w:drawing>
            </w:r>
          </w:p>
          <w:p w14:paraId="1D9E1060">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rPr>
            </w:pPr>
            <w:bookmarkStart w:id="38" w:name="_Toc455501233"/>
            <w:r>
              <w:rPr>
                <w:rFonts w:hint="default" w:ascii="Times New Roman" w:hAnsi="Times New Roman" w:eastAsia="宋体" w:cs="Times New Roman"/>
                <w:b/>
                <w:bCs/>
                <w:color w:val="auto"/>
                <w:spacing w:val="0"/>
                <w:position w:val="0"/>
                <w:sz w:val="21"/>
                <w:szCs w:val="21"/>
              </w:rPr>
              <w:t>图9-2转换过程基本原理</w:t>
            </w:r>
            <w:bookmarkEnd w:id="38"/>
          </w:p>
          <w:p w14:paraId="1DE982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2"/>
                <w:position w:val="0"/>
                <w:sz w:val="24"/>
                <w:szCs w:val="24"/>
                <w:lang w:val="en-US" w:eastAsia="zh-CN" w:bidi="ar-SA"/>
              </w:rPr>
              <w:drawing>
                <wp:inline distT="0" distB="0" distL="114300" distR="114300">
                  <wp:extent cx="4678680" cy="2136775"/>
                  <wp:effectExtent l="0" t="0" r="7620" b="15875"/>
                  <wp:docPr id="2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6"/>
                          <pic:cNvPicPr>
                            <a:picLocks noChangeAspect="1"/>
                          </pic:cNvPicPr>
                        </pic:nvPicPr>
                        <pic:blipFill>
                          <a:blip r:embed="rId33"/>
                          <a:stretch>
                            <a:fillRect/>
                          </a:stretch>
                        </pic:blipFill>
                        <pic:spPr>
                          <a:xfrm>
                            <a:off x="0" y="0"/>
                            <a:ext cx="4678680" cy="2136775"/>
                          </a:xfrm>
                          <a:prstGeom prst="rect">
                            <a:avLst/>
                          </a:prstGeom>
                          <a:noFill/>
                          <a:ln>
                            <a:noFill/>
                          </a:ln>
                        </pic:spPr>
                      </pic:pic>
                    </a:graphicData>
                  </a:graphic>
                </wp:inline>
              </w:drawing>
            </w:r>
          </w:p>
          <w:p w14:paraId="344370D7">
            <w:pPr>
              <w:pStyle w:val="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图9-3临床DSA图像</w:t>
            </w:r>
          </w:p>
          <w:p w14:paraId="7C226C9A">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设备组成</w:t>
            </w:r>
          </w:p>
          <w:p w14:paraId="74A8AA8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DSA主要组成如下：</w:t>
            </w:r>
          </w:p>
          <w:p w14:paraId="499CBEB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①X射线管组件：旋转阳极X射线管、X射线管套、X射线束准直器。该部分为X射线的发生部位。</w:t>
            </w:r>
          </w:p>
          <w:p w14:paraId="6BD5387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②高压发生器：高压变压器、X射线管灯丝变压器、高压整流器、高压变换闸、高压插座。</w:t>
            </w:r>
          </w:p>
          <w:p w14:paraId="72B59E1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③控制台：电源开关、电源电压调节器及电压表、管电压调节器及管电压表、管电流调节器及管电流表、曝光控制及指示器、容量保护装置及指示器、透视量限制器。</w:t>
            </w:r>
          </w:p>
          <w:p w14:paraId="581FF1F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④辅助支持设备：C型臂式机械装置；荧光屏、电视设备、成像板、电影机、平板探测器FPD等影像装置；固定器、压迫器、专用滤线栅、铅橡胶防护帘等配套装置。本项目DSA设备型号</w:t>
            </w:r>
            <w:r>
              <w:rPr>
                <w:rFonts w:hint="default" w:ascii="Times New Roman" w:hAnsi="Times New Roman" w:eastAsia="宋体" w:cs="Times New Roman"/>
                <w:color w:val="auto"/>
                <w:spacing w:val="0"/>
                <w:position w:val="0"/>
                <w:lang w:val="en-US" w:eastAsia="zh-CN"/>
              </w:rPr>
              <w:t>为ARTIS pheno Master型，</w:t>
            </w:r>
            <w:r>
              <w:rPr>
                <w:rFonts w:hint="default" w:ascii="Times New Roman" w:hAnsi="Times New Roman" w:eastAsia="宋体" w:cs="Times New Roman"/>
                <w:color w:val="auto"/>
                <w:spacing w:val="0"/>
                <w:position w:val="0"/>
              </w:rPr>
              <w:t>设备形状见图9-4。</w:t>
            </w:r>
          </w:p>
          <w:p w14:paraId="759D1F6D">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rPr>
              <w:drawing>
                <wp:inline distT="0" distB="0" distL="114300" distR="114300">
                  <wp:extent cx="5754370" cy="4311650"/>
                  <wp:effectExtent l="0" t="0" r="17780" b="1270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34"/>
                          <a:stretch>
                            <a:fillRect/>
                          </a:stretch>
                        </pic:blipFill>
                        <pic:spPr>
                          <a:xfrm>
                            <a:off x="0" y="0"/>
                            <a:ext cx="5754370" cy="4311650"/>
                          </a:xfrm>
                          <a:prstGeom prst="rect">
                            <a:avLst/>
                          </a:prstGeom>
                          <a:noFill/>
                          <a:ln>
                            <a:noFill/>
                          </a:ln>
                        </pic:spPr>
                      </pic:pic>
                    </a:graphicData>
                  </a:graphic>
                </wp:inline>
              </w:drawing>
            </w:r>
          </w:p>
          <w:p w14:paraId="61CA3EBB">
            <w:pPr>
              <w:keepNext w:val="0"/>
              <w:keepLines w:val="0"/>
              <w:suppressLineNumbers w:val="0"/>
              <w:snapToGrid w:val="0"/>
              <w:spacing w:before="0" w:beforeAutospacing="0" w:after="0" w:afterAutospacing="0" w:line="240" w:lineRule="auto"/>
              <w:ind w:left="0" w:right="0" w:firstLine="422"/>
              <w:jc w:val="center"/>
              <w:rPr>
                <w:rFonts w:hint="default" w:ascii="Times New Roman" w:hAnsi="Times New Roman" w:eastAsia="宋体" w:cs="Times New Roman"/>
                <w:b/>
                <w:color w:val="auto"/>
                <w:spacing w:val="0"/>
                <w:position w:val="0"/>
                <w:szCs w:val="21"/>
              </w:rPr>
            </w:pPr>
            <w:r>
              <w:rPr>
                <w:rFonts w:hint="default" w:ascii="Times New Roman" w:hAnsi="Times New Roman" w:eastAsia="宋体" w:cs="Times New Roman"/>
                <w:b/>
                <w:color w:val="auto"/>
                <w:spacing w:val="0"/>
                <w:position w:val="0"/>
                <w:sz w:val="21"/>
                <w:szCs w:val="21"/>
              </w:rPr>
              <w:t xml:space="preserve">图9-4 </w:t>
            </w:r>
            <w:r>
              <w:rPr>
                <w:rFonts w:hint="default" w:ascii="Times New Roman" w:hAnsi="Times New Roman" w:eastAsia="宋体" w:cs="Times New Roman"/>
                <w:b/>
                <w:color w:val="auto"/>
                <w:spacing w:val="0"/>
                <w:position w:val="0"/>
                <w:sz w:val="21"/>
                <w:szCs w:val="21"/>
                <w:lang w:val="en-US" w:eastAsia="zh-CN"/>
              </w:rPr>
              <w:t>ARTIS pheno Master型</w:t>
            </w:r>
            <w:r>
              <w:rPr>
                <w:rFonts w:hint="default" w:ascii="Times New Roman" w:hAnsi="Times New Roman" w:eastAsia="宋体" w:cs="Times New Roman"/>
                <w:b/>
                <w:color w:val="auto"/>
                <w:spacing w:val="0"/>
                <w:position w:val="0"/>
                <w:sz w:val="21"/>
                <w:szCs w:val="21"/>
              </w:rPr>
              <w:t>DSA设备外观图</w:t>
            </w:r>
          </w:p>
          <w:p w14:paraId="29ABB2E2">
            <w:pPr>
              <w:keepNext w:val="0"/>
              <w:keepLines w:val="0"/>
              <w:suppressLineNumbers w:val="0"/>
              <w:spacing w:before="0" w:beforeAutospacing="0" w:after="0" w:afterAutospacing="0"/>
              <w:ind w:left="0" w:right="0" w:firstLine="482"/>
              <w:rPr>
                <w:rFonts w:hint="eastAsia" w:cs="Times New Roman"/>
                <w:b/>
                <w:bCs/>
                <w:color w:val="auto"/>
                <w:spacing w:val="0"/>
                <w:position w:val="0"/>
                <w:lang w:val="en-US" w:eastAsia="zh-CN"/>
              </w:rPr>
            </w:pPr>
            <w:r>
              <w:rPr>
                <w:rFonts w:hint="default" w:ascii="Times New Roman" w:hAnsi="Times New Roman" w:eastAsia="宋体" w:cs="Times New Roman"/>
                <w:b/>
                <w:bCs/>
                <w:color w:val="auto"/>
                <w:spacing w:val="0"/>
                <w:position w:val="0"/>
                <w:lang w:eastAsia="zh-CN"/>
              </w:rPr>
              <w:t>3.</w:t>
            </w:r>
            <w:r>
              <w:rPr>
                <w:rFonts w:hint="eastAsia" w:cs="Times New Roman"/>
                <w:b/>
                <w:bCs/>
                <w:color w:val="auto"/>
                <w:spacing w:val="0"/>
                <w:position w:val="0"/>
                <w:lang w:val="en-US" w:eastAsia="zh-CN"/>
              </w:rPr>
              <w:t>安装形式</w:t>
            </w:r>
          </w:p>
          <w:p w14:paraId="3107F828">
            <w:pPr>
              <w:keepNext w:val="0"/>
              <w:keepLines w:val="0"/>
              <w:suppressLineNumbers w:val="0"/>
              <w:spacing w:before="0" w:beforeAutospacing="0" w:after="0" w:afterAutospacing="0"/>
              <w:ind w:left="0" w:right="0" w:firstLine="482"/>
              <w:rPr>
                <w:rFonts w:hint="default" w:cs="Times New Roman"/>
                <w:b w:val="0"/>
                <w:bCs w:val="0"/>
                <w:color w:val="auto"/>
                <w:spacing w:val="0"/>
                <w:position w:val="0"/>
                <w:lang w:val="en-US" w:eastAsia="zh-CN"/>
              </w:rPr>
            </w:pPr>
            <w:r>
              <w:rPr>
                <w:rFonts w:hint="default" w:cs="Times New Roman"/>
                <w:b w:val="0"/>
                <w:bCs w:val="0"/>
                <w:color w:val="auto"/>
                <w:spacing w:val="0"/>
                <w:position w:val="0"/>
                <w:lang w:val="en-US" w:eastAsia="zh-CN"/>
              </w:rPr>
              <w:t>本项目数字减影血管造影系统（DSA）为落地式C臂结构安装，整机固定布置于DSA介入机房内，不可移出机房使用</w:t>
            </w:r>
            <w:r>
              <w:rPr>
                <w:rFonts w:hint="eastAsia" w:cs="Times New Roman"/>
                <w:b w:val="0"/>
                <w:bCs w:val="0"/>
                <w:color w:val="auto"/>
                <w:spacing w:val="0"/>
                <w:position w:val="0"/>
                <w:lang w:val="en-US" w:eastAsia="zh-CN"/>
              </w:rPr>
              <w:t>，</w:t>
            </w:r>
            <w:r>
              <w:rPr>
                <w:rFonts w:hint="default" w:cs="Times New Roman"/>
                <w:b w:val="0"/>
                <w:bCs w:val="0"/>
                <w:color w:val="auto"/>
                <w:spacing w:val="0"/>
                <w:position w:val="0"/>
                <w:lang w:val="en-US" w:eastAsia="zh-CN"/>
              </w:rPr>
              <w:t>球管与平板探测器分别安装于C臂两端，检查床独立落地固定，C臂可围绕检查床做多角度转动：可实现正位、侧位、头足位、足头位、左右斜位（LAO/RAO）以及3D旋转采集姿态</w:t>
            </w:r>
            <w:r>
              <w:rPr>
                <w:rFonts w:hint="eastAsia" w:cs="Times New Roman"/>
                <w:b w:val="0"/>
                <w:bCs w:val="0"/>
                <w:color w:val="auto"/>
                <w:spacing w:val="0"/>
                <w:position w:val="0"/>
                <w:lang w:val="en-US" w:eastAsia="zh-CN"/>
              </w:rPr>
              <w:t>，机架具备机械防碰撞保护，运动可电动驱动，也支持手动微调位置</w:t>
            </w:r>
            <w:r>
              <w:rPr>
                <w:rFonts w:hint="default" w:cs="Times New Roman"/>
                <w:b w:val="0"/>
                <w:bCs w:val="0"/>
                <w:color w:val="auto"/>
                <w:spacing w:val="0"/>
                <w:position w:val="0"/>
                <w:lang w:val="en-US" w:eastAsia="zh-CN"/>
              </w:rPr>
              <w:t>。常规临床工作姿态下，X射线球管位于检查床下方，平板探测器位于检查床上方，X 射线主束由下向上穿过受检者人体</w:t>
            </w:r>
            <w:r>
              <w:rPr>
                <w:rFonts w:hint="eastAsia" w:cs="Times New Roman"/>
                <w:b w:val="0"/>
                <w:bCs w:val="0"/>
                <w:color w:val="auto"/>
                <w:spacing w:val="0"/>
                <w:position w:val="0"/>
                <w:lang w:val="en-US" w:eastAsia="zh-CN"/>
              </w:rPr>
              <w:t>，</w:t>
            </w:r>
            <w:r>
              <w:rPr>
                <w:rFonts w:hint="default" w:cs="Times New Roman"/>
                <w:b w:val="0"/>
                <w:bCs w:val="0"/>
                <w:color w:val="auto"/>
                <w:spacing w:val="0"/>
                <w:position w:val="0"/>
                <w:lang w:val="en-US" w:eastAsia="zh-CN"/>
              </w:rPr>
              <w:t>设备配套控制室、设备间，电缆、水冷管路</w:t>
            </w:r>
            <w:r>
              <w:rPr>
                <w:rFonts w:hint="eastAsia" w:cs="Times New Roman"/>
                <w:b w:val="0"/>
                <w:bCs w:val="0"/>
                <w:color w:val="auto"/>
                <w:spacing w:val="0"/>
                <w:position w:val="0"/>
                <w:lang w:val="en-US" w:eastAsia="zh-CN"/>
              </w:rPr>
              <w:t>等，</w:t>
            </w:r>
            <w:r>
              <w:rPr>
                <w:rFonts w:hint="default" w:cs="Times New Roman"/>
                <w:b w:val="0"/>
                <w:bCs w:val="0"/>
                <w:color w:val="auto"/>
                <w:spacing w:val="0"/>
                <w:position w:val="0"/>
                <w:lang w:val="en-US" w:eastAsia="zh-CN"/>
              </w:rPr>
              <w:t>整机电源、水冷系统布置于设备间。</w:t>
            </w:r>
          </w:p>
          <w:p w14:paraId="3A4A4F44">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eastAsia" w:cs="Times New Roman"/>
                <w:b/>
                <w:bCs/>
                <w:color w:val="auto"/>
                <w:spacing w:val="0"/>
                <w:position w:val="0"/>
                <w:lang w:val="en-US" w:eastAsia="zh-CN"/>
              </w:rPr>
              <w:t>4.</w:t>
            </w:r>
            <w:r>
              <w:rPr>
                <w:rFonts w:hint="default" w:ascii="Times New Roman" w:hAnsi="Times New Roman" w:eastAsia="宋体" w:cs="Times New Roman"/>
                <w:b/>
                <w:bCs/>
                <w:color w:val="auto"/>
                <w:spacing w:val="0"/>
                <w:position w:val="0"/>
              </w:rPr>
              <w:t>操作流程</w:t>
            </w:r>
          </w:p>
          <w:p w14:paraId="035C632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DSA主要进行介入手术。基本流程为：患者仰卧并进行无菌消毒，局部麻醉后经皮穿刺动脉，送入引导钢丝及扩张管与外鞘，退出钢丝及扩张管将外鞘保留于动脉内，经鞘插入导管，推送导管，在X线透视下将导管送达</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动脉后到达靶血管按规范顺序做好造影检查和治疗并留X线片记录</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。在X射线透视下进行介入手术。手术完成后撤出导管穿刺部位止血包扎。</w:t>
            </w:r>
          </w:p>
          <w:p w14:paraId="1446A7F7">
            <w:pPr>
              <w:keepNext w:val="0"/>
              <w:keepLines w:val="0"/>
              <w:suppressLineNumbers w:val="0"/>
              <w:spacing w:before="0" w:beforeAutospacing="0" w:after="0" w:afterAutospacing="0"/>
              <w:ind w:left="0" w:right="0" w:firstLine="482"/>
              <w:rPr>
                <w:rFonts w:hint="default" w:ascii="Times New Roman" w:hAnsi="Times New Roman" w:eastAsia="宋体" w:cs="Times New Roman"/>
                <w:color w:val="auto"/>
                <w:spacing w:val="0"/>
                <w:position w:val="0"/>
              </w:rPr>
            </w:pPr>
            <w:r>
              <w:rPr>
                <w:rFonts w:hint="eastAsia" w:cs="Times New Roman"/>
                <w:b/>
                <w:color w:val="auto"/>
                <w:spacing w:val="0"/>
                <w:position w:val="0"/>
                <w:lang w:val="en-US" w:eastAsia="zh-CN"/>
              </w:rPr>
              <w:t>5.</w:t>
            </w:r>
            <w:r>
              <w:rPr>
                <w:rFonts w:hint="default" w:ascii="Times New Roman" w:hAnsi="Times New Roman" w:eastAsia="宋体" w:cs="Times New Roman"/>
                <w:b/>
                <w:color w:val="auto"/>
                <w:spacing w:val="0"/>
                <w:position w:val="0"/>
              </w:rPr>
              <w:t>本项目DSA在进行曝光时分为两种情况：</w:t>
            </w:r>
          </w:p>
          <w:p w14:paraId="2FA0E19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第一种情况，透视。</w:t>
            </w:r>
            <w:r>
              <w:rPr>
                <w:rFonts w:hint="default" w:ascii="Times New Roman" w:hAnsi="Times New Roman" w:eastAsia="宋体" w:cs="Times New Roman"/>
                <w:color w:val="auto"/>
                <w:spacing w:val="0"/>
                <w:position w:val="0"/>
                <w:lang w:val="en-US" w:eastAsia="zh-CN"/>
              </w:rPr>
              <w:t>介入手术</w:t>
            </w:r>
            <w:r>
              <w:rPr>
                <w:rFonts w:hint="default" w:ascii="Times New Roman" w:hAnsi="Times New Roman" w:eastAsia="宋体" w:cs="Times New Roman"/>
                <w:color w:val="auto"/>
                <w:spacing w:val="0"/>
                <w:position w:val="0"/>
              </w:rPr>
              <w:t>医生在病人需进行介入手术治疗时，为更清楚的了解病人情况时会采取脉冲透视方式，形成实时图像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不能自动保存，需进行手动操作进行保存，曝光时自动更新图像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此时</w:t>
            </w:r>
            <w:r>
              <w:rPr>
                <w:rFonts w:hint="default" w:ascii="Times New Roman" w:hAnsi="Times New Roman" w:eastAsia="宋体" w:cs="Times New Roman"/>
                <w:color w:val="auto"/>
                <w:spacing w:val="0"/>
                <w:position w:val="0"/>
                <w:lang w:val="en-US" w:eastAsia="zh-CN"/>
              </w:rPr>
              <w:t>为更清楚的了解病人情况，医生需进入DSA介入室，进行治疗时会有连续曝光，并采用连续脉冲透视，该手术操作过程共需两名医生，此时第一手术操作位医师位于铅悬挂防护屏和床侧铅防护帘后身着铅服、戴铅眼镜等在曝光室内对患者进行直接的手术操作，距离主射线束距离为0.3m；第二手术位的医师位于铅悬挂防护屏和床侧铅防护帘后身着铅服、戴铅眼镜等辅助第一术者位，距离主射线束为0.8m。</w:t>
            </w:r>
            <w:r>
              <w:rPr>
                <w:rFonts w:hint="default" w:ascii="Times New Roman" w:hAnsi="Times New Roman" w:eastAsia="宋体" w:cs="Times New Roman"/>
                <w:color w:val="auto"/>
                <w:spacing w:val="0"/>
                <w:position w:val="0"/>
              </w:rPr>
              <w:t>在手术过程中均会使用此操作并且实际运行中该情况占绝大多数，因此是本次评价的重点。透视时最大管电压为</w:t>
            </w:r>
            <w:r>
              <w:rPr>
                <w:rFonts w:hint="default" w:ascii="Times New Roman" w:hAnsi="Times New Roman" w:eastAsia="宋体" w:cs="Times New Roman"/>
                <w:color w:val="auto"/>
                <w:spacing w:val="0"/>
                <w:position w:val="0"/>
                <w:lang w:val="en-US" w:eastAsia="zh-CN"/>
              </w:rPr>
              <w:t>75</w:t>
            </w:r>
            <w:r>
              <w:rPr>
                <w:rFonts w:hint="default" w:ascii="Times New Roman" w:hAnsi="Times New Roman" w:eastAsia="宋体" w:cs="Times New Roman"/>
                <w:color w:val="auto"/>
                <w:spacing w:val="0"/>
                <w:position w:val="0"/>
              </w:rPr>
              <w:t>kV</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最大管电流为</w:t>
            </w:r>
            <w:r>
              <w:rPr>
                <w:rFonts w:hint="default" w:ascii="Times New Roman" w:hAnsi="Times New Roman" w:eastAsia="宋体" w:cs="Times New Roman"/>
                <w:color w:val="auto"/>
                <w:spacing w:val="0"/>
                <w:position w:val="0"/>
                <w:lang w:val="en-US" w:eastAsia="zh-CN"/>
              </w:rPr>
              <w:t>15</w:t>
            </w:r>
            <w:r>
              <w:rPr>
                <w:rFonts w:hint="default" w:ascii="Times New Roman" w:hAnsi="Times New Roman" w:eastAsia="宋体" w:cs="Times New Roman"/>
                <w:color w:val="auto"/>
                <w:spacing w:val="0"/>
                <w:position w:val="0"/>
              </w:rPr>
              <w:t>mA</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此时介入手术医生在机房内进行手术操作，操作技师和护士均位于控制室内。</w:t>
            </w:r>
          </w:p>
          <w:p w14:paraId="1F95EB9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第二种情况，减影。操作人员采取隔室操作，</w:t>
            </w:r>
            <w:r>
              <w:rPr>
                <w:rFonts w:hint="default" w:ascii="Times New Roman" w:hAnsi="Times New Roman" w:eastAsia="宋体" w:cs="Times New Roman"/>
                <w:color w:val="auto"/>
                <w:spacing w:val="0"/>
                <w:position w:val="0"/>
                <w:lang w:val="en-US" w:eastAsia="zh-CN"/>
              </w:rPr>
              <w:t>在控制室内</w:t>
            </w:r>
            <w:r>
              <w:rPr>
                <w:rFonts w:hint="default" w:ascii="Times New Roman" w:hAnsi="Times New Roman" w:eastAsia="宋体" w:cs="Times New Roman"/>
                <w:color w:val="auto"/>
                <w:spacing w:val="0"/>
                <w:position w:val="0"/>
              </w:rPr>
              <w:t>操作人员通过铅玻璃观察窗以及电脑显示屏观察机房内病人情况，通过对讲系统与病人交流。此种情况仅用于手术快完成时的图像保存，占手术时间的很小比例。此种情况实际运行中占很小比例。减影时最大管电压为</w:t>
            </w:r>
            <w:r>
              <w:rPr>
                <w:rFonts w:hint="default" w:ascii="Times New Roman" w:hAnsi="Times New Roman" w:eastAsia="宋体" w:cs="Times New Roman"/>
                <w:color w:val="auto"/>
                <w:spacing w:val="0"/>
                <w:position w:val="0"/>
                <w:highlight w:val="none"/>
                <w:lang w:val="en-US" w:eastAsia="zh-CN"/>
              </w:rPr>
              <w:t>95</w:t>
            </w:r>
            <w:r>
              <w:rPr>
                <w:rFonts w:hint="default" w:ascii="Times New Roman" w:hAnsi="Times New Roman" w:eastAsia="宋体" w:cs="Times New Roman"/>
                <w:color w:val="auto"/>
                <w:spacing w:val="0"/>
                <w:position w:val="0"/>
                <w:highlight w:val="none"/>
              </w:rPr>
              <w:t>kV</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最大管电流为</w:t>
            </w:r>
            <w:r>
              <w:rPr>
                <w:rFonts w:hint="default" w:ascii="Times New Roman" w:hAnsi="Times New Roman" w:eastAsia="宋体" w:cs="Times New Roman"/>
                <w:color w:val="auto"/>
                <w:spacing w:val="0"/>
                <w:position w:val="0"/>
                <w:highlight w:val="none"/>
                <w:lang w:val="en-US" w:eastAsia="zh-CN"/>
              </w:rPr>
              <w:t>650</w:t>
            </w:r>
            <w:r>
              <w:rPr>
                <w:rFonts w:hint="default" w:ascii="Times New Roman" w:hAnsi="Times New Roman" w:eastAsia="宋体" w:cs="Times New Roman"/>
                <w:color w:val="auto"/>
                <w:spacing w:val="0"/>
                <w:position w:val="0"/>
                <w:highlight w:val="none"/>
              </w:rPr>
              <w:t>mA</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此时介入手术医生、操作技师和护士均位于控制室内</w:t>
            </w:r>
            <w:r>
              <w:rPr>
                <w:rFonts w:hint="default" w:ascii="Times New Roman" w:hAnsi="Times New Roman" w:eastAsia="宋体" w:cs="Times New Roman"/>
                <w:color w:val="auto"/>
                <w:spacing w:val="0"/>
                <w:position w:val="0"/>
                <w:highlight w:val="none"/>
                <w:lang w:eastAsia="zh-CN"/>
              </w:rPr>
              <w:t>。</w:t>
            </w:r>
          </w:p>
          <w:p w14:paraId="0301385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在设备开机运行过程中会有X射线产生，并有微量的臭氧及氮氧化物产生，设备关机时不会产生X射线及臭氧及氮氧化物产生。</w:t>
            </w:r>
          </w:p>
          <w:p w14:paraId="39A0A08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根据院方提供的资料，项目DSA射线装置年出束时间</w:t>
            </w:r>
            <w:r>
              <w:rPr>
                <w:rFonts w:hint="default" w:ascii="Times New Roman" w:hAnsi="Times New Roman" w:eastAsia="宋体" w:cs="Times New Roman"/>
                <w:color w:val="auto"/>
                <w:spacing w:val="0"/>
                <w:position w:val="0"/>
                <w:highlight w:val="none"/>
                <w:lang w:val="en-US" w:eastAsia="zh-CN"/>
              </w:rPr>
              <w:t>426.66</w:t>
            </w:r>
            <w:r>
              <w:rPr>
                <w:rFonts w:hint="default" w:ascii="Times New Roman" w:hAnsi="Times New Roman" w:eastAsia="宋体" w:cs="Times New Roman"/>
                <w:color w:val="auto"/>
                <w:spacing w:val="0"/>
                <w:position w:val="0"/>
                <w:highlight w:val="none"/>
              </w:rPr>
              <w:t>h，其中减影约</w:t>
            </w:r>
            <w:r>
              <w:rPr>
                <w:rFonts w:hint="default" w:ascii="Times New Roman" w:hAnsi="Times New Roman" w:eastAsia="宋体" w:cs="Times New Roman"/>
                <w:color w:val="auto"/>
                <w:spacing w:val="0"/>
                <w:position w:val="0"/>
                <w:highlight w:val="none"/>
                <w:lang w:val="en-US" w:eastAsia="zh-CN"/>
              </w:rPr>
              <w:t>26.66</w:t>
            </w:r>
            <w:r>
              <w:rPr>
                <w:rFonts w:hint="default" w:ascii="Times New Roman" w:hAnsi="Times New Roman" w:eastAsia="宋体" w:cs="Times New Roman"/>
                <w:color w:val="auto"/>
                <w:spacing w:val="0"/>
                <w:position w:val="0"/>
                <w:highlight w:val="none"/>
              </w:rPr>
              <w:t>h，透视约</w:t>
            </w:r>
            <w:r>
              <w:rPr>
                <w:rFonts w:hint="default" w:ascii="Times New Roman" w:hAnsi="Times New Roman" w:eastAsia="宋体" w:cs="Times New Roman"/>
                <w:color w:val="auto"/>
                <w:spacing w:val="0"/>
                <w:position w:val="0"/>
                <w:highlight w:val="none"/>
                <w:lang w:val="en-US" w:eastAsia="zh-CN"/>
              </w:rPr>
              <w:t>400</w:t>
            </w:r>
            <w:r>
              <w:rPr>
                <w:rFonts w:hint="default" w:ascii="Times New Roman" w:hAnsi="Times New Roman" w:eastAsia="宋体" w:cs="Times New Roman"/>
                <w:color w:val="auto"/>
                <w:spacing w:val="0"/>
                <w:position w:val="0"/>
                <w:highlight w:val="none"/>
              </w:rPr>
              <w:t>h，由于隔室减影操作时间仅占整台手术DSA出束时间</w:t>
            </w:r>
            <w:r>
              <w:rPr>
                <w:rFonts w:hint="default" w:ascii="Times New Roman" w:hAnsi="Times New Roman" w:eastAsia="宋体" w:cs="Times New Roman"/>
                <w:color w:val="auto"/>
                <w:spacing w:val="0"/>
                <w:position w:val="0"/>
                <w:highlight w:val="none"/>
                <w:lang w:val="en-US" w:eastAsia="zh-CN"/>
              </w:rPr>
              <w:t>6.25</w:t>
            </w:r>
            <w:r>
              <w:rPr>
                <w:rFonts w:hint="default" w:ascii="Times New Roman" w:hAnsi="Times New Roman" w:eastAsia="宋体" w:cs="Times New Roman"/>
                <w:color w:val="auto"/>
                <w:spacing w:val="0"/>
                <w:position w:val="0"/>
                <w:highlight w:val="none"/>
              </w:rPr>
              <w:t>%，所占比例较小，而透视操作时间占整台手术DSA出束时间</w:t>
            </w:r>
            <w:r>
              <w:rPr>
                <w:rFonts w:hint="default" w:ascii="Times New Roman" w:hAnsi="Times New Roman" w:eastAsia="宋体" w:cs="Times New Roman"/>
                <w:color w:val="auto"/>
                <w:spacing w:val="0"/>
                <w:position w:val="0"/>
                <w:highlight w:val="none"/>
                <w:lang w:val="en-US" w:eastAsia="zh-CN"/>
              </w:rPr>
              <w:t>93.75</w:t>
            </w:r>
            <w:r>
              <w:rPr>
                <w:rFonts w:hint="default" w:ascii="Times New Roman" w:hAnsi="Times New Roman" w:eastAsia="宋体" w:cs="Times New Roman"/>
                <w:color w:val="auto"/>
                <w:spacing w:val="0"/>
                <w:position w:val="0"/>
                <w:highlight w:val="none"/>
              </w:rPr>
              <w:t>%，所占比例较大、对保护目标影响比较大，因此透视操作为本次评价的重点。</w:t>
            </w:r>
          </w:p>
          <w:p w14:paraId="65FAFC2E">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eastAsia" w:cs="Times New Roman"/>
                <w:b/>
                <w:bCs/>
                <w:color w:val="auto"/>
                <w:spacing w:val="0"/>
                <w:position w:val="0"/>
                <w:lang w:val="en-US" w:eastAsia="zh-CN"/>
              </w:rPr>
              <w:t>6</w:t>
            </w:r>
            <w:r>
              <w:rPr>
                <w:rFonts w:hint="default" w:ascii="Times New Roman" w:hAnsi="Times New Roman" w:eastAsia="宋体" w:cs="Times New Roman"/>
                <w:b/>
                <w:bCs/>
                <w:color w:val="auto"/>
                <w:spacing w:val="0"/>
                <w:position w:val="0"/>
                <w:lang w:eastAsia="zh-CN"/>
              </w:rPr>
              <w:t>.</w:t>
            </w:r>
            <w:r>
              <w:rPr>
                <w:rFonts w:hint="default" w:ascii="Times New Roman" w:hAnsi="Times New Roman" w:eastAsia="宋体" w:cs="Times New Roman"/>
                <w:b/>
                <w:bCs/>
                <w:color w:val="auto"/>
                <w:spacing w:val="0"/>
                <w:position w:val="0"/>
              </w:rPr>
              <w:t>靶头旋转操作流程</w:t>
            </w:r>
          </w:p>
          <w:p w14:paraId="3165821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本项目DSA设备为</w:t>
            </w:r>
            <w:r>
              <w:rPr>
                <w:rFonts w:hint="default" w:ascii="Times New Roman" w:hAnsi="Times New Roman" w:eastAsia="宋体" w:cs="Times New Roman"/>
                <w:color w:val="auto"/>
                <w:spacing w:val="0"/>
                <w:position w:val="0"/>
              </w:rPr>
              <w:t>全自动悬挂9轴机器人C臂、具有智能床旁控制系统可以控制机架和导管床的运动，机架立柱和底盘可分离运动，从而使C臂既可垂直于导管床横向水平移动，也可沿导管床纵向移动，靶头带着X射线管组件沿预定轨道绕等中心旋转，同时连续采集投影图像，用于3D重建，靶头旋转（轨道旋转）最大旋转角度约 240°，旋转时间约 4</w:t>
            </w:r>
            <w:r>
              <w:rPr>
                <w:rFonts w:hint="default" w:ascii="Times New Roman" w:hAnsi="Times New Roman" w:eastAsia="宋体" w:cs="Times New Roman"/>
                <w:color w:val="auto"/>
                <w:spacing w:val="0"/>
                <w:position w:val="0"/>
              </w:rPr>
              <w:noBreakHyphen/>
            </w:r>
            <w:r>
              <w:rPr>
                <w:rFonts w:hint="default" w:ascii="Times New Roman" w:hAnsi="Times New Roman" w:eastAsia="宋体" w:cs="Times New Roman"/>
                <w:color w:val="auto"/>
                <w:spacing w:val="0"/>
                <w:position w:val="0"/>
              </w:rPr>
              <w:t>8s</w:t>
            </w:r>
            <w:r>
              <w:rPr>
                <w:rFonts w:hint="eastAsia" w:cs="Times New Roman"/>
                <w:color w:val="auto"/>
                <w:spacing w:val="0"/>
                <w:position w:val="0"/>
                <w:lang w:eastAsia="zh-CN"/>
              </w:rPr>
              <w:t>，探测器：30</w:t>
            </w:r>
            <w:r>
              <w:rPr>
                <w:rFonts w:hint="eastAsia" w:cs="Times New Roman"/>
                <w:color w:val="auto"/>
                <w:spacing w:val="0"/>
                <w:position w:val="0"/>
                <w:lang w:val="en-US" w:eastAsia="zh-CN"/>
              </w:rPr>
              <w:t>cm×</w:t>
            </w:r>
            <w:r>
              <w:rPr>
                <w:rFonts w:hint="eastAsia" w:cs="Times New Roman"/>
                <w:color w:val="auto"/>
                <w:spacing w:val="0"/>
                <w:position w:val="0"/>
                <w:lang w:eastAsia="zh-CN"/>
              </w:rPr>
              <w:t>40</w:t>
            </w:r>
            <w:r>
              <w:rPr>
                <w:rFonts w:hint="eastAsia" w:cs="Times New Roman"/>
                <w:color w:val="auto"/>
                <w:spacing w:val="0"/>
                <w:position w:val="0"/>
                <w:lang w:val="en-US" w:eastAsia="zh-CN"/>
              </w:rPr>
              <w:t>cm</w:t>
            </w:r>
            <w:r>
              <w:rPr>
                <w:rFonts w:hint="default" w:ascii="Times New Roman" w:hAnsi="Times New Roman" w:eastAsia="宋体" w:cs="Times New Roman"/>
                <w:color w:val="auto"/>
                <w:spacing w:val="0"/>
                <w:position w:val="0"/>
              </w:rPr>
              <w:t>，准直器和平板探测器具备自动跟踪旋转技术，无论C臂机架与检查床投照角度如何，平板探测器始终与检查床保持相对静止，实时图像始终保持正直向上无偏转。</w:t>
            </w:r>
          </w:p>
          <w:p w14:paraId="6FB2FDD5">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eastAsia" w:cs="Times New Roman"/>
                <w:b/>
                <w:bCs/>
                <w:color w:val="auto"/>
                <w:spacing w:val="0"/>
                <w:position w:val="0"/>
                <w:lang w:val="en-US" w:eastAsia="zh-CN"/>
              </w:rPr>
              <w:t>7</w:t>
            </w:r>
            <w:r>
              <w:rPr>
                <w:rFonts w:hint="default" w:ascii="Times New Roman" w:hAnsi="Times New Roman" w:eastAsia="宋体" w:cs="Times New Roman"/>
                <w:b/>
                <w:bCs/>
                <w:color w:val="auto"/>
                <w:spacing w:val="0"/>
                <w:position w:val="0"/>
                <w:lang w:val="en-US" w:eastAsia="zh-CN"/>
              </w:rPr>
              <w:t>.</w:t>
            </w:r>
            <w:r>
              <w:rPr>
                <w:rFonts w:hint="default" w:ascii="Times New Roman" w:hAnsi="Times New Roman" w:eastAsia="宋体" w:cs="Times New Roman"/>
                <w:b/>
                <w:bCs/>
                <w:color w:val="auto"/>
                <w:spacing w:val="0"/>
                <w:position w:val="0"/>
              </w:rPr>
              <w:t>DSA工作流程及产污环节</w:t>
            </w:r>
          </w:p>
          <w:p w14:paraId="2508B98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本项目DSA的X射线诊断机曝光时，</w:t>
            </w:r>
            <w:r>
              <w:rPr>
                <w:rFonts w:hint="eastAsia" w:cs="Times New Roman"/>
                <w:color w:val="auto"/>
                <w:spacing w:val="0"/>
                <w:position w:val="0"/>
                <w:lang w:eastAsia="zh-CN"/>
              </w:rPr>
              <w:t>垂直透视位</w:t>
            </w:r>
            <w:r>
              <w:rPr>
                <w:rFonts w:hint="default" w:ascii="Times New Roman" w:hAnsi="Times New Roman" w:eastAsia="宋体" w:cs="Times New Roman"/>
                <w:color w:val="auto"/>
                <w:spacing w:val="0"/>
                <w:position w:val="0"/>
              </w:rPr>
              <w:t>球管在床下、探测器在床上方，射线自下往上穿过患者。注入的造影剂不含放射性，同时射线装置</w:t>
            </w:r>
            <w:r>
              <w:rPr>
                <w:rFonts w:hint="default" w:ascii="Times New Roman" w:hAnsi="Times New Roman" w:eastAsia="宋体" w:cs="Times New Roman"/>
                <w:color w:val="auto"/>
                <w:spacing w:val="0"/>
                <w:position w:val="0"/>
                <w:lang w:eastAsia="zh-CN"/>
              </w:rPr>
              <w:t>均采</w:t>
            </w:r>
            <w:r>
              <w:rPr>
                <w:rFonts w:hint="default" w:ascii="Times New Roman" w:hAnsi="Times New Roman" w:eastAsia="宋体" w:cs="Times New Roman"/>
                <w:color w:val="auto"/>
                <w:spacing w:val="0"/>
                <w:position w:val="0"/>
              </w:rPr>
              <w:t>用先进的数字减影技术，不会产生废显影液、废定影液和废胶片</w:t>
            </w:r>
            <w:r>
              <w:rPr>
                <w:rFonts w:hint="default" w:ascii="Times New Roman" w:hAnsi="Times New Roman" w:eastAsia="宋体" w:cs="Times New Roman"/>
                <w:color w:val="auto"/>
                <w:spacing w:val="0"/>
                <w:position w:val="0"/>
                <w:lang w:eastAsia="zh-CN"/>
              </w:rPr>
              <w:t>。本项目使用的射线装置在非工作状态下不产生射线，只有在开机并处于曝光状态时才会发出射线，产生少量臭氧和微量氮氧化物。</w:t>
            </w:r>
            <w:r>
              <w:rPr>
                <w:rFonts w:hint="default" w:ascii="Times New Roman" w:hAnsi="Times New Roman" w:eastAsia="宋体" w:cs="Times New Roman"/>
                <w:color w:val="auto"/>
                <w:spacing w:val="0"/>
                <w:position w:val="0"/>
              </w:rPr>
              <w:t>本项目DSA工作流程及产污环节见图9-5。</w:t>
            </w:r>
          </w:p>
          <w:p w14:paraId="07690A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object>
                <v:shape id="_x0000_i1026" o:spt="75" type="#_x0000_t75" style="height:350.65pt;width:405pt;" o:ole="t" filled="f" o:preferrelative="t" stroked="f" coordsize="21600,21600">
                  <v:path/>
                  <v:fill on="f" focussize="0,0"/>
                  <v:stroke on="f"/>
                  <v:imagedata r:id="rId36" o:title=""/>
                  <o:lock v:ext="edit" aspectratio="f"/>
                  <w10:wrap type="none"/>
                  <w10:anchorlock/>
                </v:shape>
                <o:OLEObject Type="Embed" ProgID="Visio.Drawing.15" ShapeID="_x0000_i1026" DrawAspect="Content" ObjectID="_1468075726" r:id="rId35">
                  <o:LockedField>false</o:LockedField>
                </o:OLEObject>
              </w:object>
            </w:r>
          </w:p>
          <w:p w14:paraId="539D37CE">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rPr>
            </w:pPr>
            <w:bookmarkStart w:id="39" w:name="_Toc9019"/>
            <w:bookmarkStart w:id="40" w:name="_Toc5712"/>
            <w:r>
              <w:rPr>
                <w:rFonts w:hint="default" w:ascii="Times New Roman" w:hAnsi="Times New Roman" w:eastAsia="宋体" w:cs="Times New Roman"/>
                <w:color w:val="auto"/>
                <w:spacing w:val="0"/>
                <w:position w:val="0"/>
                <w:sz w:val="21"/>
                <w:szCs w:val="21"/>
              </w:rPr>
              <w:t>图9-5</w:t>
            </w:r>
            <w:r>
              <w:rPr>
                <w:rFonts w:hint="default" w:ascii="Times New Roman" w:hAnsi="Times New Roman" w:eastAsia="宋体" w:cs="Times New Roman"/>
                <w:color w:val="auto"/>
                <w:spacing w:val="0"/>
                <w:position w:val="0"/>
                <w:sz w:val="21"/>
                <w:szCs w:val="21"/>
                <w:lang w:val="en-US" w:eastAsia="zh-CN"/>
              </w:rPr>
              <w:t xml:space="preserve">  </w:t>
            </w:r>
            <w:r>
              <w:rPr>
                <w:rFonts w:hint="default" w:ascii="Times New Roman" w:hAnsi="Times New Roman" w:eastAsia="宋体" w:cs="Times New Roman"/>
                <w:color w:val="auto"/>
                <w:spacing w:val="0"/>
                <w:position w:val="0"/>
                <w:sz w:val="21"/>
                <w:szCs w:val="21"/>
              </w:rPr>
              <w:t>DSA工作流程及产污环节示意图</w:t>
            </w:r>
            <w:bookmarkEnd w:id="39"/>
            <w:bookmarkEnd w:id="40"/>
          </w:p>
        </w:tc>
      </w:tr>
      <w:tr w14:paraId="3063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84" w:type="dxa"/>
            <w:noWrap w:val="0"/>
            <w:vAlign w:val="top"/>
          </w:tcPr>
          <w:p w14:paraId="0CFD3AB8">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9.2污染源项描述</w:t>
            </w:r>
          </w:p>
          <w:p w14:paraId="0A8B3B02">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一、施工期污染源</w:t>
            </w:r>
          </w:p>
          <w:p w14:paraId="34446F2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项目工程量小，施工时间短。在施工过程中有施工噪声、施工废渣、施工废水和</w:t>
            </w:r>
            <w:r>
              <w:rPr>
                <w:rFonts w:hint="default" w:ascii="Times New Roman" w:hAnsi="Times New Roman" w:eastAsia="宋体" w:cs="Times New Roman"/>
                <w:color w:val="auto"/>
                <w:spacing w:val="0"/>
                <w:position w:val="0"/>
                <w:lang w:val="en-US" w:eastAsia="zh-CN"/>
              </w:rPr>
              <w:t>装修废气</w:t>
            </w:r>
            <w:r>
              <w:rPr>
                <w:rFonts w:hint="default" w:ascii="Times New Roman" w:hAnsi="Times New Roman" w:eastAsia="宋体" w:cs="Times New Roman"/>
                <w:color w:val="auto"/>
                <w:spacing w:val="0"/>
                <w:position w:val="0"/>
              </w:rPr>
              <w:t>等污染物产生。施工区域临近医院病区声环境敏感，施工单位应合理安排好施工时间，禁止夜间施工，尽可能采取低噪声设备及采取隔声减震等措施降低施工噪声对周围环境的影响；施工所产生的少量生活废水依托医院排水及污水处理系统，排入</w:t>
            </w:r>
            <w:r>
              <w:rPr>
                <w:rFonts w:hint="default" w:ascii="Times New Roman" w:hAnsi="Times New Roman" w:eastAsia="宋体" w:cs="Times New Roman"/>
                <w:color w:val="auto"/>
                <w:spacing w:val="0"/>
                <w:position w:val="0"/>
                <w:lang w:val="en-US" w:eastAsia="zh-CN"/>
              </w:rPr>
              <w:t>市政污水管网最终进入曲靖市污水处理厂</w:t>
            </w:r>
            <w:r>
              <w:rPr>
                <w:rFonts w:hint="default" w:ascii="Times New Roman" w:hAnsi="Times New Roman" w:eastAsia="宋体" w:cs="Times New Roman"/>
                <w:color w:val="auto"/>
                <w:spacing w:val="0"/>
                <w:position w:val="0"/>
              </w:rPr>
              <w:t>；在装修过程中尽量降低</w:t>
            </w:r>
            <w:r>
              <w:rPr>
                <w:rFonts w:hint="default" w:ascii="Times New Roman" w:hAnsi="Times New Roman" w:eastAsia="宋体" w:cs="Times New Roman"/>
                <w:color w:val="auto"/>
                <w:spacing w:val="0"/>
                <w:position w:val="0"/>
                <w:lang w:val="en-US" w:eastAsia="zh-CN"/>
              </w:rPr>
              <w:t>施工废气</w:t>
            </w:r>
            <w:r>
              <w:rPr>
                <w:rFonts w:hint="default" w:ascii="Times New Roman" w:hAnsi="Times New Roman" w:eastAsia="宋体" w:cs="Times New Roman"/>
                <w:color w:val="auto"/>
                <w:spacing w:val="0"/>
                <w:position w:val="0"/>
              </w:rPr>
              <w:t>对周围环境的影响；建设施工所产生的少量建筑废渣、设备安装产生的包装废物由施工单位负责清理，并送指定的建筑垃圾处置场。为保证手术室满足防辐射要求，</w:t>
            </w:r>
            <w:r>
              <w:rPr>
                <w:rFonts w:hint="default" w:ascii="Times New Roman" w:hAnsi="Times New Roman" w:eastAsia="宋体" w:cs="Times New Roman"/>
                <w:color w:val="auto"/>
                <w:spacing w:val="0"/>
                <w:position w:val="0"/>
                <w:lang w:val="en-US" w:eastAsia="zh-CN"/>
              </w:rPr>
              <w:t>电缆沟</w:t>
            </w:r>
            <w:r>
              <w:rPr>
                <w:rFonts w:hint="default" w:ascii="Times New Roman" w:hAnsi="Times New Roman" w:eastAsia="宋体" w:cs="Times New Roman"/>
                <w:color w:val="auto"/>
                <w:spacing w:val="0"/>
                <w:position w:val="0"/>
              </w:rPr>
              <w:t>屏蔽设施建设过程中，应严格施工，避免防护材料或墙体衔接处有漏缝产生。项目施工期污染物核算如下：</w:t>
            </w:r>
          </w:p>
          <w:p w14:paraId="5FE4D54A">
            <w:pPr>
              <w:keepNext w:val="0"/>
              <w:keepLines w:val="0"/>
              <w:suppressLineNumbers w:val="0"/>
              <w:spacing w:before="0" w:beforeAutospacing="0" w:after="0" w:afterAutospacing="0" w:line="355" w:lineRule="auto"/>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snapToGrid w:val="0"/>
                <w:color w:val="auto"/>
                <w:spacing w:val="0"/>
                <w:kern w:val="0"/>
                <w:position w:val="0"/>
              </w:rPr>
              <w:t>施工期仅存在装修设备产生的机械噪声和装修过</w:t>
            </w:r>
            <w:r>
              <w:rPr>
                <w:rFonts w:hint="default" w:ascii="Times New Roman" w:hAnsi="Times New Roman" w:eastAsia="宋体" w:cs="Times New Roman"/>
                <w:snapToGrid w:val="0"/>
                <w:color w:val="auto"/>
                <w:spacing w:val="0"/>
                <w:kern w:val="0"/>
                <w:position w:val="0"/>
                <w:lang w:eastAsia="zh-CN"/>
              </w:rPr>
              <w:t>程中</w:t>
            </w:r>
            <w:r>
              <w:rPr>
                <w:rFonts w:hint="default" w:ascii="Times New Roman" w:hAnsi="Times New Roman" w:eastAsia="宋体" w:cs="Times New Roman"/>
                <w:snapToGrid w:val="0"/>
                <w:color w:val="auto"/>
                <w:spacing w:val="0"/>
                <w:kern w:val="0"/>
                <w:position w:val="0"/>
              </w:rPr>
              <w:t>产生的装修垃圾及施工人员产生的生活垃圾和洗手污水，</w:t>
            </w:r>
            <w:r>
              <w:rPr>
                <w:rFonts w:hint="default" w:ascii="Times New Roman" w:hAnsi="Times New Roman" w:eastAsia="宋体" w:cs="Times New Roman"/>
                <w:color w:val="auto"/>
                <w:spacing w:val="0"/>
                <w:position w:val="0"/>
              </w:rPr>
              <w:t>项目在</w:t>
            </w: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内，施工人员均在外部用餐、回家住宿，因此项目施工工人不在施</w:t>
            </w:r>
            <w:r>
              <w:rPr>
                <w:rFonts w:hint="default" w:ascii="Times New Roman" w:hAnsi="Times New Roman" w:eastAsia="宋体" w:cs="Times New Roman"/>
                <w:color w:val="auto"/>
                <w:spacing w:val="0"/>
                <w:position w:val="0"/>
                <w:lang w:eastAsia="zh-CN"/>
              </w:rPr>
              <w:t>工现</w:t>
            </w:r>
            <w:r>
              <w:rPr>
                <w:rFonts w:hint="default" w:ascii="Times New Roman" w:hAnsi="Times New Roman" w:eastAsia="宋体" w:cs="Times New Roman"/>
                <w:color w:val="auto"/>
                <w:spacing w:val="0"/>
                <w:position w:val="0"/>
              </w:rPr>
              <w:t>场内食宿。施工期间的环境污染因素主要是施工废气、污水、噪声和固体废物等。</w:t>
            </w:r>
          </w:p>
          <w:p w14:paraId="6A6FF17D">
            <w:pPr>
              <w:pStyle w:val="19"/>
              <w:keepNext w:val="0"/>
              <w:keepLines w:val="0"/>
              <w:suppressLineNumbers w:val="0"/>
              <w:spacing w:before="0" w:beforeAutospacing="0" w:after="0" w:afterAutospacing="0"/>
              <w:ind w:left="0" w:leftChars="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（一）施工废气</w:t>
            </w:r>
          </w:p>
          <w:p w14:paraId="50122B49">
            <w:pPr>
              <w:pStyle w:val="19"/>
              <w:keepNext w:val="0"/>
              <w:keepLines w:val="0"/>
              <w:suppressLineNumbers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建筑装修的过程中产生粉尘。在装修的过程中主要是</w:t>
            </w:r>
            <w:r>
              <w:rPr>
                <w:rFonts w:hint="default" w:ascii="Times New Roman" w:hAnsi="Times New Roman" w:eastAsia="宋体" w:cs="Times New Roman"/>
                <w:color w:val="auto"/>
                <w:spacing w:val="0"/>
                <w:position w:val="0"/>
                <w:lang w:val="en-US" w:eastAsia="zh-CN"/>
              </w:rPr>
              <w:t>装饰油漆</w:t>
            </w:r>
            <w:r>
              <w:rPr>
                <w:rFonts w:hint="default" w:ascii="Times New Roman" w:hAnsi="Times New Roman" w:eastAsia="宋体" w:cs="Times New Roman"/>
                <w:color w:val="auto"/>
                <w:spacing w:val="0"/>
                <w:position w:val="0"/>
              </w:rPr>
              <w:t>粉刷，本项目施工的工序均位于室内，项目造成周边的</w:t>
            </w:r>
            <w:r>
              <w:rPr>
                <w:rFonts w:hint="default" w:ascii="Times New Roman" w:hAnsi="Times New Roman" w:eastAsia="宋体" w:cs="Times New Roman"/>
                <w:color w:val="auto"/>
                <w:spacing w:val="0"/>
                <w:position w:val="0"/>
                <w:lang w:val="en-US" w:eastAsia="zh-CN"/>
              </w:rPr>
              <w:t>粉尘、有机废气</w:t>
            </w:r>
            <w:r>
              <w:rPr>
                <w:rFonts w:hint="default" w:ascii="Times New Roman" w:hAnsi="Times New Roman" w:eastAsia="宋体" w:cs="Times New Roman"/>
                <w:color w:val="auto"/>
                <w:spacing w:val="0"/>
                <w:position w:val="0"/>
              </w:rPr>
              <w:t>浓度较低，采用洒水措施，保持装修室内一定的湿度，则基本不会产生较大的影响。</w:t>
            </w:r>
          </w:p>
          <w:p w14:paraId="69219D49">
            <w:pPr>
              <w:pStyle w:val="19"/>
              <w:keepNext w:val="0"/>
              <w:keepLines w:val="0"/>
              <w:suppressLineNumbers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建筑装修的过程中产生少量的装修废气。为减少装修废气的产生，本项目装修的过程采用</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环保型</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油漆及涂料，并保持良好的通风措施，对周围环境不会产生较大的影响。</w:t>
            </w:r>
          </w:p>
          <w:p w14:paraId="3620FCFF">
            <w:pPr>
              <w:pStyle w:val="19"/>
              <w:keepNext w:val="0"/>
              <w:keepLines w:val="0"/>
              <w:suppressLineNumbers w:val="0"/>
              <w:spacing w:before="0" w:beforeAutospacing="0" w:after="0" w:afterAutospacing="0"/>
              <w:ind w:left="0" w:leftChars="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（二）施工废水</w:t>
            </w:r>
          </w:p>
          <w:p w14:paraId="1AFCE4A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施工期的水污染主要来自施工人员生活污水的排放。施工所产生的生活废水依托医院排水</w:t>
            </w:r>
            <w:r>
              <w:rPr>
                <w:rFonts w:hint="default" w:ascii="Times New Roman" w:hAnsi="Times New Roman" w:eastAsia="宋体" w:cs="Times New Roman"/>
                <w:color w:val="auto"/>
                <w:spacing w:val="0"/>
                <w:position w:val="0"/>
                <w:lang w:eastAsia="zh-CN"/>
              </w:rPr>
              <w:t>及污</w:t>
            </w:r>
            <w:r>
              <w:rPr>
                <w:rFonts w:hint="default" w:ascii="Times New Roman" w:hAnsi="Times New Roman" w:eastAsia="宋体" w:cs="Times New Roman"/>
                <w:color w:val="auto"/>
                <w:spacing w:val="0"/>
                <w:position w:val="0"/>
              </w:rPr>
              <w:t>水处理系统，</w:t>
            </w:r>
            <w:r>
              <w:rPr>
                <w:rFonts w:hint="default" w:ascii="Times New Roman" w:hAnsi="Times New Roman" w:eastAsia="宋体" w:cs="Times New Roman"/>
                <w:color w:val="auto"/>
                <w:spacing w:val="0"/>
                <w:position w:val="0"/>
                <w:lang w:val="en-US" w:eastAsia="zh-CN"/>
              </w:rPr>
              <w:t>处理后排入市政污水管网最终进入曲靖市污水处理厂</w:t>
            </w:r>
            <w:r>
              <w:rPr>
                <w:rFonts w:hint="default" w:ascii="Times New Roman" w:hAnsi="Times New Roman" w:eastAsia="宋体" w:cs="Times New Roman"/>
                <w:color w:val="auto"/>
                <w:spacing w:val="0"/>
                <w:position w:val="0"/>
              </w:rPr>
              <w:t>。</w:t>
            </w:r>
          </w:p>
          <w:p w14:paraId="5A83F9B5">
            <w:pPr>
              <w:pStyle w:val="19"/>
              <w:keepNext w:val="0"/>
              <w:keepLines w:val="0"/>
              <w:suppressLineNumbers w:val="0"/>
              <w:spacing w:before="0" w:beforeAutospacing="0" w:after="0" w:afterAutospacing="0"/>
              <w:ind w:left="0" w:leftChars="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（三）噪声</w:t>
            </w:r>
          </w:p>
          <w:p w14:paraId="2A971D28">
            <w:pPr>
              <w:pStyle w:val="19"/>
              <w:keepNext w:val="0"/>
              <w:keepLines w:val="0"/>
              <w:suppressLineNumbers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施工期间噪声主要是室内凿打声、电钻声和物料撞击声，多为瞬间噪声。施工单位应严格施工时间管控</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高噪声作业（切割、凿除、钻孔、破碎）禁止在手术开展高峰时段实施；优先安排在日间非手术窗口；</w:t>
            </w:r>
            <w:r>
              <w:rPr>
                <w:rFonts w:hint="default" w:ascii="Times New Roman" w:hAnsi="Times New Roman" w:eastAsia="宋体" w:cs="Times New Roman"/>
                <w:color w:val="auto"/>
                <w:spacing w:val="0"/>
                <w:position w:val="0"/>
                <w:lang w:val="en-US" w:eastAsia="zh-CN"/>
              </w:rPr>
              <w:t>每日22:00~次日06:00全面禁止一切产生噪声的施工作业，仅允许无噪纯人工清理、材料整理作业，严禁任何机械施工</w:t>
            </w:r>
            <w:r>
              <w:rPr>
                <w:rFonts w:hint="eastAsia" w:cs="Times New Roman"/>
                <w:color w:val="auto"/>
                <w:spacing w:val="0"/>
                <w:position w:val="0"/>
                <w:lang w:val="en-US" w:eastAsia="zh-CN"/>
              </w:rPr>
              <w:t>，午休时段（12:00~14:00）停止所有高噪声作业，保障病区午休及手术间歇期安静环境。日间常规手术高峰期（08:30~12:00、14:30~17:30）严格限制高强度噪声作业；重大手术、急诊手术期间，接到院方通知后立即暂停所有噪声作业</w:t>
            </w:r>
            <w:r>
              <w:rPr>
                <w:rFonts w:hint="eastAsia" w:cs="Times New Roman"/>
                <w:color w:val="auto"/>
                <w:spacing w:val="0"/>
                <w:position w:val="0"/>
                <w:lang w:eastAsia="zh-CN"/>
              </w:rPr>
              <w:t>。</w:t>
            </w:r>
            <w:r>
              <w:rPr>
                <w:rFonts w:hint="eastAsia" w:cs="Times New Roman"/>
                <w:color w:val="auto"/>
                <w:spacing w:val="0"/>
                <w:position w:val="0"/>
                <w:lang w:val="en-US" w:eastAsia="zh-CN"/>
              </w:rPr>
              <w:t>将无法替代的少量高噪工序，优先安排在周末、节假日、医院手术量低谷时段集中完成，最大限度规避医疗核心作业时段</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确需连续作业的，必须和院方医务、后勤部门协商，提前确定允许施工窗口期。</w:t>
            </w:r>
          </w:p>
          <w:p w14:paraId="506CA0AF">
            <w:pPr>
              <w:pStyle w:val="19"/>
              <w:keepNext w:val="0"/>
              <w:keepLines w:val="0"/>
              <w:suppressLineNumbers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优化施工方案，将凿除、切割等高噪声工序集中、缩短作业时长，禁止分散断续高噪声作业；合理排布设备位置，高噪声机具远离手术室方向布置。</w:t>
            </w:r>
          </w:p>
          <w:p w14:paraId="05B066FA">
            <w:pPr>
              <w:pStyle w:val="19"/>
              <w:keepNext w:val="0"/>
              <w:keepLines w:val="0"/>
              <w:suppressLineNumbers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所有材料搬运、转运做到轻拿轻放，严禁抛掷、拖拽、撞击墙面地面；管材、型材两端包裹橡胶防撞棉，杜绝金属撞击异响。施工工具定点收纳，禁止随手丢放、碰撞，减少间歇性突发噪声。现场严禁敲击钢管、模板、构件宣泄作业，杜绝人为制造额外噪声。</w:t>
            </w:r>
          </w:p>
          <w:p w14:paraId="4410E405">
            <w:pPr>
              <w:pStyle w:val="19"/>
              <w:keepNext w:val="0"/>
              <w:keepLines w:val="0"/>
              <w:suppressLineNumbers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施工单位与医院后勤、手术室建立联动，手术室正在开展重大手术时，可临时暂停强噪声作业；建立即时沟通渠道。</w:t>
            </w:r>
          </w:p>
          <w:p w14:paraId="405F63F1">
            <w:pPr>
              <w:pStyle w:val="19"/>
              <w:keepNext w:val="0"/>
              <w:keepLines w:val="0"/>
              <w:suppressLineNumbers w:val="0"/>
              <w:spacing w:before="0" w:beforeAutospacing="0" w:after="0" w:afterAutospacing="0"/>
              <w:ind w:left="0" w:leftChars="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rPr>
              <w:t>（四）固体废物</w:t>
            </w:r>
          </w:p>
          <w:p w14:paraId="6A38B1B3">
            <w:pPr>
              <w:pStyle w:val="19"/>
              <w:keepNext w:val="0"/>
              <w:keepLines w:val="0"/>
              <w:suppressLineNumbers w:val="0"/>
              <w:spacing w:before="0" w:beforeAutospacing="0" w:after="0" w:afterAutospacing="0"/>
              <w:ind w:left="0" w:leftChars="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lang w:eastAsia="zh-CN"/>
              </w:rPr>
              <w:t>1.</w:t>
            </w:r>
            <w:r>
              <w:rPr>
                <w:rFonts w:hint="default" w:ascii="Times New Roman" w:hAnsi="Times New Roman" w:eastAsia="宋体" w:cs="Times New Roman"/>
                <w:b/>
                <w:color w:val="auto"/>
                <w:spacing w:val="0"/>
                <w:position w:val="0"/>
              </w:rPr>
              <w:t>装修垃圾</w:t>
            </w:r>
          </w:p>
          <w:p w14:paraId="43687EFA">
            <w:pPr>
              <w:pStyle w:val="19"/>
              <w:keepNext w:val="0"/>
              <w:keepLines w:val="0"/>
              <w:suppressLineNumbers w:val="0"/>
              <w:spacing w:before="0" w:beforeAutospacing="0" w:after="0" w:afterAutospacing="0"/>
              <w:ind w:left="0" w:leftChars="0" w:right="0" w:firstLine="48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本工程建筑垃圾主要为废弃的建筑材料，</w:t>
            </w:r>
            <w:r>
              <w:rPr>
                <w:rFonts w:hint="default" w:ascii="Times New Roman" w:hAnsi="Times New Roman" w:eastAsia="宋体" w:cs="Times New Roman"/>
                <w:color w:val="auto"/>
                <w:spacing w:val="0"/>
                <w:position w:val="0"/>
                <w:lang w:eastAsia="zh-CN"/>
              </w:rPr>
              <w:t>主要成分为</w:t>
            </w:r>
            <w:r>
              <w:rPr>
                <w:rFonts w:hint="default" w:ascii="Times New Roman" w:hAnsi="Times New Roman" w:eastAsia="宋体" w:cs="Times New Roman"/>
                <w:color w:val="auto"/>
                <w:spacing w:val="0"/>
                <w:position w:val="0"/>
              </w:rPr>
              <w:t>：水泥、木屑、碎木块、弃砖、纤维、碎玻璃、废金属、废瓷砖等。根据工程设计，</w:t>
            </w:r>
            <w:r>
              <w:rPr>
                <w:rFonts w:hint="default" w:ascii="Times New Roman" w:hAnsi="Times New Roman" w:eastAsia="宋体" w:cs="Times New Roman"/>
                <w:color w:val="auto"/>
                <w:spacing w:val="0"/>
                <w:position w:val="0"/>
                <w:lang w:val="en-US" w:eastAsia="zh-CN"/>
              </w:rPr>
              <w:t>电缆沟建设、装修</w:t>
            </w:r>
            <w:r>
              <w:rPr>
                <w:rFonts w:hint="default" w:ascii="Times New Roman" w:hAnsi="Times New Roman" w:eastAsia="宋体" w:cs="Times New Roman"/>
                <w:color w:val="auto"/>
                <w:spacing w:val="0"/>
                <w:position w:val="0"/>
              </w:rPr>
              <w:t>的过程中产生弃砖、混凝土等建筑垃圾产生量约为</w:t>
            </w:r>
            <w:r>
              <w:rPr>
                <w:rFonts w:hint="default" w:ascii="Times New Roman" w:hAnsi="Times New Roman" w:eastAsia="宋体" w:cs="Times New Roman"/>
                <w:color w:val="auto"/>
                <w:spacing w:val="0"/>
                <w:position w:val="0"/>
                <w:lang w:val="en-US" w:eastAsia="zh-CN"/>
              </w:rPr>
              <w:t>0.1</w:t>
            </w:r>
            <w:r>
              <w:rPr>
                <w:rFonts w:hint="default" w:ascii="Times New Roman" w:hAnsi="Times New Roman" w:eastAsia="宋体" w:cs="Times New Roman"/>
                <w:color w:val="auto"/>
                <w:spacing w:val="0"/>
                <w:position w:val="0"/>
              </w:rPr>
              <w:t>t。本项目所产生的建筑垃圾统一收集运至</w:t>
            </w:r>
            <w:r>
              <w:rPr>
                <w:rFonts w:hint="default" w:ascii="Times New Roman" w:hAnsi="Times New Roman" w:eastAsia="宋体" w:cs="Times New Roman"/>
                <w:color w:val="auto"/>
                <w:spacing w:val="0"/>
                <w:position w:val="0"/>
                <w:lang w:val="en-US" w:eastAsia="zh-CN"/>
              </w:rPr>
              <w:t>城管</w:t>
            </w:r>
            <w:r>
              <w:rPr>
                <w:rFonts w:hint="default" w:ascii="Times New Roman" w:hAnsi="Times New Roman" w:eastAsia="宋体" w:cs="Times New Roman"/>
                <w:color w:val="auto"/>
                <w:spacing w:val="0"/>
                <w:position w:val="0"/>
              </w:rPr>
              <w:t>部门指定的建筑垃圾堆放点，严禁乱堆乱放。</w:t>
            </w:r>
          </w:p>
          <w:p w14:paraId="0513C7AA">
            <w:pPr>
              <w:pStyle w:val="19"/>
              <w:keepNext w:val="0"/>
              <w:keepLines w:val="0"/>
              <w:suppressLineNumbers w:val="0"/>
              <w:spacing w:before="0" w:beforeAutospacing="0" w:after="0" w:afterAutospacing="0"/>
              <w:ind w:left="0" w:leftChars="0" w:right="0" w:firstLine="482"/>
              <w:rPr>
                <w:rFonts w:hint="default" w:ascii="Times New Roman" w:hAnsi="Times New Roman" w:eastAsia="宋体" w:cs="Times New Roman"/>
                <w:b/>
                <w:color w:val="auto"/>
                <w:spacing w:val="0"/>
                <w:position w:val="0"/>
              </w:rPr>
            </w:pPr>
            <w:r>
              <w:rPr>
                <w:rFonts w:hint="default" w:ascii="Times New Roman" w:hAnsi="Times New Roman" w:eastAsia="宋体" w:cs="Times New Roman"/>
                <w:b/>
                <w:color w:val="auto"/>
                <w:spacing w:val="0"/>
                <w:position w:val="0"/>
                <w:lang w:eastAsia="zh-CN"/>
              </w:rPr>
              <w:t>2.</w:t>
            </w:r>
            <w:r>
              <w:rPr>
                <w:rFonts w:hint="default" w:ascii="Times New Roman" w:hAnsi="Times New Roman" w:eastAsia="宋体" w:cs="Times New Roman"/>
                <w:b/>
                <w:color w:val="auto"/>
                <w:spacing w:val="0"/>
                <w:position w:val="0"/>
              </w:rPr>
              <w:t>生活垃圾</w:t>
            </w:r>
          </w:p>
          <w:p w14:paraId="1203877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施工人员的生活垃圾设置堆放点，并采取分类收集、即产即清的方法外运至</w:t>
            </w:r>
            <w:r>
              <w:rPr>
                <w:rFonts w:hint="default" w:ascii="Times New Roman" w:hAnsi="Times New Roman" w:eastAsia="宋体" w:cs="Times New Roman"/>
                <w:color w:val="auto"/>
                <w:spacing w:val="0"/>
                <w:position w:val="0"/>
                <w:lang w:val="en-US" w:eastAsia="zh-CN"/>
              </w:rPr>
              <w:t>曲靖市第二人民医院院区</w:t>
            </w:r>
            <w:r>
              <w:rPr>
                <w:rFonts w:hint="default" w:ascii="Times New Roman" w:hAnsi="Times New Roman" w:eastAsia="宋体" w:cs="Times New Roman"/>
                <w:color w:val="auto"/>
                <w:spacing w:val="0"/>
                <w:position w:val="0"/>
              </w:rPr>
              <w:t>指定地点，由环卫部门统一处理。</w:t>
            </w:r>
          </w:p>
          <w:p w14:paraId="1B9009B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根据以上分析，本项目在建设施工期对周围环境产生影响较小，随着施工的结束，施工期带来的影响也随之结束。</w:t>
            </w:r>
          </w:p>
          <w:p w14:paraId="23FDD029">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二、设备安装调试的污染分析</w:t>
            </w:r>
          </w:p>
          <w:p w14:paraId="3E9FED50">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设备安装及调试阶段主要污染物是运输器械产生噪声及包装废弃物、电离辐射和臭氧。本项目设备的安装和调试应请设备供货方专业人员进行，医院方不得自行安装及调试设备。在安装调试阶段，应加强辐射防护管理，在此过程中应保证各屏蔽体屏蔽到位，关闭防护门，在机房门外设立电离辐射警告标志，禁止无关人员靠近。</w:t>
            </w:r>
          </w:p>
          <w:p w14:paraId="225F67DF">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val="en-US" w:eastAsia="zh-CN"/>
              </w:rPr>
              <w:t>三、</w:t>
            </w:r>
            <w:r>
              <w:rPr>
                <w:rFonts w:hint="default" w:ascii="Times New Roman" w:hAnsi="Times New Roman" w:eastAsia="宋体" w:cs="Times New Roman"/>
                <w:b/>
                <w:bCs/>
                <w:color w:val="auto"/>
                <w:spacing w:val="0"/>
                <w:position w:val="0"/>
              </w:rPr>
              <w:t>运行期正常工况污染源</w:t>
            </w:r>
          </w:p>
          <w:p w14:paraId="25CAB91D">
            <w:pPr>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0"/>
                <w:position w:val="0"/>
              </w:rPr>
            </w:pPr>
            <w:r>
              <w:rPr>
                <w:rFonts w:hint="default" w:ascii="Times New Roman" w:hAnsi="Times New Roman" w:eastAsia="宋体" w:cs="Times New Roman"/>
                <w:bCs/>
                <w:color w:val="auto"/>
                <w:spacing w:val="0"/>
                <w:position w:val="0"/>
              </w:rPr>
              <w:t>项目DSA的X射线诊断机曝光时，</w:t>
            </w:r>
            <w:r>
              <w:rPr>
                <w:rFonts w:hint="eastAsia" w:cs="Times New Roman"/>
                <w:bCs/>
                <w:color w:val="auto"/>
                <w:spacing w:val="0"/>
                <w:position w:val="0"/>
                <w:lang w:eastAsia="zh-CN"/>
              </w:rPr>
              <w:t>垂直透视位</w:t>
            </w:r>
            <w:r>
              <w:rPr>
                <w:rFonts w:hint="default" w:ascii="Times New Roman" w:hAnsi="Times New Roman" w:eastAsia="宋体" w:cs="Times New Roman"/>
                <w:bCs/>
                <w:color w:val="auto"/>
                <w:spacing w:val="0"/>
                <w:position w:val="0"/>
              </w:rPr>
              <w:t>球管在床下、探测器在床上方，射线自下往上穿过患者；注入的造影剂不含放射性，血管造影流程及产污环</w:t>
            </w:r>
            <w:r>
              <w:rPr>
                <w:rFonts w:hint="default" w:ascii="Times New Roman" w:hAnsi="Times New Roman" w:eastAsia="宋体" w:cs="Times New Roman"/>
                <w:color w:val="auto"/>
                <w:spacing w:val="0"/>
                <w:position w:val="0"/>
              </w:rPr>
              <w:t>节如图9-5所示，运营期主要环境影响有射线装置产生的X射线、臭氧和氮氧化物，设备运行和通排风系统产生的噪声，介入手术产生的医疗废物及工作人员产生的生活垃圾和生活污水等。主要</w:t>
            </w:r>
            <w:r>
              <w:rPr>
                <w:rFonts w:hint="default" w:ascii="Times New Roman" w:hAnsi="Times New Roman" w:eastAsia="宋体" w:cs="Times New Roman"/>
                <w:bCs/>
                <w:color w:val="auto"/>
                <w:spacing w:val="0"/>
                <w:position w:val="0"/>
              </w:rPr>
              <w:t>污染情况如下：</w:t>
            </w:r>
          </w:p>
          <w:p w14:paraId="2E5D2A0B">
            <w:pPr>
              <w:keepNext w:val="0"/>
              <w:keepLines w:val="0"/>
              <w:widowControl/>
              <w:suppressLineNumbers w:val="0"/>
              <w:spacing w:before="0" w:beforeAutospacing="0" w:after="0" w:afterAutospacing="0"/>
              <w:ind w:left="0" w:right="0" w:firstLine="482"/>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b/>
                <w:color w:val="auto"/>
                <w:spacing w:val="0"/>
                <w:kern w:val="0"/>
                <w:position w:val="0"/>
              </w:rPr>
              <w:t>（1）辐射污染</w:t>
            </w:r>
          </w:p>
          <w:p w14:paraId="7A9AE9F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在X射线机曝光状态时会产生X射线，X射线属于非带电粒子，其能量与曝光时X射线的管电压有关，具有较强的穿透性，DSA正常工况下的主要污染途径是，在开机曝光时会有有用束、漏射、散射的X射线对周围环境造成的辐射污染，包括对手术室内介入手术工作人员及手术室外其他工作人员及周围环境产生的外照射辐射影响。</w:t>
            </w:r>
          </w:p>
          <w:p w14:paraId="7E75429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人体受到X射线照射到一定量时会受到辐射损伤，因此X射线装置周围需要达到一定的屏蔽防护，以防止X射线泄漏到室外，对医生及其它公众人员构成伤害。X射线随机器的开、关而产生和消失。</w:t>
            </w:r>
          </w:p>
          <w:p w14:paraId="278EEA03">
            <w:pPr>
              <w:keepNext w:val="0"/>
              <w:keepLines w:val="0"/>
              <w:widowControl/>
              <w:suppressLineNumbers w:val="0"/>
              <w:spacing w:before="0" w:beforeAutospacing="0" w:after="0" w:afterAutospacing="0"/>
              <w:ind w:left="0" w:right="0" w:firstLine="482"/>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b/>
                <w:color w:val="auto"/>
                <w:spacing w:val="0"/>
                <w:kern w:val="0"/>
                <w:position w:val="0"/>
              </w:rPr>
              <w:t>（2）废气</w:t>
            </w:r>
          </w:p>
          <w:p w14:paraId="6FA07D2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X射线机曝光状态下，X射线在穿透空气时会与空气中的氧和氮分子发生作用，产生臭氧和氮氧化物，反应如下：</w:t>
            </w:r>
          </w:p>
          <w:p w14:paraId="6990B324">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b/>
                <w:color w:val="auto"/>
                <w:spacing w:val="0"/>
                <w:kern w:val="2"/>
                <w:position w:val="0"/>
                <w:szCs w:val="28"/>
                <w:lang w:val="en-US" w:eastAsia="zh-CN" w:bidi="ar-SA"/>
              </w:rPr>
              <w:object>
                <v:shape id="_x0000_i1027" o:spt="75" type="#_x0000_t75" style="height:22.45pt;width:397.75pt;" o:ole="t" filled="f" o:preferrelative="t" stroked="f" coordsize="21600,21600">
                  <v:path/>
                  <v:fill on="f" focussize="0,0"/>
                  <v:stroke on="f"/>
                  <v:imagedata r:id="rId38" o:title=""/>
                  <o:lock v:ext="edit" aspectratio="f"/>
                  <w10:wrap type="none"/>
                  <w10:anchorlock/>
                </v:shape>
                <o:OLEObject Type="Embed" ProgID="Visio.Drawing.11" ShapeID="_x0000_i1027" DrawAspect="Content" ObjectID="_1468075727" r:id="rId37">
                  <o:LockedField>false</o:LockedField>
                </o:OLEObject>
              </w:object>
            </w:r>
          </w:p>
          <w:p w14:paraId="65BD2DA2">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臭氧是强氧化剂，浓度大时对人的呼吸道有损伤作用。本项目射线装置曝光时间很短，臭氧和氮氧化物的产生量很少，项目DSA机房</w:t>
            </w:r>
            <w:r>
              <w:rPr>
                <w:rFonts w:hint="default" w:ascii="Times New Roman" w:hAnsi="Times New Roman" w:eastAsia="宋体" w:cs="Times New Roman"/>
                <w:color w:val="auto"/>
                <w:spacing w:val="0"/>
                <w:position w:val="0"/>
                <w:lang w:val="en-US" w:eastAsia="zh-CN"/>
              </w:rPr>
              <w:t>拟</w:t>
            </w:r>
            <w:r>
              <w:rPr>
                <w:rFonts w:hint="default" w:ascii="Times New Roman" w:hAnsi="Times New Roman" w:eastAsia="宋体" w:cs="Times New Roman"/>
                <w:color w:val="auto"/>
                <w:spacing w:val="0"/>
                <w:position w:val="0"/>
              </w:rPr>
              <w:t>设置</w:t>
            </w:r>
            <w:r>
              <w:rPr>
                <w:rFonts w:hint="default" w:ascii="Times New Roman" w:hAnsi="Times New Roman" w:eastAsia="宋体" w:cs="Times New Roman"/>
                <w:color w:val="auto"/>
                <w:spacing w:val="0"/>
                <w:position w:val="0"/>
                <w:lang w:val="en-US" w:eastAsia="zh-CN"/>
              </w:rPr>
              <w:t>净化空调换气，机房采用净化空调换气，机组风量12000m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/h，新风量1400m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/h，回风风量10600m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/h，排风量为500m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/h</w:t>
            </w:r>
            <w:r>
              <w:rPr>
                <w:rFonts w:hint="default" w:ascii="Times New Roman" w:hAnsi="Times New Roman" w:eastAsia="宋体" w:cs="Times New Roman"/>
                <w:color w:val="auto"/>
                <w:spacing w:val="0"/>
                <w:position w:val="0"/>
              </w:rPr>
              <w:t>，机房净空体积为</w:t>
            </w:r>
            <w:r>
              <w:rPr>
                <w:rFonts w:hint="default" w:ascii="Times New Roman" w:hAnsi="Times New Roman" w:eastAsia="宋体" w:cs="Times New Roman"/>
                <w:color w:val="auto"/>
                <w:spacing w:val="0"/>
                <w:position w:val="0"/>
                <w:lang w:val="en-US" w:eastAsia="zh-CN"/>
              </w:rPr>
              <w:t>135</w:t>
            </w:r>
            <w:r>
              <w:rPr>
                <w:rFonts w:hint="default" w:ascii="Times New Roman" w:hAnsi="Times New Roman" w:eastAsia="宋体" w:cs="Times New Roman"/>
                <w:color w:val="auto"/>
                <w:spacing w:val="0"/>
                <w:position w:val="0"/>
              </w:rPr>
              <w:t>m</w:t>
            </w:r>
            <w:r>
              <w:rPr>
                <w:rFonts w:hint="default" w:ascii="Times New Roman" w:hAnsi="Times New Roman" w:eastAsia="宋体" w:cs="Times New Roman"/>
                <w:color w:val="auto"/>
                <w:spacing w:val="0"/>
                <w:position w:val="0"/>
                <w:vertAlign w:val="superscript"/>
              </w:rPr>
              <w:t>3</w:t>
            </w:r>
            <w:r>
              <w:rPr>
                <w:rFonts w:hint="default" w:ascii="Times New Roman" w:hAnsi="Times New Roman" w:eastAsia="宋体" w:cs="Times New Roman"/>
                <w:color w:val="auto"/>
                <w:spacing w:val="0"/>
                <w:position w:val="0"/>
              </w:rPr>
              <w:t>，采取</w:t>
            </w:r>
            <w:r>
              <w:rPr>
                <w:rFonts w:hint="default" w:ascii="Times New Roman" w:hAnsi="Times New Roman" w:eastAsia="宋体" w:cs="Times New Roman"/>
                <w:color w:val="auto"/>
                <w:spacing w:val="0"/>
                <w:position w:val="0"/>
                <w:lang w:val="en-US" w:eastAsia="zh-CN"/>
              </w:rPr>
              <w:t>净化空调</w:t>
            </w:r>
            <w:r>
              <w:rPr>
                <w:rFonts w:hint="default" w:ascii="Times New Roman" w:hAnsi="Times New Roman" w:eastAsia="宋体" w:cs="Times New Roman"/>
                <w:color w:val="auto"/>
                <w:spacing w:val="0"/>
                <w:position w:val="0"/>
              </w:rPr>
              <w:t>连续通风换气，</w:t>
            </w:r>
            <w:r>
              <w:rPr>
                <w:rFonts w:hint="default" w:ascii="Times New Roman" w:hAnsi="Times New Roman" w:eastAsia="宋体" w:cs="Times New Roman"/>
                <w:color w:val="auto"/>
                <w:spacing w:val="0"/>
                <w:position w:val="0"/>
                <w:lang w:val="en-US" w:eastAsia="zh-CN"/>
              </w:rPr>
              <w:t>废气经净化空调排风机引至住院楼5楼中央空调机房，经5楼中央空调统一通过住院楼排风竖井排放，空调外机避开了人群集中区域，</w:t>
            </w:r>
            <w:r>
              <w:rPr>
                <w:rFonts w:hint="default" w:ascii="Times New Roman" w:hAnsi="Times New Roman" w:eastAsia="宋体" w:cs="Times New Roman"/>
                <w:color w:val="auto"/>
                <w:spacing w:val="0"/>
                <w:position w:val="0"/>
              </w:rPr>
              <w:t>外排后通过稀释扩散，产生废气对外环境影响较小</w:t>
            </w:r>
            <w:r>
              <w:rPr>
                <w:rFonts w:hint="default" w:ascii="Times New Roman" w:hAnsi="Times New Roman" w:eastAsia="宋体" w:cs="Times New Roman"/>
                <w:color w:val="auto"/>
                <w:spacing w:val="0"/>
                <w:lang w:eastAsia="zh-CN"/>
              </w:rPr>
              <w:t>，</w:t>
            </w:r>
            <w:r>
              <w:rPr>
                <w:rFonts w:hint="default" w:ascii="Times New Roman" w:hAnsi="Times New Roman" w:eastAsia="宋体" w:cs="Times New Roman"/>
                <w:color w:val="auto"/>
                <w:spacing w:val="0"/>
                <w:lang w:val="en-US" w:eastAsia="zh-CN"/>
              </w:rPr>
              <w:t>满足《放射诊断放射防护要求》（GBZ130-2020）中“6.4.3 机房应设置动力通风装置，并保持良好的通风”的要求</w:t>
            </w:r>
            <w:r>
              <w:rPr>
                <w:rFonts w:hint="default" w:ascii="Times New Roman" w:hAnsi="Times New Roman" w:eastAsia="宋体" w:cs="Times New Roman"/>
                <w:color w:val="auto"/>
                <w:spacing w:val="0"/>
                <w:position w:val="0"/>
              </w:rPr>
              <w:t>。</w:t>
            </w:r>
          </w:p>
          <w:p w14:paraId="275AFF95">
            <w:pPr>
              <w:keepNext w:val="0"/>
              <w:keepLines w:val="0"/>
              <w:widowControl/>
              <w:suppressLineNumbers w:val="0"/>
              <w:spacing w:before="0" w:beforeAutospacing="0" w:after="0" w:afterAutospacing="0"/>
              <w:ind w:left="0" w:right="0" w:firstLine="482"/>
              <w:jc w:val="left"/>
              <w:rPr>
                <w:rFonts w:hint="default" w:ascii="Times New Roman" w:hAnsi="Times New Roman" w:eastAsia="宋体" w:cs="Times New Roman"/>
                <w:b/>
                <w:bCs/>
                <w:color w:val="auto"/>
                <w:spacing w:val="0"/>
                <w:position w:val="0"/>
                <w:szCs w:val="20"/>
                <w:highlight w:val="yellow"/>
              </w:rPr>
            </w:pPr>
            <w:r>
              <w:rPr>
                <w:rFonts w:hint="default" w:ascii="Times New Roman" w:hAnsi="Times New Roman" w:eastAsia="宋体" w:cs="Times New Roman"/>
                <w:b/>
                <w:color w:val="auto"/>
                <w:spacing w:val="0"/>
                <w:kern w:val="0"/>
                <w:position w:val="0"/>
                <w:highlight w:val="none"/>
              </w:rPr>
              <w:t>（3）</w:t>
            </w:r>
            <w:r>
              <w:rPr>
                <w:rFonts w:hint="default" w:ascii="Times New Roman" w:hAnsi="Times New Roman" w:eastAsia="宋体" w:cs="Times New Roman"/>
                <w:b/>
                <w:bCs/>
                <w:color w:val="auto"/>
                <w:spacing w:val="0"/>
                <w:position w:val="0"/>
                <w:szCs w:val="20"/>
                <w:highlight w:val="none"/>
              </w:rPr>
              <w:t>废水</w:t>
            </w:r>
          </w:p>
          <w:p w14:paraId="58F3819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lang w:eastAsia="zh-CN"/>
              </w:rPr>
            </w:pPr>
            <w:r>
              <w:rPr>
                <w:rFonts w:hint="default" w:ascii="Times New Roman" w:hAnsi="Times New Roman" w:eastAsia="宋体" w:cs="Times New Roman"/>
                <w:color w:val="auto"/>
                <w:spacing w:val="0"/>
                <w:kern w:val="0"/>
                <w:position w:val="0"/>
              </w:rPr>
              <w:t>本项目DSA采用数字成像，无废显、定影液产生。医护人员在工作中产生少量生活污水</w:t>
            </w:r>
            <w:r>
              <w:rPr>
                <w:rFonts w:hint="default" w:ascii="Times New Roman" w:hAnsi="Times New Roman" w:eastAsia="宋体" w:cs="Times New Roman"/>
                <w:color w:val="auto"/>
                <w:spacing w:val="0"/>
                <w:kern w:val="0"/>
                <w:position w:val="0"/>
                <w:lang w:eastAsia="zh-CN"/>
              </w:rPr>
              <w:t>，</w:t>
            </w:r>
            <w:r>
              <w:rPr>
                <w:rFonts w:hint="default" w:ascii="Times New Roman" w:hAnsi="Times New Roman" w:eastAsia="宋体" w:cs="Times New Roman"/>
                <w:color w:val="auto"/>
                <w:spacing w:val="0"/>
                <w:kern w:val="0"/>
                <w:position w:val="0"/>
                <w:lang w:val="en-US" w:eastAsia="zh-CN"/>
              </w:rPr>
              <w:t>本项目</w:t>
            </w:r>
            <w:r>
              <w:rPr>
                <w:rFonts w:hint="default" w:ascii="Times New Roman" w:hAnsi="Times New Roman" w:eastAsia="宋体" w:cs="Times New Roman"/>
                <w:color w:val="auto"/>
                <w:spacing w:val="0"/>
                <w:kern w:val="0"/>
                <w:position w:val="0"/>
                <w:lang w:eastAsia="zh-CN"/>
              </w:rPr>
              <w:t>辐射工作人员从医院现有人员中调配，</w:t>
            </w:r>
            <w:r>
              <w:rPr>
                <w:rFonts w:hint="default" w:ascii="Times New Roman" w:hAnsi="Times New Roman" w:eastAsia="宋体" w:cs="Times New Roman"/>
                <w:color w:val="auto"/>
                <w:spacing w:val="0"/>
                <w:kern w:val="0"/>
                <w:position w:val="0"/>
                <w:lang w:val="en-US" w:eastAsia="zh-CN"/>
              </w:rPr>
              <w:t>因此不</w:t>
            </w:r>
            <w:r>
              <w:rPr>
                <w:rFonts w:hint="default" w:ascii="Times New Roman" w:hAnsi="Times New Roman" w:eastAsia="宋体" w:cs="Times New Roman"/>
                <w:color w:val="auto"/>
                <w:spacing w:val="0"/>
                <w:kern w:val="0"/>
                <w:position w:val="0"/>
                <w:lang w:eastAsia="zh-CN"/>
              </w:rPr>
              <w:t>新增</w:t>
            </w:r>
            <w:r>
              <w:rPr>
                <w:rFonts w:hint="default" w:ascii="Times New Roman" w:hAnsi="Times New Roman" w:eastAsia="宋体" w:cs="Times New Roman"/>
                <w:color w:val="auto"/>
                <w:spacing w:val="0"/>
                <w:kern w:val="0"/>
                <w:position w:val="0"/>
                <w:lang w:val="en-US" w:eastAsia="zh-CN"/>
              </w:rPr>
              <w:t>医疗人员</w:t>
            </w:r>
            <w:r>
              <w:rPr>
                <w:rFonts w:hint="default" w:ascii="Times New Roman" w:hAnsi="Times New Roman" w:eastAsia="宋体" w:cs="Times New Roman"/>
                <w:color w:val="auto"/>
                <w:spacing w:val="0"/>
                <w:kern w:val="0"/>
                <w:position w:val="0"/>
                <w:lang w:eastAsia="zh-CN"/>
              </w:rPr>
              <w:t>生活污水，</w:t>
            </w:r>
            <w:r>
              <w:rPr>
                <w:rFonts w:hint="default" w:ascii="Times New Roman" w:hAnsi="Times New Roman" w:eastAsia="宋体" w:cs="Times New Roman"/>
                <w:color w:val="auto"/>
                <w:spacing w:val="0"/>
                <w:kern w:val="0"/>
                <w:position w:val="0"/>
              </w:rPr>
              <w:t>介入手术及器械清洗时会产生少量的医疗废水</w:t>
            </w:r>
            <w:r>
              <w:rPr>
                <w:rFonts w:hint="default" w:ascii="Times New Roman" w:hAnsi="Times New Roman" w:eastAsia="宋体" w:cs="Times New Roman"/>
                <w:color w:val="auto"/>
                <w:spacing w:val="0"/>
                <w:kern w:val="0"/>
                <w:position w:val="0"/>
                <w:lang w:eastAsia="zh-CN"/>
              </w:rPr>
              <w:t>。</w:t>
            </w:r>
          </w:p>
          <w:p w14:paraId="616836C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lang w:val="en-US" w:eastAsia="zh-CN"/>
              </w:rPr>
            </w:pPr>
            <w:r>
              <w:rPr>
                <w:rFonts w:hint="default" w:ascii="Times New Roman" w:hAnsi="Times New Roman" w:eastAsia="宋体" w:cs="Times New Roman"/>
                <w:color w:val="auto"/>
                <w:spacing w:val="0"/>
                <w:kern w:val="0"/>
                <w:position w:val="0"/>
                <w:lang w:val="en-US" w:eastAsia="zh-CN"/>
              </w:rPr>
              <w:t>本项目就诊人数为1600人/年，年工作250天，根据《云南省地方标准 用水定额》 （</w:t>
            </w:r>
            <w:r>
              <w:rPr>
                <w:rFonts w:hint="eastAsia" w:cs="Times New Roman"/>
                <w:color w:val="auto"/>
                <w:spacing w:val="0"/>
                <w:kern w:val="0"/>
                <w:position w:val="0"/>
                <w:lang w:val="en-US" w:eastAsia="zh-CN"/>
              </w:rPr>
              <w:t>DB53/T168—2026‌</w:t>
            </w:r>
            <w:r>
              <w:rPr>
                <w:rFonts w:hint="default" w:ascii="Times New Roman" w:hAnsi="Times New Roman" w:eastAsia="宋体" w:cs="Times New Roman"/>
                <w:color w:val="auto"/>
                <w:spacing w:val="0"/>
                <w:kern w:val="0"/>
                <w:position w:val="0"/>
                <w:lang w:val="en-US" w:eastAsia="zh-CN"/>
              </w:rPr>
              <w:t>），门诊部用水按35L/d·人次计（通用值），则本项目用水量为0.228m</w:t>
            </w:r>
            <w:r>
              <w:rPr>
                <w:rFonts w:hint="default" w:ascii="Times New Roman" w:hAnsi="Times New Roman" w:eastAsia="宋体" w:cs="Times New Roman"/>
                <w:color w:val="auto"/>
                <w:spacing w:val="0"/>
                <w:kern w:val="0"/>
                <w:position w:val="0"/>
                <w:vertAlign w:val="superscript"/>
                <w:lang w:val="en-US" w:eastAsia="zh-CN"/>
              </w:rPr>
              <w:t>3</w:t>
            </w:r>
            <w:r>
              <w:rPr>
                <w:rFonts w:hint="default" w:ascii="Times New Roman" w:hAnsi="Times New Roman" w:eastAsia="宋体" w:cs="Times New Roman"/>
                <w:color w:val="auto"/>
                <w:spacing w:val="0"/>
                <w:kern w:val="0"/>
                <w:position w:val="0"/>
                <w:lang w:val="en-US" w:eastAsia="zh-CN"/>
              </w:rPr>
              <w:t>/d、57.05m</w:t>
            </w:r>
            <w:r>
              <w:rPr>
                <w:rFonts w:hint="default" w:ascii="Times New Roman" w:hAnsi="Times New Roman" w:eastAsia="宋体" w:cs="Times New Roman"/>
                <w:color w:val="auto"/>
                <w:spacing w:val="0"/>
                <w:kern w:val="0"/>
                <w:position w:val="0"/>
                <w:vertAlign w:val="superscript"/>
                <w:lang w:val="en-US" w:eastAsia="zh-CN"/>
              </w:rPr>
              <w:t>3</w:t>
            </w:r>
            <w:r>
              <w:rPr>
                <w:rFonts w:hint="default" w:ascii="Times New Roman" w:hAnsi="Times New Roman" w:eastAsia="宋体" w:cs="Times New Roman"/>
                <w:color w:val="auto"/>
                <w:spacing w:val="0"/>
                <w:kern w:val="0"/>
                <w:position w:val="0"/>
                <w:lang w:val="en-US" w:eastAsia="zh-CN"/>
              </w:rPr>
              <w:t>/a。污水产生系数按0.9计，产生的污水为0.205m</w:t>
            </w:r>
            <w:r>
              <w:rPr>
                <w:rFonts w:hint="default" w:ascii="Times New Roman" w:hAnsi="Times New Roman" w:eastAsia="宋体" w:cs="Times New Roman"/>
                <w:color w:val="auto"/>
                <w:spacing w:val="0"/>
                <w:kern w:val="0"/>
                <w:position w:val="0"/>
                <w:vertAlign w:val="superscript"/>
                <w:lang w:val="en-US" w:eastAsia="zh-CN"/>
              </w:rPr>
              <w:t>3</w:t>
            </w:r>
            <w:r>
              <w:rPr>
                <w:rFonts w:hint="default" w:ascii="Times New Roman" w:hAnsi="Times New Roman" w:eastAsia="宋体" w:cs="Times New Roman"/>
                <w:color w:val="auto"/>
                <w:spacing w:val="0"/>
                <w:kern w:val="0"/>
                <w:position w:val="0"/>
                <w:lang w:val="en-US" w:eastAsia="zh-CN"/>
              </w:rPr>
              <w:t>/d、51.345m</w:t>
            </w:r>
            <w:r>
              <w:rPr>
                <w:rFonts w:hint="default" w:ascii="Times New Roman" w:hAnsi="Times New Roman" w:eastAsia="宋体" w:cs="Times New Roman"/>
                <w:color w:val="auto"/>
                <w:spacing w:val="0"/>
                <w:kern w:val="0"/>
                <w:position w:val="0"/>
                <w:vertAlign w:val="superscript"/>
                <w:lang w:val="en-US" w:eastAsia="zh-CN"/>
              </w:rPr>
              <w:t>3</w:t>
            </w:r>
            <w:r>
              <w:rPr>
                <w:rFonts w:hint="default" w:ascii="Times New Roman" w:hAnsi="Times New Roman" w:eastAsia="宋体" w:cs="Times New Roman"/>
                <w:color w:val="auto"/>
                <w:spacing w:val="0"/>
                <w:kern w:val="0"/>
                <w:position w:val="0"/>
                <w:lang w:val="en-US" w:eastAsia="zh-CN"/>
              </w:rPr>
              <w:t>/a。</w:t>
            </w:r>
          </w:p>
          <w:p w14:paraId="7441EAC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lang w:val="en-US" w:eastAsia="zh-CN"/>
              </w:rPr>
              <w:t>本项目</w:t>
            </w:r>
            <w:r>
              <w:rPr>
                <w:rFonts w:hint="default" w:ascii="Times New Roman" w:hAnsi="Times New Roman" w:eastAsia="宋体" w:cs="Times New Roman"/>
                <w:color w:val="auto"/>
                <w:spacing w:val="0"/>
                <w:position w:val="0"/>
              </w:rPr>
              <w:t>工作人员生活污水及手术过程中产生的医疗废水将依托</w:t>
            </w:r>
            <w:r>
              <w:rPr>
                <w:rFonts w:hint="default" w:ascii="Times New Roman" w:hAnsi="Times New Roman" w:eastAsia="宋体" w:cs="Times New Roman"/>
                <w:color w:val="auto"/>
                <w:spacing w:val="0"/>
                <w:position w:val="0"/>
                <w:lang w:val="en-US" w:eastAsia="zh-CN"/>
              </w:rPr>
              <w:t>曲靖市第二人民医院主</w:t>
            </w:r>
            <w:r>
              <w:rPr>
                <w:rFonts w:hint="default" w:ascii="Times New Roman" w:hAnsi="Times New Roman" w:eastAsia="宋体" w:cs="Times New Roman"/>
                <w:color w:val="auto"/>
                <w:spacing w:val="0"/>
                <w:position w:val="0"/>
              </w:rPr>
              <w:t>体</w:t>
            </w:r>
            <w:r>
              <w:rPr>
                <w:rFonts w:hint="default" w:ascii="Times New Roman" w:hAnsi="Times New Roman" w:eastAsia="宋体" w:cs="Times New Roman"/>
                <w:color w:val="auto"/>
                <w:spacing w:val="0"/>
                <w:position w:val="0"/>
                <w:lang w:val="en-US" w:eastAsia="zh-CN"/>
              </w:rPr>
              <w:t>已建</w:t>
            </w:r>
            <w:r>
              <w:rPr>
                <w:rFonts w:hint="default" w:ascii="Times New Roman" w:hAnsi="Times New Roman" w:eastAsia="宋体" w:cs="Times New Roman"/>
                <w:color w:val="auto"/>
                <w:spacing w:val="0"/>
                <w:position w:val="0"/>
              </w:rPr>
              <w:t>的</w:t>
            </w:r>
            <w:r>
              <w:rPr>
                <w:rFonts w:hint="default" w:ascii="Times New Roman" w:hAnsi="Times New Roman" w:eastAsia="宋体" w:cs="Times New Roman"/>
                <w:color w:val="auto"/>
                <w:spacing w:val="0"/>
                <w:position w:val="0"/>
                <w:lang w:val="en-US" w:eastAsia="zh-CN"/>
              </w:rPr>
              <w:t>化粪池和</w:t>
            </w:r>
            <w:r>
              <w:rPr>
                <w:rFonts w:hint="default" w:ascii="Times New Roman" w:hAnsi="Times New Roman" w:eastAsia="宋体" w:cs="Times New Roman"/>
                <w:color w:val="auto"/>
                <w:spacing w:val="0"/>
                <w:position w:val="0"/>
              </w:rPr>
              <w:t>污水处理站进行处置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废水进入化粪池进行预处理后统一排入曲靖市第二人民医院已建设的800m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/d的污水处理站统一处理，经处理达标后排至市政污水管网最终进入曲靖市污水处理厂</w:t>
            </w:r>
            <w:r>
              <w:rPr>
                <w:rFonts w:hint="default" w:ascii="Times New Roman" w:hAnsi="Times New Roman" w:eastAsia="宋体" w:cs="Times New Roman"/>
                <w:color w:val="auto"/>
                <w:spacing w:val="0"/>
                <w:position w:val="0"/>
              </w:rPr>
              <w:t>。</w:t>
            </w:r>
          </w:p>
          <w:p w14:paraId="1130F34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根据医院提供资料，目前医院实际废水产生量约为500m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/d，已建的800m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/d污水处理站剩余处理能力能够接纳处理本项目产生的少量废水（</w:t>
            </w:r>
            <w:r>
              <w:rPr>
                <w:rFonts w:hint="default" w:ascii="Times New Roman" w:hAnsi="Times New Roman" w:eastAsia="宋体" w:cs="Times New Roman"/>
                <w:color w:val="auto"/>
                <w:spacing w:val="0"/>
                <w:kern w:val="0"/>
                <w:position w:val="0"/>
                <w:lang w:val="en-US" w:eastAsia="zh-CN"/>
              </w:rPr>
              <w:t>0.205m</w:t>
            </w:r>
            <w:r>
              <w:rPr>
                <w:rFonts w:hint="default" w:ascii="Times New Roman" w:hAnsi="Times New Roman" w:eastAsia="宋体" w:cs="Times New Roman"/>
                <w:color w:val="auto"/>
                <w:spacing w:val="0"/>
                <w:kern w:val="0"/>
                <w:position w:val="0"/>
                <w:vertAlign w:val="superscript"/>
                <w:lang w:val="en-US" w:eastAsia="zh-CN"/>
              </w:rPr>
              <w:t>3</w:t>
            </w:r>
            <w:r>
              <w:rPr>
                <w:rFonts w:hint="default" w:ascii="Times New Roman" w:hAnsi="Times New Roman" w:eastAsia="宋体" w:cs="Times New Roman"/>
                <w:color w:val="auto"/>
                <w:spacing w:val="0"/>
                <w:kern w:val="0"/>
                <w:position w:val="0"/>
                <w:lang w:val="en-US" w:eastAsia="zh-CN"/>
              </w:rPr>
              <w:t>/d</w:t>
            </w:r>
            <w:r>
              <w:rPr>
                <w:rFonts w:hint="default" w:ascii="Times New Roman" w:hAnsi="Times New Roman" w:eastAsia="宋体" w:cs="Times New Roman"/>
                <w:color w:val="auto"/>
                <w:spacing w:val="0"/>
                <w:position w:val="0"/>
                <w:lang w:val="en-US" w:eastAsia="zh-CN"/>
              </w:rPr>
              <w:t>），本项目产生的废水经过处理后，排放浓度满足《医疗机构水污染物排放标准》（GB 18466-2005，含2026年修改单）表2预处理标准和《污水排入城镇下水道水质标准》（GB/T31962-2015）表1A等级标准，同时本项目已建污水处理设施有余量能够接纳本项目产生的废水，</w:t>
            </w:r>
            <w:r>
              <w:rPr>
                <w:rFonts w:hint="default" w:ascii="Times New Roman" w:hAnsi="Times New Roman" w:eastAsia="宋体" w:cs="Times New Roman"/>
                <w:color w:val="auto"/>
                <w:spacing w:val="0"/>
                <w:position w:val="0"/>
                <w:lang w:val="zh-CN"/>
              </w:rPr>
              <w:t>因此本项目产生的少量</w:t>
            </w:r>
            <w:r>
              <w:rPr>
                <w:rFonts w:hint="default" w:ascii="Times New Roman" w:hAnsi="Times New Roman" w:eastAsia="宋体" w:cs="Times New Roman"/>
                <w:color w:val="auto"/>
                <w:spacing w:val="0"/>
                <w:position w:val="0"/>
                <w:lang w:val="en-US" w:eastAsia="zh-CN"/>
              </w:rPr>
              <w:t>能够</w:t>
            </w:r>
            <w:r>
              <w:rPr>
                <w:rFonts w:hint="default" w:ascii="Times New Roman" w:hAnsi="Times New Roman" w:eastAsia="宋体" w:cs="Times New Roman"/>
                <w:color w:val="auto"/>
                <w:spacing w:val="0"/>
                <w:position w:val="0"/>
                <w:lang w:val="zh-CN"/>
              </w:rPr>
              <w:t>依托现有污水处理设施处理。</w:t>
            </w:r>
          </w:p>
          <w:p w14:paraId="239E8213">
            <w:pPr>
              <w:keepNext w:val="0"/>
              <w:keepLines w:val="0"/>
              <w:widowControl/>
              <w:suppressLineNumbers w:val="0"/>
              <w:spacing w:before="0" w:beforeAutospacing="0" w:after="0" w:afterAutospacing="0"/>
              <w:ind w:left="0" w:right="0" w:firstLine="482"/>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b/>
                <w:color w:val="auto"/>
                <w:spacing w:val="0"/>
                <w:kern w:val="0"/>
                <w:position w:val="0"/>
              </w:rPr>
              <w:t>（4）固体废弃物</w:t>
            </w:r>
          </w:p>
          <w:p w14:paraId="5E09B75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项目DSA采用数字成像，不打印胶片，会根据病人的需要刻录光盘，光盘由病人带走并自行处理，无废胶片产生。</w:t>
            </w:r>
          </w:p>
          <w:p w14:paraId="65EFD34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介入手术时产生一定量的医用器具和药棉、纱布、</w:t>
            </w:r>
            <w:r>
              <w:rPr>
                <w:rFonts w:hint="default" w:ascii="Times New Roman" w:hAnsi="Times New Roman" w:eastAsia="宋体" w:cs="Times New Roman"/>
                <w:color w:val="auto"/>
                <w:spacing w:val="0"/>
                <w:position w:val="0"/>
                <w:highlight w:val="none"/>
              </w:rPr>
              <w:t>手套</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造影剂瓶</w:t>
            </w:r>
            <w:r>
              <w:rPr>
                <w:rFonts w:hint="default" w:ascii="Times New Roman" w:hAnsi="Times New Roman" w:eastAsia="宋体" w:cs="Times New Roman"/>
                <w:color w:val="auto"/>
                <w:spacing w:val="0"/>
                <w:position w:val="0"/>
                <w:highlight w:val="none"/>
              </w:rPr>
              <w:t>等医用辅料及手术垃圾，该固废属于医疗废物，将采用专门的医疗废物收集容器收集后，转移至医院</w:t>
            </w:r>
            <w:r>
              <w:rPr>
                <w:rFonts w:hint="default" w:ascii="Times New Roman" w:hAnsi="Times New Roman" w:eastAsia="宋体" w:cs="Times New Roman"/>
                <w:color w:val="auto"/>
                <w:spacing w:val="0"/>
                <w:position w:val="0"/>
                <w:highlight w:val="none"/>
                <w:lang w:val="en-US" w:eastAsia="zh-CN"/>
              </w:rPr>
              <w:t>的医疗废物暂存间</w:t>
            </w:r>
            <w:r>
              <w:rPr>
                <w:rFonts w:hint="default" w:ascii="Times New Roman" w:hAnsi="Times New Roman" w:eastAsia="宋体" w:cs="Times New Roman"/>
                <w:color w:val="auto"/>
                <w:spacing w:val="0"/>
                <w:position w:val="0"/>
                <w:highlight w:val="none"/>
              </w:rPr>
              <w:t>。按照医疗废物执行转移联单</w:t>
            </w:r>
            <w:r>
              <w:rPr>
                <w:rFonts w:hint="default" w:ascii="Times New Roman" w:hAnsi="Times New Roman" w:eastAsia="宋体" w:cs="Times New Roman"/>
                <w:color w:val="auto"/>
                <w:spacing w:val="0"/>
                <w:position w:val="0"/>
              </w:rPr>
              <w:t>制度，依托医院医疗废物管理制度统一处置。</w:t>
            </w:r>
          </w:p>
          <w:p w14:paraId="75BDFEA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工作人员产生的生活垃圾和办公垃圾不属于医疗废物，医院按照当地管理部门要求，进行统一收集后交由当地环卫部门统一处理。</w:t>
            </w:r>
          </w:p>
          <w:p w14:paraId="593620AD">
            <w:pPr>
              <w:keepNext w:val="0"/>
              <w:keepLines w:val="0"/>
              <w:widowControl/>
              <w:suppressLineNumbers w:val="0"/>
              <w:spacing w:before="0" w:beforeAutospacing="0" w:after="0" w:afterAutospacing="0"/>
              <w:ind w:left="0" w:right="0" w:firstLine="482"/>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b/>
                <w:color w:val="auto"/>
                <w:spacing w:val="0"/>
                <w:kern w:val="0"/>
                <w:position w:val="0"/>
              </w:rPr>
              <w:t>（5）噪声</w:t>
            </w:r>
          </w:p>
          <w:p w14:paraId="63FF977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本项目</w:t>
            </w:r>
            <w:r>
              <w:rPr>
                <w:rFonts w:hint="default" w:ascii="Times New Roman" w:hAnsi="Times New Roman" w:eastAsia="宋体" w:cs="Times New Roman"/>
                <w:color w:val="auto"/>
                <w:spacing w:val="0"/>
                <w:position w:val="0"/>
                <w:lang w:val="en-US" w:eastAsia="zh-CN"/>
              </w:rPr>
              <w:t>DSA</w:t>
            </w:r>
            <w:r>
              <w:rPr>
                <w:rFonts w:hint="default" w:ascii="Times New Roman" w:hAnsi="Times New Roman" w:eastAsia="宋体" w:cs="Times New Roman"/>
                <w:color w:val="auto"/>
                <w:spacing w:val="0"/>
                <w:position w:val="0"/>
              </w:rPr>
              <w:t>属于低噪设备，运行时基本无噪声产生，噪声主要来源于</w:t>
            </w:r>
            <w:r>
              <w:rPr>
                <w:rFonts w:hint="default" w:ascii="Times New Roman" w:hAnsi="Times New Roman" w:eastAsia="宋体" w:cs="Times New Roman"/>
                <w:color w:val="auto"/>
                <w:spacing w:val="0"/>
                <w:position w:val="0"/>
                <w:lang w:val="en-US" w:eastAsia="zh-CN"/>
              </w:rPr>
              <w:t>项目</w:t>
            </w:r>
            <w:r>
              <w:rPr>
                <w:rFonts w:hint="default" w:ascii="Times New Roman" w:hAnsi="Times New Roman" w:eastAsia="宋体" w:cs="Times New Roman"/>
                <w:color w:val="auto"/>
                <w:spacing w:val="0"/>
                <w:position w:val="0"/>
              </w:rPr>
              <w:t>配套</w:t>
            </w:r>
            <w:r>
              <w:rPr>
                <w:rFonts w:hint="default" w:ascii="Times New Roman" w:hAnsi="Times New Roman" w:eastAsia="宋体" w:cs="Times New Roman"/>
                <w:color w:val="auto"/>
                <w:spacing w:val="0"/>
                <w:position w:val="0"/>
                <w:lang w:val="en-US" w:eastAsia="zh-CN"/>
              </w:rPr>
              <w:t>换</w:t>
            </w:r>
            <w:r>
              <w:rPr>
                <w:rFonts w:hint="default" w:ascii="Times New Roman" w:hAnsi="Times New Roman" w:eastAsia="宋体" w:cs="Times New Roman"/>
                <w:color w:val="auto"/>
                <w:spacing w:val="0"/>
                <w:position w:val="0"/>
              </w:rPr>
              <w:t>风机运行噪声。项目选用</w:t>
            </w:r>
            <w:r>
              <w:rPr>
                <w:rFonts w:hint="default" w:ascii="Times New Roman" w:hAnsi="Times New Roman" w:eastAsia="宋体" w:cs="Times New Roman"/>
                <w:color w:val="auto"/>
                <w:spacing w:val="0"/>
                <w:position w:val="0"/>
                <w:lang w:val="en-US" w:eastAsia="zh-CN"/>
              </w:rPr>
              <w:t>净化空调</w:t>
            </w:r>
            <w:r>
              <w:rPr>
                <w:rFonts w:hint="default" w:ascii="Times New Roman" w:hAnsi="Times New Roman" w:eastAsia="宋体" w:cs="Times New Roman"/>
                <w:color w:val="auto"/>
                <w:spacing w:val="0"/>
                <w:position w:val="0"/>
              </w:rPr>
              <w:t>换气</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空调外机安放在五楼住院楼专用空调机房内</w:t>
            </w:r>
            <w:r>
              <w:rPr>
                <w:rFonts w:hint="default" w:ascii="Times New Roman" w:hAnsi="Times New Roman" w:eastAsia="宋体" w:cs="Times New Roman"/>
                <w:color w:val="auto"/>
                <w:spacing w:val="0"/>
                <w:position w:val="0"/>
              </w:rPr>
              <w:t>，风机功率较小，噪声一般约为</w:t>
            </w:r>
            <w:r>
              <w:rPr>
                <w:rFonts w:hint="default" w:ascii="Times New Roman" w:hAnsi="Times New Roman" w:eastAsia="宋体" w:cs="Times New Roman"/>
                <w:color w:val="auto"/>
                <w:spacing w:val="0"/>
                <w:position w:val="0"/>
                <w:lang w:val="en-US" w:eastAsia="zh-CN"/>
              </w:rPr>
              <w:t>55</w:t>
            </w:r>
            <w:r>
              <w:rPr>
                <w:rFonts w:hint="default" w:ascii="Times New Roman" w:hAnsi="Times New Roman" w:eastAsia="宋体" w:cs="Times New Roman"/>
                <w:color w:val="auto"/>
                <w:spacing w:val="0"/>
                <w:position w:val="0"/>
              </w:rPr>
              <w:t>dB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A</w:t>
            </w:r>
            <w:r>
              <w:rPr>
                <w:rFonts w:hint="default" w:ascii="Times New Roman" w:hAnsi="Times New Roman" w:eastAsia="宋体" w:cs="Times New Roman"/>
                <w:color w:val="auto"/>
                <w:spacing w:val="0"/>
                <w:position w:val="0"/>
                <w:lang w:eastAsia="zh-CN"/>
              </w:rPr>
              <w:t>），排风、新风（送风）管道上设置有消声器，外机支架上面使用减振器降噪处理，通过降噪措施降噪、机房墙体阻隔和距离衰减后，对周围声环境影响较小。</w:t>
            </w:r>
          </w:p>
          <w:p w14:paraId="2F168B50">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val="en-US" w:eastAsia="zh-CN"/>
              </w:rPr>
              <w:t>四</w:t>
            </w:r>
            <w:r>
              <w:rPr>
                <w:rFonts w:hint="default" w:ascii="Times New Roman" w:hAnsi="Times New Roman" w:eastAsia="宋体" w:cs="Times New Roman"/>
                <w:b/>
                <w:bCs/>
                <w:color w:val="auto"/>
                <w:spacing w:val="0"/>
                <w:position w:val="0"/>
              </w:rPr>
              <w:t>、运行期事故情况污染源</w:t>
            </w:r>
          </w:p>
          <w:p w14:paraId="0C25865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本项目新增1台类射线装置——数字减影血管造影系统（DSA）的使用。DSA射线装置不运行时不存在放射性事故，也不存在影响辐射环境质量事故，只有DSA射线</w:t>
            </w:r>
            <w:r>
              <w:rPr>
                <w:rFonts w:hint="default" w:ascii="Times New Roman" w:hAnsi="Times New Roman" w:eastAsia="宋体" w:cs="Times New Roman"/>
                <w:color w:val="auto"/>
                <w:spacing w:val="0"/>
                <w:position w:val="0"/>
                <w:lang w:eastAsia="zh-CN"/>
              </w:rPr>
              <w:t>装置</w:t>
            </w:r>
            <w:r>
              <w:rPr>
                <w:rFonts w:hint="default" w:ascii="Times New Roman" w:hAnsi="Times New Roman" w:eastAsia="宋体" w:cs="Times New Roman"/>
                <w:color w:val="auto"/>
                <w:spacing w:val="0"/>
                <w:position w:val="0"/>
              </w:rPr>
              <w:t>运行期间才会产生X射线等危害因素，事故主要包括以下几种：</w:t>
            </w:r>
          </w:p>
          <w:p w14:paraId="5143AF38">
            <w:pPr>
              <w:keepNext w:val="0"/>
              <w:keepLines w:val="0"/>
              <w:suppressLineNumbers w:val="0"/>
              <w:spacing w:before="0" w:beforeAutospacing="0" w:after="0" w:afterAutospacing="0"/>
              <w:ind w:left="0" w:right="0" w:firstLine="240" w:firstLineChars="10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（1）工作人员在防护门关闭前还未撤离机房启动设备曝光，造成相关人员误照。在机房和控制室之间设置有铅玻璃做的观察窗，在开机曝光前观察一下，或者用对讲装置进行提示，便可杜绝此类事故发生。</w:t>
            </w:r>
          </w:p>
          <w:p w14:paraId="26E0C9F7">
            <w:pPr>
              <w:keepNext w:val="0"/>
              <w:keepLines w:val="0"/>
              <w:suppressLineNumbers w:val="0"/>
              <w:spacing w:before="0" w:beforeAutospacing="0" w:after="0" w:afterAutospacing="0"/>
              <w:ind w:left="0" w:right="0" w:firstLine="240" w:firstLineChars="10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（2）在防护门未关闭时即进行曝光，造成防护门附近人员受到照射，医务人员应严格按照操作程序进行操作，可以杜绝此类事故发生。</w:t>
            </w:r>
          </w:p>
          <w:p w14:paraId="307E1201">
            <w:pPr>
              <w:keepNext w:val="0"/>
              <w:keepLines w:val="0"/>
              <w:suppressLineNumbers w:val="0"/>
              <w:spacing w:before="0" w:beforeAutospacing="0" w:after="0" w:afterAutospacing="0"/>
              <w:ind w:left="0" w:right="0" w:firstLine="240" w:firstLineChars="10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w:t>
            </w:r>
            <w:r>
              <w:rPr>
                <w:rFonts w:hint="eastAsia" w:cs="Times New Roman"/>
                <w:color w:val="auto"/>
                <w:spacing w:val="0"/>
                <w:position w:val="0"/>
                <w:lang w:eastAsia="zh-CN"/>
              </w:rPr>
              <w:t>铅门开关装置、联锁装置和报警系统发生故障</w:t>
            </w:r>
            <w:r>
              <w:rPr>
                <w:rFonts w:hint="default" w:ascii="Times New Roman" w:hAnsi="Times New Roman" w:eastAsia="宋体" w:cs="Times New Roman"/>
                <w:color w:val="auto"/>
                <w:spacing w:val="0"/>
                <w:position w:val="0"/>
              </w:rPr>
              <w:t>，导致无关人员误入受到照射；</w:t>
            </w:r>
          </w:p>
          <w:p w14:paraId="510F3729">
            <w:pPr>
              <w:keepNext w:val="0"/>
              <w:keepLines w:val="0"/>
              <w:suppressLineNumbers w:val="0"/>
              <w:spacing w:before="0" w:beforeAutospacing="0" w:after="0" w:afterAutospacing="0"/>
              <w:ind w:left="0" w:right="0" w:firstLine="240" w:firstLineChars="10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（4）进行介入治疗时，机房内的医护人员违规操作，未穿防护服即进行手术，致使机房内医护人员受到照射。</w:t>
            </w:r>
          </w:p>
          <w:p w14:paraId="78FF6E7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事故工况下产生的污染物和污染途径与正常工况下基本相同。四种事故情况下污染源均为设备开机时产生的X射线</w:t>
            </w:r>
            <w:r>
              <w:rPr>
                <w:rFonts w:hint="default" w:ascii="Times New Roman" w:hAnsi="Times New Roman" w:eastAsia="宋体" w:cs="Times New Roman"/>
                <w:color w:val="auto"/>
                <w:spacing w:val="0"/>
                <w:position w:val="0"/>
                <w:lang w:eastAsia="zh-CN"/>
              </w:rPr>
              <w:t>。</w:t>
            </w:r>
          </w:p>
          <w:p w14:paraId="63E9B576">
            <w:pPr>
              <w:keepNext w:val="0"/>
              <w:keepLines w:val="0"/>
              <w:numPr>
                <w:ilvl w:val="0"/>
                <w:numId w:val="10"/>
              </w:numPr>
              <w:suppressLineNumbers w:val="0"/>
              <w:spacing w:before="0" w:beforeAutospacing="0" w:after="0" w:afterAutospacing="0"/>
              <w:ind w:left="0" w:right="0"/>
              <w:rPr>
                <w:rFonts w:hint="default" w:ascii="Times New Roman" w:hAnsi="Times New Roman" w:eastAsia="宋体" w:cs="Times New Roman"/>
                <w:b/>
                <w:bCs/>
                <w:color w:val="auto"/>
                <w:spacing w:val="0"/>
                <w:position w:val="0"/>
                <w:lang w:val="en-US" w:eastAsia="zh-CN"/>
              </w:rPr>
            </w:pPr>
            <w:r>
              <w:rPr>
                <w:rFonts w:hint="default" w:ascii="Times New Roman" w:hAnsi="Times New Roman" w:eastAsia="宋体" w:cs="Times New Roman"/>
                <w:b/>
                <w:bCs/>
                <w:color w:val="auto"/>
                <w:spacing w:val="0"/>
                <w:position w:val="0"/>
                <w:lang w:val="en-US" w:eastAsia="zh-CN"/>
              </w:rPr>
              <w:t>项目主要污染物产生及预计排放情况</w:t>
            </w:r>
          </w:p>
          <w:p w14:paraId="598554BB">
            <w:pPr>
              <w:keepNext w:val="0"/>
              <w:keepLines w:val="0"/>
              <w:numPr>
                <w:ilvl w:val="0"/>
                <w:numId w:val="0"/>
              </w:numPr>
              <w:suppressLineNumbers w:val="0"/>
              <w:spacing w:before="0" w:beforeAutospacing="0" w:after="0" w:afterAutospacing="0"/>
              <w:ind w:left="480" w:leftChars="200" w:right="0" w:right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根据分析，本项目主要污染物的产生及预计排放情况见表9-</w:t>
            </w:r>
            <w:r>
              <w:rPr>
                <w:rFonts w:hint="eastAsia" w:cs="Times New Roman"/>
                <w:color w:val="auto"/>
                <w:spacing w:val="0"/>
                <w:position w:val="0"/>
                <w:lang w:val="en-US" w:eastAsia="zh-CN"/>
              </w:rPr>
              <w:t>2</w:t>
            </w:r>
            <w:r>
              <w:rPr>
                <w:rFonts w:hint="default" w:ascii="Times New Roman" w:hAnsi="Times New Roman" w:eastAsia="宋体" w:cs="Times New Roman"/>
                <w:color w:val="auto"/>
                <w:spacing w:val="0"/>
                <w:position w:val="0"/>
              </w:rPr>
              <w:t>。</w:t>
            </w:r>
          </w:p>
          <w:p w14:paraId="4ECFDEEB">
            <w:pPr>
              <w:pStyle w:val="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表9-</w:t>
            </w:r>
            <w:r>
              <w:rPr>
                <w:rFonts w:hint="eastAsia" w:cs="Times New Roman"/>
                <w:color w:val="auto"/>
                <w:spacing w:val="0"/>
                <w:position w:val="0"/>
                <w:lang w:val="en-US" w:eastAsia="zh-CN"/>
              </w:rPr>
              <w:t>2</w:t>
            </w:r>
            <w:r>
              <w:rPr>
                <w:rFonts w:hint="default" w:ascii="Times New Roman" w:hAnsi="Times New Roman" w:eastAsia="宋体" w:cs="Times New Roman"/>
                <w:color w:val="auto"/>
                <w:spacing w:val="0"/>
                <w:position w:val="0"/>
              </w:rPr>
              <w:t>项目主要污染物的产生及预计排放情况</w:t>
            </w:r>
          </w:p>
          <w:tbl>
            <w:tblPr>
              <w:tblStyle w:val="53"/>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2"/>
              <w:gridCol w:w="810"/>
              <w:gridCol w:w="1321"/>
              <w:gridCol w:w="1636"/>
              <w:gridCol w:w="875"/>
              <w:gridCol w:w="3647"/>
            </w:tblGrid>
            <w:tr w14:paraId="33CE1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884" w:type="pct"/>
                  <w:gridSpan w:val="2"/>
                  <w:noWrap w:val="0"/>
                  <w:vAlign w:val="center"/>
                </w:tcPr>
                <w:p w14:paraId="5B76EC95">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类型</w:t>
                  </w:r>
                </w:p>
              </w:tc>
              <w:tc>
                <w:tcPr>
                  <w:tcW w:w="728" w:type="pct"/>
                  <w:noWrap w:val="0"/>
                  <w:vAlign w:val="center"/>
                </w:tcPr>
                <w:p w14:paraId="34655D5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排放源</w:t>
                  </w:r>
                </w:p>
              </w:tc>
              <w:tc>
                <w:tcPr>
                  <w:tcW w:w="901" w:type="pct"/>
                  <w:noWrap w:val="0"/>
                  <w:vAlign w:val="center"/>
                </w:tcPr>
                <w:p w14:paraId="166485A5">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污染物名称</w:t>
                  </w:r>
                </w:p>
              </w:tc>
              <w:tc>
                <w:tcPr>
                  <w:tcW w:w="476" w:type="pct"/>
                  <w:noWrap w:val="0"/>
                  <w:vAlign w:val="center"/>
                </w:tcPr>
                <w:p w14:paraId="60D8E98D">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产生量</w:t>
                  </w:r>
                </w:p>
              </w:tc>
              <w:tc>
                <w:tcPr>
                  <w:tcW w:w="2007" w:type="pct"/>
                  <w:noWrap w:val="0"/>
                  <w:vAlign w:val="center"/>
                </w:tcPr>
                <w:p w14:paraId="3FF26FA7">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处理措施及方式</w:t>
                  </w:r>
                </w:p>
              </w:tc>
            </w:tr>
            <w:tr w14:paraId="453EF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restart"/>
                  <w:tcBorders>
                    <w:bottom w:val="nil"/>
                  </w:tcBorders>
                  <w:noWrap w:val="0"/>
                  <w:vAlign w:val="center"/>
                </w:tcPr>
                <w:p w14:paraId="48230880">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大气污染物</w:t>
                  </w:r>
                </w:p>
              </w:tc>
              <w:tc>
                <w:tcPr>
                  <w:tcW w:w="447" w:type="pct"/>
                  <w:noWrap w:val="0"/>
                  <w:vAlign w:val="center"/>
                </w:tcPr>
                <w:p w14:paraId="2FE30510">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w:t>
                  </w:r>
                </w:p>
              </w:tc>
              <w:tc>
                <w:tcPr>
                  <w:tcW w:w="728" w:type="pct"/>
                  <w:noWrap w:val="0"/>
                  <w:vAlign w:val="center"/>
                </w:tcPr>
                <w:p w14:paraId="5FE0990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施工过程</w:t>
                  </w:r>
                </w:p>
              </w:tc>
              <w:tc>
                <w:tcPr>
                  <w:tcW w:w="901" w:type="pct"/>
                  <w:noWrap w:val="0"/>
                  <w:vAlign w:val="center"/>
                </w:tcPr>
                <w:p w14:paraId="29569153">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粉尘、装修废气</w:t>
                  </w:r>
                </w:p>
              </w:tc>
              <w:tc>
                <w:tcPr>
                  <w:tcW w:w="476" w:type="pct"/>
                  <w:noWrap w:val="0"/>
                  <w:vAlign w:val="center"/>
                </w:tcPr>
                <w:p w14:paraId="6ECBBB83">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noWrap w:val="0"/>
                  <w:vAlign w:val="center"/>
                </w:tcPr>
                <w:p w14:paraId="6BB72FAE">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洒水降尘、室内通风。</w:t>
                  </w:r>
                </w:p>
              </w:tc>
            </w:tr>
            <w:tr w14:paraId="0E1ED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tcBorders>
                  <w:noWrap w:val="0"/>
                  <w:vAlign w:val="center"/>
                </w:tcPr>
                <w:p w14:paraId="41D766E7">
                  <w:pPr>
                    <w:pStyle w:val="8"/>
                    <w:bidi w:val="0"/>
                    <w:rPr>
                      <w:rFonts w:hint="default" w:ascii="Times New Roman" w:hAnsi="Times New Roman" w:eastAsia="宋体" w:cs="Times New Roman"/>
                      <w:color w:val="auto"/>
                      <w:spacing w:val="0"/>
                      <w:position w:val="0"/>
                    </w:rPr>
                  </w:pPr>
                </w:p>
              </w:tc>
              <w:tc>
                <w:tcPr>
                  <w:tcW w:w="447" w:type="pct"/>
                  <w:noWrap w:val="0"/>
                  <w:vAlign w:val="center"/>
                </w:tcPr>
                <w:p w14:paraId="0B196D7E">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运营期</w:t>
                  </w:r>
                </w:p>
              </w:tc>
              <w:tc>
                <w:tcPr>
                  <w:tcW w:w="728" w:type="pct"/>
                  <w:noWrap w:val="0"/>
                  <w:vAlign w:val="center"/>
                </w:tcPr>
                <w:p w14:paraId="1E90B59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w:t>
                  </w:r>
                </w:p>
              </w:tc>
              <w:tc>
                <w:tcPr>
                  <w:tcW w:w="901" w:type="pct"/>
                  <w:noWrap w:val="0"/>
                  <w:vAlign w:val="center"/>
                </w:tcPr>
                <w:p w14:paraId="1A34327F">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臭氧、氮氧化物</w:t>
                  </w:r>
                </w:p>
              </w:tc>
              <w:tc>
                <w:tcPr>
                  <w:tcW w:w="476" w:type="pct"/>
                  <w:noWrap w:val="0"/>
                  <w:vAlign w:val="center"/>
                </w:tcPr>
                <w:p w14:paraId="740EE36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微量</w:t>
                  </w:r>
                </w:p>
              </w:tc>
              <w:tc>
                <w:tcPr>
                  <w:tcW w:w="2007" w:type="pct"/>
                  <w:noWrap w:val="0"/>
                  <w:vAlign w:val="center"/>
                </w:tcPr>
                <w:p w14:paraId="7AF0B61E">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经通排风系统排放。</w:t>
                  </w:r>
                </w:p>
              </w:tc>
            </w:tr>
            <w:tr w14:paraId="254B2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restart"/>
                  <w:tcBorders>
                    <w:bottom w:val="nil"/>
                  </w:tcBorders>
                  <w:noWrap w:val="0"/>
                  <w:vAlign w:val="center"/>
                </w:tcPr>
                <w:p w14:paraId="68D07653">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水污染物</w:t>
                  </w:r>
                </w:p>
              </w:tc>
              <w:tc>
                <w:tcPr>
                  <w:tcW w:w="447" w:type="pct"/>
                  <w:vMerge w:val="restart"/>
                  <w:tcBorders>
                    <w:bottom w:val="nil"/>
                  </w:tcBorders>
                  <w:noWrap w:val="0"/>
                  <w:vAlign w:val="center"/>
                </w:tcPr>
                <w:p w14:paraId="2FD072D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w:t>
                  </w:r>
                </w:p>
              </w:tc>
              <w:tc>
                <w:tcPr>
                  <w:tcW w:w="728" w:type="pct"/>
                  <w:noWrap w:val="0"/>
                  <w:vAlign w:val="center"/>
                </w:tcPr>
                <w:p w14:paraId="4ECF60A8">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施工过程</w:t>
                  </w:r>
                </w:p>
              </w:tc>
              <w:tc>
                <w:tcPr>
                  <w:tcW w:w="901" w:type="pct"/>
                  <w:noWrap w:val="0"/>
                  <w:vAlign w:val="center"/>
                </w:tcPr>
                <w:p w14:paraId="31D12A14">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施工废水</w:t>
                  </w:r>
                </w:p>
              </w:tc>
              <w:tc>
                <w:tcPr>
                  <w:tcW w:w="476" w:type="pct"/>
                  <w:noWrap w:val="0"/>
                  <w:vAlign w:val="center"/>
                </w:tcPr>
                <w:p w14:paraId="65C976F5">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noWrap w:val="0"/>
                  <w:vAlign w:val="center"/>
                </w:tcPr>
                <w:p w14:paraId="1E10DB47">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收集后回用于洒水降尘，不外排。</w:t>
                  </w:r>
                </w:p>
              </w:tc>
            </w:tr>
            <w:tr w14:paraId="59331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bottom w:val="nil"/>
                  </w:tcBorders>
                  <w:noWrap w:val="0"/>
                  <w:vAlign w:val="center"/>
                </w:tcPr>
                <w:p w14:paraId="696FE3A5">
                  <w:pPr>
                    <w:pStyle w:val="8"/>
                    <w:bidi w:val="0"/>
                    <w:rPr>
                      <w:rFonts w:hint="default" w:ascii="Times New Roman" w:hAnsi="Times New Roman" w:eastAsia="宋体" w:cs="Times New Roman"/>
                      <w:color w:val="auto"/>
                      <w:spacing w:val="0"/>
                      <w:position w:val="0"/>
                    </w:rPr>
                  </w:pPr>
                </w:p>
              </w:tc>
              <w:tc>
                <w:tcPr>
                  <w:tcW w:w="447" w:type="pct"/>
                  <w:vMerge w:val="continue"/>
                  <w:tcBorders>
                    <w:top w:val="nil"/>
                  </w:tcBorders>
                  <w:noWrap w:val="0"/>
                  <w:vAlign w:val="center"/>
                </w:tcPr>
                <w:p w14:paraId="520DC99D">
                  <w:pPr>
                    <w:pStyle w:val="8"/>
                    <w:bidi w:val="0"/>
                    <w:rPr>
                      <w:rFonts w:hint="default" w:ascii="Times New Roman" w:hAnsi="Times New Roman" w:eastAsia="宋体" w:cs="Times New Roman"/>
                      <w:color w:val="auto"/>
                      <w:spacing w:val="0"/>
                      <w:position w:val="0"/>
                    </w:rPr>
                  </w:pPr>
                </w:p>
              </w:tc>
              <w:tc>
                <w:tcPr>
                  <w:tcW w:w="728" w:type="pct"/>
                  <w:noWrap w:val="0"/>
                  <w:vAlign w:val="center"/>
                </w:tcPr>
                <w:p w14:paraId="784F9B60">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施工人员</w:t>
                  </w:r>
                </w:p>
              </w:tc>
              <w:tc>
                <w:tcPr>
                  <w:tcW w:w="901" w:type="pct"/>
                  <w:noWrap w:val="0"/>
                  <w:vAlign w:val="center"/>
                </w:tcPr>
                <w:p w14:paraId="16D96510">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生活污水</w:t>
                  </w:r>
                </w:p>
              </w:tc>
              <w:tc>
                <w:tcPr>
                  <w:tcW w:w="476" w:type="pct"/>
                  <w:noWrap w:val="0"/>
                  <w:vAlign w:val="center"/>
                </w:tcPr>
                <w:p w14:paraId="34BBF6C4">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noWrap w:val="0"/>
                  <w:vAlign w:val="center"/>
                </w:tcPr>
                <w:p w14:paraId="453FB31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依托</w:t>
                  </w:r>
                  <w:r>
                    <w:rPr>
                      <w:rFonts w:hint="default" w:ascii="Times New Roman" w:hAnsi="Times New Roman" w:eastAsia="宋体" w:cs="Times New Roman"/>
                      <w:color w:val="auto"/>
                      <w:spacing w:val="0"/>
                      <w:position w:val="0"/>
                      <w:lang w:val="en-US" w:eastAsia="zh-CN"/>
                    </w:rPr>
                    <w:t>曲靖市第二人民医院院区污水处理站</w:t>
                  </w:r>
                  <w:r>
                    <w:rPr>
                      <w:rFonts w:hint="default" w:ascii="Times New Roman" w:hAnsi="Times New Roman" w:eastAsia="宋体" w:cs="Times New Roman"/>
                      <w:color w:val="auto"/>
                      <w:spacing w:val="0"/>
                      <w:position w:val="0"/>
                    </w:rPr>
                    <w:t>处理后外排进入市政污水管网，最后进入</w:t>
                  </w:r>
                  <w:r>
                    <w:rPr>
                      <w:rFonts w:hint="default" w:ascii="Times New Roman" w:hAnsi="Times New Roman" w:eastAsia="宋体" w:cs="Times New Roman"/>
                      <w:color w:val="auto"/>
                      <w:spacing w:val="0"/>
                      <w:position w:val="0"/>
                      <w:lang w:val="en-US" w:eastAsia="zh-CN"/>
                    </w:rPr>
                    <w:t>曲靖市污水处理厂</w:t>
                  </w:r>
                  <w:r>
                    <w:rPr>
                      <w:rFonts w:hint="default" w:ascii="Times New Roman" w:hAnsi="Times New Roman" w:eastAsia="宋体" w:cs="Times New Roman"/>
                      <w:color w:val="auto"/>
                      <w:spacing w:val="0"/>
                      <w:position w:val="0"/>
                    </w:rPr>
                    <w:t>处理。</w:t>
                  </w:r>
                </w:p>
              </w:tc>
            </w:tr>
            <w:tr w14:paraId="4B2C2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bottom w:val="nil"/>
                  </w:tcBorders>
                  <w:noWrap w:val="0"/>
                  <w:vAlign w:val="center"/>
                </w:tcPr>
                <w:p w14:paraId="0A8D33D6">
                  <w:pPr>
                    <w:pStyle w:val="8"/>
                    <w:bidi w:val="0"/>
                    <w:rPr>
                      <w:rFonts w:hint="default" w:ascii="Times New Roman" w:hAnsi="Times New Roman" w:eastAsia="宋体" w:cs="Times New Roman"/>
                      <w:color w:val="auto"/>
                      <w:spacing w:val="0"/>
                      <w:position w:val="0"/>
                    </w:rPr>
                  </w:pPr>
                </w:p>
              </w:tc>
              <w:tc>
                <w:tcPr>
                  <w:tcW w:w="447" w:type="pct"/>
                  <w:vMerge w:val="restart"/>
                  <w:tcBorders>
                    <w:bottom w:val="nil"/>
                  </w:tcBorders>
                  <w:noWrap w:val="0"/>
                  <w:vAlign w:val="center"/>
                </w:tcPr>
                <w:p w14:paraId="2858BF52">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运营期</w:t>
                  </w:r>
                </w:p>
              </w:tc>
              <w:tc>
                <w:tcPr>
                  <w:tcW w:w="728" w:type="pct"/>
                  <w:noWrap w:val="0"/>
                  <w:vAlign w:val="center"/>
                </w:tcPr>
                <w:p w14:paraId="1B7C7B0E">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医务人员</w:t>
                  </w:r>
                </w:p>
              </w:tc>
              <w:tc>
                <w:tcPr>
                  <w:tcW w:w="901" w:type="pct"/>
                  <w:noWrap w:val="0"/>
                  <w:vAlign w:val="center"/>
                </w:tcPr>
                <w:p w14:paraId="2DD08B93">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生活污水</w:t>
                  </w:r>
                </w:p>
              </w:tc>
              <w:tc>
                <w:tcPr>
                  <w:tcW w:w="476" w:type="pct"/>
                  <w:noWrap w:val="0"/>
                  <w:vAlign w:val="center"/>
                </w:tcPr>
                <w:p w14:paraId="652A56E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vMerge w:val="restart"/>
                  <w:tcBorders>
                    <w:bottom w:val="nil"/>
                  </w:tcBorders>
                  <w:noWrap w:val="0"/>
                  <w:vAlign w:val="center"/>
                </w:tcPr>
                <w:p w14:paraId="2A8AD2FE">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依托</w:t>
                  </w:r>
                  <w:r>
                    <w:rPr>
                      <w:rFonts w:hint="default" w:ascii="Times New Roman" w:hAnsi="Times New Roman" w:eastAsia="宋体" w:cs="Times New Roman"/>
                      <w:color w:val="auto"/>
                      <w:spacing w:val="0"/>
                      <w:position w:val="0"/>
                      <w:lang w:val="en-US" w:eastAsia="zh-CN"/>
                    </w:rPr>
                    <w:t>曲靖市第二人民医院污水处理站</w:t>
                  </w:r>
                  <w:r>
                    <w:rPr>
                      <w:rFonts w:hint="default" w:ascii="Times New Roman" w:hAnsi="Times New Roman" w:eastAsia="宋体" w:cs="Times New Roman"/>
                      <w:color w:val="auto"/>
                      <w:spacing w:val="0"/>
                      <w:position w:val="0"/>
                    </w:rPr>
                    <w:t>处理后外排进入市政污水管网，最后进入</w:t>
                  </w:r>
                  <w:r>
                    <w:rPr>
                      <w:rFonts w:hint="default" w:ascii="Times New Roman" w:hAnsi="Times New Roman" w:eastAsia="宋体" w:cs="Times New Roman"/>
                      <w:color w:val="auto"/>
                      <w:spacing w:val="0"/>
                      <w:position w:val="0"/>
                      <w:lang w:val="en-US" w:eastAsia="zh-CN"/>
                    </w:rPr>
                    <w:t>曲靖市污水处理厂</w:t>
                  </w:r>
                  <w:r>
                    <w:rPr>
                      <w:rFonts w:hint="default" w:ascii="Times New Roman" w:hAnsi="Times New Roman" w:eastAsia="宋体" w:cs="Times New Roman"/>
                      <w:color w:val="auto"/>
                      <w:spacing w:val="0"/>
                      <w:position w:val="0"/>
                    </w:rPr>
                    <w:t>处理。</w:t>
                  </w:r>
                </w:p>
              </w:tc>
            </w:tr>
            <w:tr w14:paraId="0DB71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bottom w:val="nil"/>
                  </w:tcBorders>
                  <w:noWrap w:val="0"/>
                  <w:vAlign w:val="center"/>
                </w:tcPr>
                <w:p w14:paraId="5E0A0DA7">
                  <w:pPr>
                    <w:pStyle w:val="8"/>
                    <w:bidi w:val="0"/>
                    <w:rPr>
                      <w:rFonts w:hint="default" w:ascii="Times New Roman" w:hAnsi="Times New Roman" w:eastAsia="宋体" w:cs="Times New Roman"/>
                      <w:color w:val="auto"/>
                      <w:spacing w:val="0"/>
                      <w:position w:val="0"/>
                    </w:rPr>
                  </w:pPr>
                </w:p>
              </w:tc>
              <w:tc>
                <w:tcPr>
                  <w:tcW w:w="447" w:type="pct"/>
                  <w:vMerge w:val="continue"/>
                  <w:noWrap w:val="0"/>
                  <w:vAlign w:val="center"/>
                </w:tcPr>
                <w:p w14:paraId="152743BF">
                  <w:pPr>
                    <w:pStyle w:val="8"/>
                    <w:bidi w:val="0"/>
                    <w:rPr>
                      <w:rFonts w:hint="default" w:ascii="Times New Roman" w:hAnsi="Times New Roman" w:eastAsia="宋体" w:cs="Times New Roman"/>
                      <w:color w:val="auto"/>
                      <w:spacing w:val="0"/>
                      <w:position w:val="0"/>
                    </w:rPr>
                  </w:pPr>
                </w:p>
              </w:tc>
              <w:tc>
                <w:tcPr>
                  <w:tcW w:w="728" w:type="pct"/>
                  <w:noWrap w:val="0"/>
                  <w:vAlign w:val="center"/>
                </w:tcPr>
                <w:p w14:paraId="63107E94">
                  <w:pPr>
                    <w:pStyle w:val="8"/>
                    <w:bidi w:val="0"/>
                    <w:rPr>
                      <w:rFonts w:hint="default" w:ascii="Times New Roman" w:hAnsi="Times New Roman" w:eastAsia="宋体" w:cs="Times New Roman"/>
                      <w:color w:val="auto"/>
                      <w:spacing w:val="0"/>
                      <w:position w:val="0"/>
                      <w:lang w:val="en-US" w:eastAsia="zh-CN"/>
                    </w:rPr>
                  </w:pPr>
                  <w:r>
                    <w:rPr>
                      <w:rFonts w:hint="eastAsia" w:cs="Times New Roman"/>
                      <w:color w:val="auto"/>
                      <w:spacing w:val="0"/>
                      <w:position w:val="0"/>
                      <w:lang w:val="en-US" w:eastAsia="zh-CN"/>
                    </w:rPr>
                    <w:t>介入病人</w:t>
                  </w:r>
                </w:p>
              </w:tc>
              <w:tc>
                <w:tcPr>
                  <w:tcW w:w="901" w:type="pct"/>
                  <w:noWrap w:val="0"/>
                  <w:vAlign w:val="center"/>
                </w:tcPr>
                <w:p w14:paraId="30DE2D73">
                  <w:pPr>
                    <w:pStyle w:val="8"/>
                    <w:bidi w:val="0"/>
                    <w:rPr>
                      <w:rFonts w:hint="default" w:ascii="Times New Roman" w:hAnsi="Times New Roman" w:eastAsia="宋体" w:cs="Times New Roman"/>
                      <w:color w:val="auto"/>
                      <w:spacing w:val="0"/>
                      <w:position w:val="0"/>
                      <w:lang w:val="en-US" w:eastAsia="zh-CN"/>
                    </w:rPr>
                  </w:pPr>
                  <w:r>
                    <w:rPr>
                      <w:rFonts w:hint="eastAsia" w:cs="Times New Roman"/>
                      <w:color w:val="auto"/>
                      <w:spacing w:val="0"/>
                      <w:position w:val="0"/>
                      <w:lang w:val="en-US" w:eastAsia="zh-CN"/>
                    </w:rPr>
                    <w:t>生活污水</w:t>
                  </w:r>
                </w:p>
              </w:tc>
              <w:tc>
                <w:tcPr>
                  <w:tcW w:w="476" w:type="pct"/>
                  <w:noWrap w:val="0"/>
                  <w:vAlign w:val="center"/>
                </w:tcPr>
                <w:p w14:paraId="3822AFDD">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lang w:val="en-US" w:eastAsia="zh-CN"/>
                    </w:rPr>
                    <w:t>0.205m</w:t>
                  </w:r>
                  <w:r>
                    <w:rPr>
                      <w:rFonts w:hint="default" w:ascii="Times New Roman" w:hAnsi="Times New Roman" w:eastAsia="宋体" w:cs="Times New Roman"/>
                      <w:color w:val="auto"/>
                      <w:spacing w:val="0"/>
                      <w:kern w:val="0"/>
                      <w:position w:val="0"/>
                      <w:vertAlign w:val="superscript"/>
                      <w:lang w:val="en-US" w:eastAsia="zh-CN"/>
                    </w:rPr>
                    <w:t>3</w:t>
                  </w:r>
                  <w:r>
                    <w:rPr>
                      <w:rFonts w:hint="default" w:ascii="Times New Roman" w:hAnsi="Times New Roman" w:eastAsia="宋体" w:cs="Times New Roman"/>
                      <w:color w:val="auto"/>
                      <w:spacing w:val="0"/>
                      <w:kern w:val="0"/>
                      <w:position w:val="0"/>
                      <w:lang w:val="en-US" w:eastAsia="zh-CN"/>
                    </w:rPr>
                    <w:t>/d</w:t>
                  </w:r>
                </w:p>
              </w:tc>
              <w:tc>
                <w:tcPr>
                  <w:tcW w:w="2007" w:type="pct"/>
                  <w:vMerge w:val="continue"/>
                  <w:noWrap w:val="0"/>
                  <w:vAlign w:val="center"/>
                </w:tcPr>
                <w:p w14:paraId="2D26DE55">
                  <w:pPr>
                    <w:pStyle w:val="8"/>
                    <w:bidi w:val="0"/>
                    <w:rPr>
                      <w:rFonts w:hint="default" w:ascii="Times New Roman" w:hAnsi="Times New Roman" w:eastAsia="宋体" w:cs="Times New Roman"/>
                      <w:color w:val="auto"/>
                      <w:spacing w:val="0"/>
                      <w:position w:val="0"/>
                    </w:rPr>
                  </w:pPr>
                </w:p>
              </w:tc>
            </w:tr>
            <w:tr w14:paraId="25169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tcBorders>
                  <w:noWrap w:val="0"/>
                  <w:vAlign w:val="center"/>
                </w:tcPr>
                <w:p w14:paraId="436908C5">
                  <w:pPr>
                    <w:pStyle w:val="8"/>
                    <w:bidi w:val="0"/>
                    <w:rPr>
                      <w:rFonts w:hint="default" w:ascii="Times New Roman" w:hAnsi="Times New Roman" w:eastAsia="宋体" w:cs="Times New Roman"/>
                      <w:color w:val="auto"/>
                      <w:spacing w:val="0"/>
                      <w:position w:val="0"/>
                    </w:rPr>
                  </w:pPr>
                </w:p>
              </w:tc>
              <w:tc>
                <w:tcPr>
                  <w:tcW w:w="447" w:type="pct"/>
                  <w:vMerge w:val="continue"/>
                  <w:tcBorders>
                    <w:top w:val="nil"/>
                  </w:tcBorders>
                  <w:noWrap w:val="0"/>
                  <w:vAlign w:val="center"/>
                </w:tcPr>
                <w:p w14:paraId="3BBA056F">
                  <w:pPr>
                    <w:pStyle w:val="8"/>
                    <w:bidi w:val="0"/>
                    <w:rPr>
                      <w:rFonts w:hint="default" w:ascii="Times New Roman" w:hAnsi="Times New Roman" w:eastAsia="宋体" w:cs="Times New Roman"/>
                      <w:color w:val="auto"/>
                      <w:spacing w:val="0"/>
                      <w:position w:val="0"/>
                    </w:rPr>
                  </w:pPr>
                </w:p>
              </w:tc>
              <w:tc>
                <w:tcPr>
                  <w:tcW w:w="728" w:type="pct"/>
                  <w:noWrap w:val="0"/>
                  <w:vAlign w:val="center"/>
                </w:tcPr>
                <w:p w14:paraId="1DB1D46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介入手术、清洗器械</w:t>
                  </w:r>
                </w:p>
              </w:tc>
              <w:tc>
                <w:tcPr>
                  <w:tcW w:w="901" w:type="pct"/>
                  <w:noWrap w:val="0"/>
                  <w:vAlign w:val="center"/>
                </w:tcPr>
                <w:p w14:paraId="53D8855D">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医疗废水</w:t>
                  </w:r>
                </w:p>
              </w:tc>
              <w:tc>
                <w:tcPr>
                  <w:tcW w:w="476" w:type="pct"/>
                  <w:noWrap w:val="0"/>
                  <w:vAlign w:val="center"/>
                </w:tcPr>
                <w:p w14:paraId="66A21CDE">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vMerge w:val="continue"/>
                  <w:tcBorders>
                    <w:top w:val="nil"/>
                  </w:tcBorders>
                  <w:noWrap w:val="0"/>
                  <w:vAlign w:val="center"/>
                </w:tcPr>
                <w:p w14:paraId="561A7046">
                  <w:pPr>
                    <w:pStyle w:val="8"/>
                    <w:bidi w:val="0"/>
                    <w:rPr>
                      <w:rFonts w:hint="default" w:ascii="Times New Roman" w:hAnsi="Times New Roman" w:eastAsia="宋体" w:cs="Times New Roman"/>
                      <w:color w:val="auto"/>
                      <w:spacing w:val="0"/>
                      <w:position w:val="0"/>
                    </w:rPr>
                  </w:pPr>
                </w:p>
              </w:tc>
            </w:tr>
            <w:tr w14:paraId="6AD9A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restart"/>
                  <w:tcBorders>
                    <w:bottom w:val="nil"/>
                  </w:tcBorders>
                  <w:noWrap w:val="0"/>
                  <w:vAlign w:val="center"/>
                </w:tcPr>
                <w:p w14:paraId="7CA01842">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固体废弃物</w:t>
                  </w:r>
                </w:p>
              </w:tc>
              <w:tc>
                <w:tcPr>
                  <w:tcW w:w="447" w:type="pct"/>
                  <w:vMerge w:val="restart"/>
                  <w:tcBorders>
                    <w:bottom w:val="nil"/>
                  </w:tcBorders>
                  <w:noWrap w:val="0"/>
                  <w:vAlign w:val="center"/>
                </w:tcPr>
                <w:p w14:paraId="062623A3">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w:t>
                  </w:r>
                </w:p>
              </w:tc>
              <w:tc>
                <w:tcPr>
                  <w:tcW w:w="728" w:type="pct"/>
                  <w:noWrap w:val="0"/>
                  <w:vAlign w:val="center"/>
                </w:tcPr>
                <w:p w14:paraId="2B2C9A43">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施工过程</w:t>
                  </w:r>
                </w:p>
              </w:tc>
              <w:tc>
                <w:tcPr>
                  <w:tcW w:w="901" w:type="pct"/>
                  <w:noWrap w:val="0"/>
                  <w:vAlign w:val="center"/>
                </w:tcPr>
                <w:p w14:paraId="202B2AF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建筑垃圾</w:t>
                  </w:r>
                </w:p>
              </w:tc>
              <w:tc>
                <w:tcPr>
                  <w:tcW w:w="476" w:type="pct"/>
                  <w:noWrap w:val="0"/>
                  <w:vAlign w:val="center"/>
                </w:tcPr>
                <w:p w14:paraId="222DF872">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noWrap w:val="0"/>
                  <w:vAlign w:val="center"/>
                </w:tcPr>
                <w:p w14:paraId="4713FAA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部分回收利用，不能回收利用的清运至</w:t>
                  </w:r>
                  <w:r>
                    <w:rPr>
                      <w:rFonts w:hint="default" w:ascii="Times New Roman" w:hAnsi="Times New Roman" w:eastAsia="宋体" w:cs="Times New Roman"/>
                      <w:color w:val="auto"/>
                      <w:spacing w:val="0"/>
                      <w:position w:val="0"/>
                      <w:lang w:val="en-US" w:eastAsia="zh-CN"/>
                    </w:rPr>
                    <w:t>城管部门</w:t>
                  </w:r>
                  <w:r>
                    <w:rPr>
                      <w:rFonts w:hint="default" w:ascii="Times New Roman" w:hAnsi="Times New Roman" w:eastAsia="宋体" w:cs="Times New Roman"/>
                      <w:color w:val="auto"/>
                      <w:spacing w:val="0"/>
                      <w:position w:val="0"/>
                    </w:rPr>
                    <w:t>指定堆放点。</w:t>
                  </w:r>
                </w:p>
              </w:tc>
            </w:tr>
            <w:tr w14:paraId="48108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bottom w:val="nil"/>
                  </w:tcBorders>
                  <w:noWrap w:val="0"/>
                  <w:vAlign w:val="center"/>
                </w:tcPr>
                <w:p w14:paraId="222BE322">
                  <w:pPr>
                    <w:pStyle w:val="8"/>
                    <w:bidi w:val="0"/>
                    <w:rPr>
                      <w:rFonts w:hint="default" w:ascii="Times New Roman" w:hAnsi="Times New Roman" w:eastAsia="宋体" w:cs="Times New Roman"/>
                      <w:color w:val="auto"/>
                      <w:spacing w:val="0"/>
                      <w:position w:val="0"/>
                    </w:rPr>
                  </w:pPr>
                </w:p>
              </w:tc>
              <w:tc>
                <w:tcPr>
                  <w:tcW w:w="447" w:type="pct"/>
                  <w:vMerge w:val="continue"/>
                  <w:tcBorders>
                    <w:top w:val="nil"/>
                  </w:tcBorders>
                  <w:noWrap w:val="0"/>
                  <w:vAlign w:val="center"/>
                </w:tcPr>
                <w:p w14:paraId="643C51EF">
                  <w:pPr>
                    <w:pStyle w:val="8"/>
                    <w:bidi w:val="0"/>
                    <w:rPr>
                      <w:rFonts w:hint="default" w:ascii="Times New Roman" w:hAnsi="Times New Roman" w:eastAsia="宋体" w:cs="Times New Roman"/>
                      <w:color w:val="auto"/>
                      <w:spacing w:val="0"/>
                      <w:position w:val="0"/>
                    </w:rPr>
                  </w:pPr>
                </w:p>
              </w:tc>
              <w:tc>
                <w:tcPr>
                  <w:tcW w:w="728" w:type="pct"/>
                  <w:noWrap w:val="0"/>
                  <w:vAlign w:val="center"/>
                </w:tcPr>
                <w:p w14:paraId="216F2E55">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施工人员</w:t>
                  </w:r>
                </w:p>
              </w:tc>
              <w:tc>
                <w:tcPr>
                  <w:tcW w:w="901" w:type="pct"/>
                  <w:noWrap w:val="0"/>
                  <w:vAlign w:val="center"/>
                </w:tcPr>
                <w:p w14:paraId="59D67606">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生活垃圾</w:t>
                  </w:r>
                </w:p>
              </w:tc>
              <w:tc>
                <w:tcPr>
                  <w:tcW w:w="476" w:type="pct"/>
                  <w:noWrap w:val="0"/>
                  <w:vAlign w:val="center"/>
                </w:tcPr>
                <w:p w14:paraId="07DD5AE6">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noWrap w:val="0"/>
                  <w:vAlign w:val="center"/>
                </w:tcPr>
                <w:p w14:paraId="4F72F8B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经生活垃圾桶收集后，交由环卫部门统一清运处置。</w:t>
                  </w:r>
                </w:p>
              </w:tc>
            </w:tr>
            <w:tr w14:paraId="428E1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bottom w:val="nil"/>
                  </w:tcBorders>
                  <w:noWrap w:val="0"/>
                  <w:vAlign w:val="center"/>
                </w:tcPr>
                <w:p w14:paraId="50381A1A">
                  <w:pPr>
                    <w:pStyle w:val="8"/>
                    <w:bidi w:val="0"/>
                    <w:rPr>
                      <w:rFonts w:hint="default" w:ascii="Times New Roman" w:hAnsi="Times New Roman" w:eastAsia="宋体" w:cs="Times New Roman"/>
                      <w:color w:val="auto"/>
                      <w:spacing w:val="0"/>
                      <w:position w:val="0"/>
                    </w:rPr>
                  </w:pPr>
                </w:p>
              </w:tc>
              <w:tc>
                <w:tcPr>
                  <w:tcW w:w="447" w:type="pct"/>
                  <w:vMerge w:val="restart"/>
                  <w:tcBorders>
                    <w:bottom w:val="nil"/>
                  </w:tcBorders>
                  <w:noWrap w:val="0"/>
                  <w:vAlign w:val="center"/>
                </w:tcPr>
                <w:p w14:paraId="7EF5334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运营期</w:t>
                  </w:r>
                </w:p>
              </w:tc>
              <w:tc>
                <w:tcPr>
                  <w:tcW w:w="728" w:type="pct"/>
                  <w:noWrap w:val="0"/>
                  <w:vAlign w:val="center"/>
                </w:tcPr>
                <w:p w14:paraId="190CFCA5">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医务人员</w:t>
                  </w:r>
                </w:p>
              </w:tc>
              <w:tc>
                <w:tcPr>
                  <w:tcW w:w="901" w:type="pct"/>
                  <w:noWrap w:val="0"/>
                  <w:vAlign w:val="center"/>
                </w:tcPr>
                <w:p w14:paraId="48D22C10">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生活垃圾</w:t>
                  </w:r>
                </w:p>
              </w:tc>
              <w:tc>
                <w:tcPr>
                  <w:tcW w:w="476" w:type="pct"/>
                  <w:noWrap w:val="0"/>
                  <w:vAlign w:val="center"/>
                </w:tcPr>
                <w:p w14:paraId="17643FE8">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少量</w:t>
                  </w:r>
                </w:p>
              </w:tc>
              <w:tc>
                <w:tcPr>
                  <w:tcW w:w="2007" w:type="pct"/>
                  <w:noWrap w:val="0"/>
                  <w:vAlign w:val="center"/>
                </w:tcPr>
                <w:p w14:paraId="0606CD27">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收集后，由当地环卫部门定期清运。</w:t>
                  </w:r>
                </w:p>
              </w:tc>
            </w:tr>
            <w:tr w14:paraId="284BE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tcBorders>
                  <w:noWrap w:val="0"/>
                  <w:vAlign w:val="center"/>
                </w:tcPr>
                <w:p w14:paraId="2DFDF3FD">
                  <w:pPr>
                    <w:pStyle w:val="8"/>
                    <w:bidi w:val="0"/>
                    <w:rPr>
                      <w:rFonts w:hint="default" w:ascii="Times New Roman" w:hAnsi="Times New Roman" w:eastAsia="宋体" w:cs="Times New Roman"/>
                      <w:color w:val="auto"/>
                      <w:spacing w:val="0"/>
                      <w:position w:val="0"/>
                    </w:rPr>
                  </w:pPr>
                </w:p>
              </w:tc>
              <w:tc>
                <w:tcPr>
                  <w:tcW w:w="447" w:type="pct"/>
                  <w:vMerge w:val="continue"/>
                  <w:tcBorders>
                    <w:top w:val="nil"/>
                  </w:tcBorders>
                  <w:noWrap w:val="0"/>
                  <w:vAlign w:val="center"/>
                </w:tcPr>
                <w:p w14:paraId="2A8E7E9A">
                  <w:pPr>
                    <w:pStyle w:val="8"/>
                    <w:bidi w:val="0"/>
                    <w:rPr>
                      <w:rFonts w:hint="default" w:ascii="Times New Roman" w:hAnsi="Times New Roman" w:eastAsia="宋体" w:cs="Times New Roman"/>
                      <w:color w:val="auto"/>
                      <w:spacing w:val="0"/>
                      <w:position w:val="0"/>
                    </w:rPr>
                  </w:pPr>
                </w:p>
              </w:tc>
              <w:tc>
                <w:tcPr>
                  <w:tcW w:w="728" w:type="pct"/>
                  <w:noWrap w:val="0"/>
                  <w:vAlign w:val="center"/>
                </w:tcPr>
                <w:p w14:paraId="3B6E3AE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诊疗过程</w:t>
                  </w:r>
                </w:p>
              </w:tc>
              <w:tc>
                <w:tcPr>
                  <w:tcW w:w="901" w:type="pct"/>
                  <w:noWrap w:val="0"/>
                  <w:vAlign w:val="center"/>
                </w:tcPr>
                <w:p w14:paraId="541CA9D7">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医用器具和药棉、纱布、手套等医疗废物</w:t>
                  </w:r>
                </w:p>
              </w:tc>
              <w:tc>
                <w:tcPr>
                  <w:tcW w:w="476" w:type="pct"/>
                  <w:noWrap w:val="0"/>
                  <w:vAlign w:val="center"/>
                </w:tcPr>
                <w:p w14:paraId="505962F4">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2007" w:type="pct"/>
                  <w:noWrap w:val="0"/>
                  <w:vAlign w:val="center"/>
                </w:tcPr>
                <w:p w14:paraId="2D7468F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采用专门的收集容器收集后，转移至医院主体建设医疗废物暂存间，定期交由</w:t>
                  </w:r>
                  <w:r>
                    <w:rPr>
                      <w:rFonts w:hint="default" w:ascii="Times New Roman" w:hAnsi="Times New Roman" w:eastAsia="宋体" w:cs="Times New Roman"/>
                      <w:color w:val="auto"/>
                      <w:spacing w:val="0"/>
                      <w:position w:val="0"/>
                      <w:lang w:val="en-US" w:eastAsia="zh-CN"/>
                    </w:rPr>
                    <w:t>曲靖银发危险废物集中处置中心有限公司</w:t>
                  </w:r>
                  <w:r>
                    <w:rPr>
                      <w:rFonts w:hint="default" w:ascii="Times New Roman" w:hAnsi="Times New Roman" w:eastAsia="宋体" w:cs="Times New Roman"/>
                      <w:color w:val="auto"/>
                      <w:spacing w:val="0"/>
                      <w:position w:val="0"/>
                    </w:rPr>
                    <w:t>进行清运处置。</w:t>
                  </w:r>
                </w:p>
              </w:tc>
            </w:tr>
            <w:tr w14:paraId="581A1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restart"/>
                  <w:tcBorders>
                    <w:bottom w:val="nil"/>
                  </w:tcBorders>
                  <w:noWrap w:val="0"/>
                  <w:vAlign w:val="center"/>
                </w:tcPr>
                <w:p w14:paraId="6D18AFE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噪声</w:t>
                  </w:r>
                </w:p>
              </w:tc>
              <w:tc>
                <w:tcPr>
                  <w:tcW w:w="447" w:type="pct"/>
                  <w:noWrap w:val="0"/>
                  <w:vAlign w:val="center"/>
                </w:tcPr>
                <w:p w14:paraId="7FD22ED3">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w:t>
                  </w:r>
                </w:p>
              </w:tc>
              <w:tc>
                <w:tcPr>
                  <w:tcW w:w="728" w:type="pct"/>
                  <w:noWrap w:val="0"/>
                  <w:vAlign w:val="center"/>
                </w:tcPr>
                <w:p w14:paraId="73C01FC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施工设备</w:t>
                  </w:r>
                </w:p>
              </w:tc>
              <w:tc>
                <w:tcPr>
                  <w:tcW w:w="901" w:type="pct"/>
                  <w:noWrap w:val="0"/>
                  <w:vAlign w:val="center"/>
                </w:tcPr>
                <w:p w14:paraId="1DCAEA1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噪声</w:t>
                  </w:r>
                </w:p>
              </w:tc>
              <w:tc>
                <w:tcPr>
                  <w:tcW w:w="476" w:type="pct"/>
                  <w:noWrap w:val="0"/>
                  <w:vAlign w:val="center"/>
                </w:tcPr>
                <w:p w14:paraId="3F88D8AF">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2007" w:type="pct"/>
                  <w:noWrap w:val="0"/>
                  <w:vAlign w:val="center"/>
                </w:tcPr>
                <w:p w14:paraId="4CE2326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合理安排施工时间，加强施工管理。</w:t>
                  </w:r>
                </w:p>
              </w:tc>
            </w:tr>
            <w:tr w14:paraId="0FF6C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tcBorders>
                    <w:top w:val="nil"/>
                  </w:tcBorders>
                  <w:noWrap w:val="0"/>
                  <w:vAlign w:val="center"/>
                </w:tcPr>
                <w:p w14:paraId="5478861F">
                  <w:pPr>
                    <w:pStyle w:val="8"/>
                    <w:bidi w:val="0"/>
                    <w:rPr>
                      <w:rFonts w:hint="default" w:ascii="Times New Roman" w:hAnsi="Times New Roman" w:eastAsia="宋体" w:cs="Times New Roman"/>
                      <w:color w:val="auto"/>
                      <w:spacing w:val="0"/>
                      <w:position w:val="0"/>
                    </w:rPr>
                  </w:pPr>
                </w:p>
              </w:tc>
              <w:tc>
                <w:tcPr>
                  <w:tcW w:w="447" w:type="pct"/>
                  <w:noWrap w:val="0"/>
                  <w:vAlign w:val="center"/>
                </w:tcPr>
                <w:p w14:paraId="35F0F035">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运营期</w:t>
                  </w:r>
                </w:p>
              </w:tc>
              <w:tc>
                <w:tcPr>
                  <w:tcW w:w="728" w:type="pct"/>
                  <w:noWrap w:val="0"/>
                  <w:vAlign w:val="center"/>
                </w:tcPr>
                <w:p w14:paraId="65F73652">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风机</w:t>
                  </w:r>
                </w:p>
              </w:tc>
              <w:tc>
                <w:tcPr>
                  <w:tcW w:w="901" w:type="pct"/>
                  <w:noWrap w:val="0"/>
                  <w:vAlign w:val="center"/>
                </w:tcPr>
                <w:p w14:paraId="6D30ECB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噪声</w:t>
                  </w:r>
                </w:p>
              </w:tc>
              <w:tc>
                <w:tcPr>
                  <w:tcW w:w="476" w:type="pct"/>
                  <w:noWrap w:val="0"/>
                  <w:vAlign w:val="center"/>
                </w:tcPr>
                <w:p w14:paraId="70511925">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2007" w:type="pct"/>
                  <w:noWrap w:val="0"/>
                  <w:vAlign w:val="center"/>
                </w:tcPr>
                <w:p w14:paraId="6130DE87">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通风系统的风机，采用加减振措施，经墙壁阻隔、距离衰减，进一步降低噪声影响。</w:t>
                  </w:r>
                </w:p>
              </w:tc>
            </w:tr>
            <w:tr w14:paraId="6E85B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restart"/>
                  <w:noWrap w:val="0"/>
                  <w:vAlign w:val="center"/>
                </w:tcPr>
                <w:p w14:paraId="695F7C7E">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w:t>
                  </w:r>
                </w:p>
              </w:tc>
              <w:tc>
                <w:tcPr>
                  <w:tcW w:w="447" w:type="pct"/>
                  <w:noWrap w:val="0"/>
                  <w:vAlign w:val="center"/>
                </w:tcPr>
                <w:p w14:paraId="03B41BF7">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w:t>
                  </w:r>
                </w:p>
              </w:tc>
              <w:tc>
                <w:tcPr>
                  <w:tcW w:w="728" w:type="pct"/>
                  <w:noWrap w:val="0"/>
                  <w:vAlign w:val="center"/>
                </w:tcPr>
                <w:p w14:paraId="4F11D5B0">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901" w:type="pct"/>
                  <w:noWrap w:val="0"/>
                  <w:vAlign w:val="center"/>
                </w:tcPr>
                <w:p w14:paraId="4637BD8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476" w:type="pct"/>
                  <w:noWrap w:val="0"/>
                  <w:vAlign w:val="center"/>
                </w:tcPr>
                <w:p w14:paraId="5D83DB4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2007" w:type="pct"/>
                  <w:noWrap w:val="0"/>
                  <w:vAlign w:val="center"/>
                </w:tcPr>
                <w:p w14:paraId="1E964D52">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r>
            <w:tr w14:paraId="6F8C9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noWrap w:val="0"/>
                  <w:vAlign w:val="center"/>
                </w:tcPr>
                <w:p w14:paraId="44E11EB6">
                  <w:pPr>
                    <w:pStyle w:val="8"/>
                    <w:bidi w:val="0"/>
                    <w:rPr>
                      <w:rFonts w:hint="default" w:ascii="Times New Roman" w:hAnsi="Times New Roman" w:eastAsia="宋体" w:cs="Times New Roman"/>
                      <w:color w:val="auto"/>
                      <w:spacing w:val="0"/>
                      <w:position w:val="0"/>
                    </w:rPr>
                  </w:pPr>
                </w:p>
              </w:tc>
              <w:tc>
                <w:tcPr>
                  <w:tcW w:w="447" w:type="pct"/>
                  <w:noWrap w:val="0"/>
                  <w:vAlign w:val="center"/>
                </w:tcPr>
                <w:p w14:paraId="03BD4F9C">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调试期</w:t>
                  </w:r>
                </w:p>
              </w:tc>
              <w:tc>
                <w:tcPr>
                  <w:tcW w:w="728" w:type="pct"/>
                  <w:noWrap w:val="0"/>
                  <w:vAlign w:val="center"/>
                </w:tcPr>
                <w:p w14:paraId="43D5C9E8">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w:t>
                  </w:r>
                </w:p>
              </w:tc>
              <w:tc>
                <w:tcPr>
                  <w:tcW w:w="901" w:type="pct"/>
                  <w:noWrap w:val="0"/>
                  <w:vAlign w:val="center"/>
                </w:tcPr>
                <w:p w14:paraId="20AF9F1F">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X射线</w:t>
                  </w:r>
                </w:p>
              </w:tc>
              <w:tc>
                <w:tcPr>
                  <w:tcW w:w="476" w:type="pct"/>
                  <w:noWrap w:val="0"/>
                  <w:vAlign w:val="center"/>
                </w:tcPr>
                <w:p w14:paraId="5764410F">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2007" w:type="pct"/>
                  <w:noWrap w:val="0"/>
                  <w:vAlign w:val="center"/>
                </w:tcPr>
                <w:p w14:paraId="572463B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专业人员进行设备调试。</w:t>
                  </w:r>
                </w:p>
              </w:tc>
            </w:tr>
            <w:tr w14:paraId="704B2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437" w:type="pct"/>
                  <w:vMerge w:val="continue"/>
                  <w:noWrap w:val="0"/>
                  <w:vAlign w:val="center"/>
                </w:tcPr>
                <w:p w14:paraId="727A8A70">
                  <w:pPr>
                    <w:pStyle w:val="8"/>
                    <w:bidi w:val="0"/>
                    <w:rPr>
                      <w:rFonts w:hint="default" w:ascii="Times New Roman" w:hAnsi="Times New Roman" w:eastAsia="宋体" w:cs="Times New Roman"/>
                      <w:color w:val="auto"/>
                      <w:spacing w:val="0"/>
                      <w:position w:val="0"/>
                    </w:rPr>
                  </w:pPr>
                </w:p>
              </w:tc>
              <w:tc>
                <w:tcPr>
                  <w:tcW w:w="447" w:type="pct"/>
                  <w:noWrap w:val="0"/>
                  <w:vAlign w:val="center"/>
                </w:tcPr>
                <w:p w14:paraId="02F8782C">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运营期</w:t>
                  </w:r>
                </w:p>
              </w:tc>
              <w:tc>
                <w:tcPr>
                  <w:tcW w:w="728" w:type="pct"/>
                  <w:noWrap w:val="0"/>
                  <w:vAlign w:val="center"/>
                </w:tcPr>
                <w:p w14:paraId="6F55DADB">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w:t>
                  </w:r>
                </w:p>
              </w:tc>
              <w:tc>
                <w:tcPr>
                  <w:tcW w:w="901" w:type="pct"/>
                  <w:noWrap w:val="0"/>
                  <w:vAlign w:val="center"/>
                </w:tcPr>
                <w:p w14:paraId="0E499E4A">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X射线</w:t>
                  </w:r>
                </w:p>
              </w:tc>
              <w:tc>
                <w:tcPr>
                  <w:tcW w:w="476" w:type="pct"/>
                  <w:noWrap w:val="0"/>
                  <w:vAlign w:val="center"/>
                </w:tcPr>
                <w:p w14:paraId="755A7D0D">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2007" w:type="pct"/>
                  <w:noWrap w:val="0"/>
                  <w:vAlign w:val="center"/>
                </w:tcPr>
                <w:p w14:paraId="7AC11819">
                  <w:pPr>
                    <w:pStyle w:val="8"/>
                    <w:bidi w:val="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射线装置工作产生的X射线经墙体屏蔽和其他有效防护屏蔽后，所致职业和公众照射剂量当量可达到评价标准。</w:t>
                  </w:r>
                </w:p>
              </w:tc>
            </w:tr>
          </w:tbl>
          <w:p w14:paraId="45ED7FC1">
            <w:pPr>
              <w:keepNext w:val="0"/>
              <w:keepLines w:val="0"/>
              <w:numPr>
                <w:ilvl w:val="0"/>
                <w:numId w:val="0"/>
              </w:numPr>
              <w:suppressLineNumbers w:val="0"/>
              <w:spacing w:before="0" w:beforeAutospacing="0" w:after="0" w:afterAutospacing="0"/>
              <w:ind w:left="0" w:right="0" w:rightChars="0"/>
              <w:rPr>
                <w:rFonts w:hint="default" w:ascii="Times New Roman" w:hAnsi="Times New Roman" w:eastAsia="宋体" w:cs="Times New Roman"/>
                <w:color w:val="auto"/>
                <w:spacing w:val="0"/>
                <w:position w:val="0"/>
              </w:rPr>
            </w:pPr>
          </w:p>
        </w:tc>
      </w:tr>
    </w:tbl>
    <w:p w14:paraId="62EC6BE5">
      <w:pPr>
        <w:rPr>
          <w:rFonts w:hint="default" w:ascii="Times New Roman" w:hAnsi="Times New Roman" w:eastAsia="宋体" w:cs="Times New Roman"/>
          <w:color w:val="auto"/>
          <w:spacing w:val="0"/>
          <w:position w:val="0"/>
        </w:rPr>
      </w:pPr>
      <w:bookmarkStart w:id="41" w:name="_Toc19120"/>
      <w:r>
        <w:rPr>
          <w:rFonts w:hint="default" w:ascii="Times New Roman" w:hAnsi="Times New Roman" w:eastAsia="宋体" w:cs="Times New Roman"/>
          <w:color w:val="auto"/>
          <w:spacing w:val="0"/>
          <w:position w:val="0"/>
        </w:rPr>
        <w:br w:type="page"/>
      </w:r>
    </w:p>
    <w:p w14:paraId="69809F4B">
      <w:pPr>
        <w:pStyle w:val="2"/>
        <w:rPr>
          <w:rFonts w:hint="default" w:ascii="Times New Roman" w:hAnsi="Times New Roman" w:eastAsia="宋体" w:cs="Times New Roman"/>
          <w:color w:val="auto"/>
          <w:spacing w:val="0"/>
          <w:position w:val="0"/>
        </w:rPr>
      </w:pPr>
      <w:bookmarkStart w:id="42" w:name="_Toc31239"/>
      <w:r>
        <w:rPr>
          <w:rFonts w:hint="default" w:ascii="Times New Roman" w:hAnsi="Times New Roman" w:eastAsia="宋体" w:cs="Times New Roman"/>
          <w:color w:val="auto"/>
          <w:spacing w:val="0"/>
          <w:position w:val="0"/>
        </w:rPr>
        <w:t>表10辐射安全与防护</w:t>
      </w:r>
      <w:bookmarkEnd w:id="41"/>
      <w:bookmarkEnd w:id="42"/>
    </w:p>
    <w:tbl>
      <w:tblPr>
        <w:tblStyle w:val="20"/>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8"/>
      </w:tblGrid>
      <w:tr w14:paraId="348C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178" w:type="dxa"/>
            <w:noWrap w:val="0"/>
            <w:vAlign w:val="top"/>
          </w:tcPr>
          <w:p w14:paraId="6F0D33AC">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10.1项目安全设施</w:t>
            </w:r>
          </w:p>
          <w:p w14:paraId="20D76B7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通过污染源分析可知，本项目运行期间产生的主要污染物为X射线以及空气电离产生的少量臭氧和氮氧化物、手术过程中产生的医疗废物、医疗废水</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工作人员产生的生活污水和生活垃圾。针对X射线污染，医院将采取以下相应的辐射防护措施：</w:t>
            </w:r>
          </w:p>
          <w:p w14:paraId="6184E703">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一、工作场所分区管理</w:t>
            </w:r>
          </w:p>
          <w:p w14:paraId="69FF751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为加强核技术应用医疗设备所在区域的管理，限制无关人员受到不必要的照射，应对项目划定控制区和监督区进行分区管理。根据《电离辐射防护与辐射源安全基本标准》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控制区和监督区的定义划定控制区和监督区。</w:t>
            </w:r>
          </w:p>
          <w:p w14:paraId="1E4DAED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rPr>
              <w:t>控制区：</w:t>
            </w:r>
            <w:r>
              <w:rPr>
                <w:rFonts w:hint="default" w:ascii="Times New Roman" w:hAnsi="Times New Roman" w:eastAsia="宋体" w:cs="Times New Roman"/>
                <w:color w:val="auto"/>
                <w:spacing w:val="0"/>
                <w:position w:val="0"/>
              </w:rPr>
              <w:t>在正常工作情况下控制区正常照射或防止污染扩散，以及在一定程度上预防或限制潜在照射，要求或可能要求专门防护手段和安全措施的限定区域。在控制区的进出口及其他适当位置处设立醒目的警告标志并给出相应的辐射水平和污染水平的指示。应用行政管理程序如进入控制区的工作许可证和实体屏蔽</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包括门锁和连锁装置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限制进出控制区，放射性操作区应与非放射性工作区隔开。</w:t>
            </w:r>
          </w:p>
          <w:p w14:paraId="704009B8">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控制区管理要求：</w:t>
            </w:r>
          </w:p>
          <w:p w14:paraId="39EEABB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（1）</w:t>
            </w:r>
            <w:r>
              <w:rPr>
                <w:rFonts w:hint="default" w:ascii="Times New Roman" w:hAnsi="Times New Roman" w:eastAsia="宋体" w:cs="Times New Roman"/>
                <w:color w:val="auto"/>
                <w:spacing w:val="0"/>
                <w:position w:val="0"/>
              </w:rPr>
              <w:t>采用实体边界划定控制区；</w:t>
            </w:r>
          </w:p>
          <w:p w14:paraId="5C858F5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（2）</w:t>
            </w:r>
            <w:r>
              <w:rPr>
                <w:rFonts w:hint="default" w:ascii="Times New Roman" w:hAnsi="Times New Roman" w:eastAsia="宋体" w:cs="Times New Roman"/>
                <w:color w:val="auto"/>
                <w:spacing w:val="0"/>
                <w:position w:val="0"/>
              </w:rPr>
              <w:t>在控制区的进出口及其他适当位置处设立醒目的、符合《电离辐射防护与辐射源安全基本标准》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附录F的警告标志；</w:t>
            </w:r>
          </w:p>
          <w:p w14:paraId="2EA7CC5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（3）</w:t>
            </w:r>
            <w:r>
              <w:rPr>
                <w:rFonts w:hint="default" w:ascii="Times New Roman" w:hAnsi="Times New Roman" w:eastAsia="宋体" w:cs="Times New Roman"/>
                <w:color w:val="auto"/>
                <w:spacing w:val="0"/>
                <w:position w:val="0"/>
              </w:rPr>
              <w:t>制定职业防护与安全措施，包括适用于控制区的规则和程序；</w:t>
            </w:r>
          </w:p>
          <w:p w14:paraId="14C422D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（4）</w:t>
            </w:r>
            <w:r>
              <w:rPr>
                <w:rFonts w:hint="default" w:ascii="Times New Roman" w:hAnsi="Times New Roman" w:eastAsia="宋体" w:cs="Times New Roman"/>
                <w:color w:val="auto"/>
                <w:spacing w:val="0"/>
                <w:position w:val="0"/>
              </w:rPr>
              <w:t>运用行政管理程序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如进入控制区的工作许可制度</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和实体屏蔽</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包括门锁和连锁装置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限制进出控制区；限制的严格程度应与预计的照射水平和可能性相适应；</w:t>
            </w:r>
          </w:p>
          <w:p w14:paraId="661FF25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（5）</w:t>
            </w:r>
            <w:r>
              <w:rPr>
                <w:rFonts w:hint="default" w:ascii="Times New Roman" w:hAnsi="Times New Roman" w:eastAsia="宋体" w:cs="Times New Roman"/>
                <w:color w:val="auto"/>
                <w:spacing w:val="0"/>
                <w:position w:val="0"/>
              </w:rPr>
              <w:t>按需要在控制区的入口处提供防护衣具、监测设备和个人衣物储存柜；</w:t>
            </w:r>
          </w:p>
          <w:p w14:paraId="2FD9ADE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（6）</w:t>
            </w:r>
            <w:r>
              <w:rPr>
                <w:rFonts w:hint="default" w:ascii="Times New Roman" w:hAnsi="Times New Roman" w:eastAsia="宋体" w:cs="Times New Roman"/>
                <w:color w:val="auto"/>
                <w:spacing w:val="0"/>
                <w:position w:val="0"/>
              </w:rPr>
              <w:t>定期审查控制区的实际状况，以确定是否有必要改变该区的防护手段或安全措施。</w:t>
            </w:r>
          </w:p>
          <w:p w14:paraId="1388399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b/>
                <w:bCs/>
                <w:color w:val="auto"/>
                <w:spacing w:val="0"/>
                <w:position w:val="0"/>
              </w:rPr>
              <w:t>监督区：</w:t>
            </w:r>
            <w:r>
              <w:rPr>
                <w:rFonts w:hint="default" w:ascii="Times New Roman" w:hAnsi="Times New Roman" w:eastAsia="宋体" w:cs="Times New Roman"/>
                <w:color w:val="auto"/>
                <w:spacing w:val="0"/>
                <w:position w:val="0"/>
              </w:rPr>
              <w:t>未被确定为控制区，正常情况下不需要采取专门防护手段或安全措施，但要不断检查其职业照射状况的</w:t>
            </w:r>
            <w:r>
              <w:rPr>
                <w:rFonts w:hint="default" w:ascii="Times New Roman" w:hAnsi="Times New Roman" w:eastAsia="宋体" w:cs="Times New Roman"/>
                <w:color w:val="auto"/>
                <w:spacing w:val="0"/>
                <w:position w:val="0"/>
                <w:lang w:eastAsia="zh-CN"/>
              </w:rPr>
              <w:t>指定</w:t>
            </w:r>
            <w:r>
              <w:rPr>
                <w:rFonts w:hint="default" w:ascii="Times New Roman" w:hAnsi="Times New Roman" w:eastAsia="宋体" w:cs="Times New Roman"/>
                <w:color w:val="auto"/>
                <w:spacing w:val="0"/>
                <w:position w:val="0"/>
              </w:rPr>
              <w:t>区域。在监督区入口处的合适位置张贴辐射危险警示标记；并定期检查工作状况，确认是否需要防护措施和安全条件，或是否需要更改监督区的边界</w:t>
            </w:r>
            <w:r>
              <w:rPr>
                <w:rFonts w:hint="default" w:ascii="Times New Roman" w:hAnsi="Times New Roman" w:eastAsia="宋体" w:cs="Times New Roman"/>
                <w:color w:val="auto"/>
                <w:spacing w:val="0"/>
                <w:position w:val="0"/>
                <w:lang w:eastAsia="zh-CN"/>
              </w:rPr>
              <w:t>。</w:t>
            </w:r>
          </w:p>
          <w:p w14:paraId="2BA38208">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监督区管理要求：</w:t>
            </w:r>
          </w:p>
          <w:p w14:paraId="54E1EE0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（1）</w:t>
            </w:r>
            <w:r>
              <w:rPr>
                <w:rFonts w:hint="default" w:ascii="Times New Roman" w:hAnsi="Times New Roman" w:eastAsia="宋体" w:cs="Times New Roman"/>
                <w:color w:val="auto"/>
                <w:spacing w:val="0"/>
                <w:position w:val="0"/>
              </w:rPr>
              <w:t>采用适当的手段划出监督区的边界；</w:t>
            </w:r>
          </w:p>
          <w:p w14:paraId="07E1676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（2）</w:t>
            </w:r>
            <w:r>
              <w:rPr>
                <w:rFonts w:hint="default" w:ascii="Times New Roman" w:hAnsi="Times New Roman" w:eastAsia="宋体" w:cs="Times New Roman"/>
                <w:color w:val="auto"/>
                <w:spacing w:val="0"/>
                <w:position w:val="0"/>
              </w:rPr>
              <w:t>在监督区入口处的适当地点设立标明监督区的标牌；</w:t>
            </w:r>
          </w:p>
          <w:p w14:paraId="55A7DBB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（3）</w:t>
            </w:r>
            <w:r>
              <w:rPr>
                <w:rFonts w:hint="default" w:ascii="Times New Roman" w:hAnsi="Times New Roman" w:eastAsia="宋体" w:cs="Times New Roman"/>
                <w:color w:val="auto"/>
                <w:spacing w:val="0"/>
                <w:position w:val="0"/>
              </w:rPr>
              <w:t>定期审查该区的条件，以确定是否需要采取防护措施和做出安全规定， 或是否需要更改监督区的边界。</w:t>
            </w:r>
          </w:p>
          <w:p w14:paraId="672C6ED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rPr>
              <w:t>为了便于加强管理，切实做好辐射安全防范工作，本次环评结合现场实际将DSA介入室</w:t>
            </w:r>
            <w:r>
              <w:rPr>
                <w:rFonts w:hint="default" w:ascii="Times New Roman" w:hAnsi="Times New Roman" w:eastAsia="宋体" w:cs="Times New Roman"/>
                <w:color w:val="auto"/>
                <w:spacing w:val="0"/>
                <w:position w:val="0"/>
                <w:lang w:val="en-US" w:eastAsia="zh-CN"/>
              </w:rPr>
              <w:t>机房</w:t>
            </w:r>
            <w:r>
              <w:rPr>
                <w:rFonts w:hint="default" w:ascii="Times New Roman" w:hAnsi="Times New Roman" w:eastAsia="宋体" w:cs="Times New Roman"/>
                <w:color w:val="auto"/>
                <w:spacing w:val="0"/>
                <w:position w:val="0"/>
              </w:rPr>
              <w:t>作为</w:t>
            </w:r>
            <w:r>
              <w:rPr>
                <w:rFonts w:hint="default" w:ascii="Times New Roman" w:hAnsi="Times New Roman" w:eastAsia="宋体" w:cs="Times New Roman"/>
                <w:color w:val="auto"/>
                <w:spacing w:val="0"/>
                <w:position w:val="0"/>
                <w:highlight w:val="none"/>
              </w:rPr>
              <w:t>辐射防护控制区，将控制室、</w:t>
            </w:r>
            <w:r>
              <w:rPr>
                <w:rFonts w:hint="default" w:ascii="Times New Roman" w:hAnsi="Times New Roman" w:eastAsia="宋体" w:cs="Times New Roman"/>
                <w:color w:val="auto"/>
                <w:spacing w:val="0"/>
                <w:position w:val="0"/>
                <w:highlight w:val="none"/>
                <w:lang w:val="en-US" w:eastAsia="zh-CN"/>
              </w:rPr>
              <w:t>机房相邻的洁净通道和污物通道、16号手术室、设备间处</w:t>
            </w:r>
            <w:r>
              <w:rPr>
                <w:rFonts w:hint="default" w:ascii="Times New Roman" w:hAnsi="Times New Roman" w:eastAsia="宋体" w:cs="Times New Roman"/>
                <w:color w:val="auto"/>
                <w:spacing w:val="0"/>
                <w:position w:val="0"/>
                <w:highlight w:val="none"/>
              </w:rPr>
              <w:t>划为辐射防护监督区</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本项目控制区与监督区的划分见图10-1。</w:t>
            </w:r>
          </w:p>
          <w:p w14:paraId="185385B3">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pacing w:val="0"/>
                <w:position w:val="0"/>
                <w:highlight w:val="none"/>
                <w:lang w:eastAsia="zh-CN"/>
              </w:rPr>
            </w:pPr>
            <w:r>
              <w:rPr>
                <w:rFonts w:hint="default" w:ascii="Times New Roman" w:hAnsi="Times New Roman" w:eastAsia="宋体" w:cs="Times New Roman"/>
                <w:color w:val="auto"/>
                <w:spacing w:val="0"/>
                <w:position w:val="0"/>
                <w:highlight w:val="none"/>
                <w:lang w:eastAsia="zh-CN"/>
              </w:rPr>
              <w:drawing>
                <wp:inline distT="0" distB="0" distL="114300" distR="114300">
                  <wp:extent cx="5068570" cy="4254500"/>
                  <wp:effectExtent l="0" t="0" r="17780" b="12700"/>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39"/>
                          <a:stretch>
                            <a:fillRect/>
                          </a:stretch>
                        </pic:blipFill>
                        <pic:spPr>
                          <a:xfrm>
                            <a:off x="0" y="0"/>
                            <a:ext cx="5068570" cy="4254500"/>
                          </a:xfrm>
                          <a:prstGeom prst="rect">
                            <a:avLst/>
                          </a:prstGeom>
                          <a:noFill/>
                          <a:ln>
                            <a:noFill/>
                          </a:ln>
                        </pic:spPr>
                      </pic:pic>
                    </a:graphicData>
                  </a:graphic>
                </wp:inline>
              </w:drawing>
            </w:r>
          </w:p>
          <w:p w14:paraId="7BC744D5">
            <w:pPr>
              <w:pStyle w:val="6"/>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szCs w:val="21"/>
                <w:highlight w:val="yellow"/>
              </w:rPr>
            </w:pPr>
            <w:bookmarkStart w:id="43" w:name="_Toc13281"/>
            <w:bookmarkStart w:id="44" w:name="_Toc24257"/>
            <w:r>
              <w:rPr>
                <w:rFonts w:hint="default" w:ascii="Times New Roman" w:hAnsi="Times New Roman" w:eastAsia="宋体" w:cs="Times New Roman"/>
                <w:color w:val="auto"/>
                <w:spacing w:val="0"/>
                <w:position w:val="0"/>
              </w:rPr>
              <w:t>图10-1本项目控制区与监督区划分示意图</w:t>
            </w:r>
            <w:bookmarkEnd w:id="43"/>
            <w:bookmarkEnd w:id="44"/>
          </w:p>
          <w:p w14:paraId="2458E05C">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两区划分防治措施：</w:t>
            </w:r>
          </w:p>
          <w:p w14:paraId="324FAB3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控制区：</w:t>
            </w:r>
          </w:p>
          <w:p w14:paraId="1CDF1FE9">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①在患者通道防护门、医护通道防护门和</w:t>
            </w:r>
            <w:r>
              <w:rPr>
                <w:rFonts w:hint="default" w:ascii="Times New Roman" w:hAnsi="Times New Roman" w:eastAsia="宋体" w:cs="Times New Roman"/>
                <w:color w:val="auto"/>
                <w:spacing w:val="0"/>
                <w:position w:val="0"/>
                <w:lang w:eastAsia="zh-CN"/>
              </w:rPr>
              <w:t>污物通道</w:t>
            </w:r>
            <w:r>
              <w:rPr>
                <w:rFonts w:hint="default" w:ascii="Times New Roman" w:hAnsi="Times New Roman" w:eastAsia="宋体" w:cs="Times New Roman"/>
                <w:color w:val="auto"/>
                <w:spacing w:val="0"/>
                <w:position w:val="0"/>
              </w:rPr>
              <w:t>防护门上设置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当心</w:t>
            </w:r>
            <w:r>
              <w:rPr>
                <w:rFonts w:hint="default" w:ascii="Times New Roman" w:hAnsi="Times New Roman" w:eastAsia="宋体" w:cs="Times New Roman"/>
                <w:color w:val="auto"/>
                <w:spacing w:val="0"/>
                <w:position w:val="0"/>
                <w:lang w:val="en-US" w:eastAsia="zh-CN"/>
              </w:rPr>
              <w:t>电</w:t>
            </w:r>
            <w:r>
              <w:rPr>
                <w:rFonts w:hint="default" w:ascii="Times New Roman" w:hAnsi="Times New Roman" w:eastAsia="宋体" w:cs="Times New Roman"/>
                <w:color w:val="auto"/>
                <w:spacing w:val="0"/>
                <w:position w:val="0"/>
              </w:rPr>
              <w:t>离辐射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警告标志。电离辐射警告标志须符合《电离辐射防护与辐射源安全基本标准》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附录F要求；</w:t>
            </w:r>
          </w:p>
          <w:p w14:paraId="3F5648C1">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②进入控制区设置门禁，限制人员进、出控制区；</w:t>
            </w:r>
          </w:p>
          <w:p w14:paraId="5B467BA1">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③定期审查控制区的实际状况，改善防护手段或安全措施或该</w:t>
            </w:r>
            <w:r>
              <w:rPr>
                <w:rFonts w:hint="default" w:ascii="Times New Roman" w:hAnsi="Times New Roman" w:eastAsia="宋体" w:cs="Times New Roman"/>
                <w:color w:val="auto"/>
                <w:spacing w:val="0"/>
                <w:position w:val="0"/>
                <w:lang w:eastAsia="zh-CN"/>
              </w:rPr>
              <w:t>区域</w:t>
            </w:r>
            <w:r>
              <w:rPr>
                <w:rFonts w:hint="default" w:ascii="Times New Roman" w:hAnsi="Times New Roman" w:eastAsia="宋体" w:cs="Times New Roman"/>
                <w:color w:val="auto"/>
                <w:spacing w:val="0"/>
                <w:position w:val="0"/>
              </w:rPr>
              <w:t>的边界。</w:t>
            </w:r>
          </w:p>
          <w:p w14:paraId="3BE210D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④按需要在控制区的入口处提供防护衣具、监测设备和个人衣物储存柜；</w:t>
            </w:r>
          </w:p>
          <w:p w14:paraId="28F97132">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⑤定期审查控制区的实际状况，以确定是否有必要改变该区的防护手段或安全措施</w:t>
            </w:r>
            <w:r>
              <w:rPr>
                <w:rFonts w:hint="default" w:ascii="Times New Roman" w:hAnsi="Times New Roman" w:eastAsia="宋体" w:cs="Times New Roman"/>
                <w:color w:val="auto"/>
                <w:spacing w:val="0"/>
                <w:position w:val="0"/>
                <w:lang w:eastAsia="zh-CN"/>
              </w:rPr>
              <w:t>；</w:t>
            </w:r>
          </w:p>
          <w:p w14:paraId="5CBDE51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⑥</w:t>
            </w:r>
            <w:r>
              <w:rPr>
                <w:rFonts w:hint="default" w:ascii="Times New Roman" w:hAnsi="Times New Roman" w:eastAsia="宋体" w:cs="Times New Roman"/>
                <w:color w:val="auto"/>
                <w:spacing w:val="0"/>
                <w:position w:val="0"/>
              </w:rPr>
              <w:t>职业人员须穿戴铅防护服等防护用品在控制区内进行介入手术，以避免造成不必要的照射。</w:t>
            </w:r>
          </w:p>
          <w:p w14:paraId="1758A437">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监督区：</w:t>
            </w:r>
          </w:p>
          <w:p w14:paraId="25BD0481">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①以黄线警示监督区的边界，并在醒目的位置设置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当心电离辐射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警告标志；</w:t>
            </w:r>
          </w:p>
          <w:p w14:paraId="21A1472E">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②在监督区的入口处张贴监督区的标识标牌；</w:t>
            </w:r>
          </w:p>
          <w:p w14:paraId="211C837E">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③定期检查该区的条件，以确定是否需要采取防护措施和做出安全规定，或是否需要更改监督区的边界；</w:t>
            </w:r>
          </w:p>
          <w:p w14:paraId="2FDD9FA5">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建设单位应严格按照《电离辐射防护与辐射源安全基本标准》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的要求，结合医院实际情况，加强控制区和监督区的监管。</w:t>
            </w:r>
          </w:p>
          <w:p w14:paraId="01193BE2">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本次环评中结合项目诊治、辐射防护和环境情况特点，将DSA</w:t>
            </w:r>
            <w:r>
              <w:rPr>
                <w:rFonts w:hint="default" w:ascii="Times New Roman" w:hAnsi="Times New Roman" w:eastAsia="宋体" w:cs="Times New Roman"/>
                <w:color w:val="auto"/>
                <w:spacing w:val="0"/>
                <w:position w:val="0"/>
                <w:lang w:val="en-US" w:eastAsia="zh-CN"/>
              </w:rPr>
              <w:t>介入室</w:t>
            </w:r>
            <w:r>
              <w:rPr>
                <w:rFonts w:hint="default" w:ascii="Times New Roman" w:hAnsi="Times New Roman" w:eastAsia="宋体" w:cs="Times New Roman"/>
                <w:color w:val="auto"/>
                <w:spacing w:val="0"/>
                <w:position w:val="0"/>
              </w:rPr>
              <w:t>划为控制区，控制室及其他</w:t>
            </w:r>
            <w:r>
              <w:rPr>
                <w:rFonts w:hint="default" w:ascii="Times New Roman" w:hAnsi="Times New Roman" w:eastAsia="宋体" w:cs="Times New Roman"/>
                <w:color w:val="auto"/>
                <w:spacing w:val="0"/>
                <w:position w:val="0"/>
                <w:lang w:val="en-US" w:eastAsia="zh-CN"/>
              </w:rPr>
              <w:t>相关区域</w:t>
            </w:r>
            <w:r>
              <w:rPr>
                <w:rFonts w:hint="default" w:ascii="Times New Roman" w:hAnsi="Times New Roman" w:eastAsia="宋体" w:cs="Times New Roman"/>
                <w:color w:val="auto"/>
                <w:spacing w:val="0"/>
                <w:position w:val="0"/>
              </w:rPr>
              <w:t>划为监督区。两区划分采取的防治措施包括：控制区入口处设置工作信号指示灯和电离辐射警示标志，机器处于工作状态时，工作指示灯运行以警示不得进入控制区。在监督区设立警告标识和标牌</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对</w:t>
            </w:r>
            <w:r>
              <w:rPr>
                <w:rFonts w:hint="default" w:ascii="Times New Roman" w:hAnsi="Times New Roman" w:eastAsia="宋体" w:cs="Times New Roman"/>
                <w:color w:val="auto"/>
                <w:spacing w:val="0"/>
                <w:position w:val="0"/>
                <w:lang w:eastAsia="zh-CN"/>
              </w:rPr>
              <w:t>该区定期检查，</w:t>
            </w:r>
            <w:r>
              <w:rPr>
                <w:rFonts w:hint="default" w:ascii="Times New Roman" w:hAnsi="Times New Roman" w:eastAsia="宋体" w:cs="Times New Roman"/>
                <w:color w:val="auto"/>
                <w:spacing w:val="0"/>
                <w:position w:val="0"/>
                <w:lang w:val="en-US" w:eastAsia="zh-CN"/>
              </w:rPr>
              <w:t>在运行期须加强对上述</w:t>
            </w:r>
            <w:r>
              <w:rPr>
                <w:rFonts w:hint="eastAsia" w:cs="Times New Roman"/>
                <w:color w:val="auto"/>
                <w:spacing w:val="0"/>
                <w:position w:val="0"/>
                <w:lang w:val="en-US" w:eastAsia="zh-CN"/>
              </w:rPr>
              <w:t>控制区、监督区</w:t>
            </w:r>
            <w:r>
              <w:rPr>
                <w:rFonts w:hint="default" w:ascii="Times New Roman" w:hAnsi="Times New Roman" w:eastAsia="宋体" w:cs="Times New Roman"/>
                <w:color w:val="auto"/>
                <w:spacing w:val="0"/>
                <w:position w:val="0"/>
                <w:lang w:val="en-US" w:eastAsia="zh-CN"/>
              </w:rPr>
              <w:t>的定期监测、年度监测和验收监测，发现问题及时处理</w:t>
            </w:r>
            <w:r>
              <w:rPr>
                <w:rFonts w:hint="default" w:ascii="Times New Roman" w:hAnsi="Times New Roman" w:eastAsia="宋体" w:cs="Times New Roman"/>
                <w:color w:val="auto"/>
                <w:spacing w:val="0"/>
                <w:position w:val="0"/>
              </w:rPr>
              <w:t>。</w:t>
            </w:r>
          </w:p>
          <w:p w14:paraId="27188FA4">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项目人流物流遵循，医患分开、清污分开原则。</w:t>
            </w:r>
          </w:p>
          <w:p w14:paraId="42450BD6">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人员路径规划：</w:t>
            </w:r>
          </w:p>
          <w:p w14:paraId="6F61B729">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lang w:val="en-US" w:eastAsia="zh-CN"/>
              </w:rPr>
            </w:pPr>
            <w:r>
              <w:rPr>
                <w:rFonts w:hint="default" w:ascii="Times New Roman" w:hAnsi="Times New Roman" w:eastAsia="宋体" w:cs="Times New Roman"/>
                <w:b w:val="0"/>
                <w:bCs w:val="0"/>
                <w:color w:val="auto"/>
                <w:spacing w:val="0"/>
                <w:position w:val="0"/>
                <w:lang w:val="en-US" w:eastAsia="zh-CN"/>
              </w:rPr>
              <w:t>医护人员通道：本项目DSA医务人员由三楼进入男更衣室或女更衣室分别更衣，做完术前清洗准备后由三楼医生通道进入五楼，后通过清洁通道进入控制室，减影手术医生在控制室内操作，透视手术则由介入手术医生由控制室铅门进入DSA介入室进行手术，出则原路返回。</w:t>
            </w:r>
          </w:p>
          <w:p w14:paraId="27F48645">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lang w:val="en-US" w:eastAsia="zh-CN"/>
              </w:rPr>
              <w:t>患者通道：患者通过五楼患者通道进入换车区等候，再进入DSA介入室进行手术，手术结束后离开介入室进入麻醉恢复区复苏，复苏后沿洁净通道离院。DSA介入室患者入口铅门大门由控制室内医生控制开关，避免人员误入。患者通道的宽度满足病人手推车辆的通行，便于行动不便的患者治疗</w:t>
            </w:r>
            <w:r>
              <w:rPr>
                <w:rFonts w:hint="default" w:ascii="Times New Roman" w:hAnsi="Times New Roman" w:eastAsia="宋体" w:cs="Times New Roman"/>
                <w:b w:val="0"/>
                <w:bCs w:val="0"/>
                <w:color w:val="auto"/>
                <w:spacing w:val="0"/>
                <w:position w:val="0"/>
              </w:rPr>
              <w:t>。</w:t>
            </w:r>
          </w:p>
          <w:p w14:paraId="4C5F9F89">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（2）物品流向路径规划：</w:t>
            </w:r>
          </w:p>
          <w:p w14:paraId="36C2B3E0">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污物通道：污物通过</w:t>
            </w:r>
            <w:r>
              <w:rPr>
                <w:rFonts w:hint="default" w:ascii="Times New Roman" w:hAnsi="Times New Roman" w:eastAsia="宋体" w:cs="Times New Roman"/>
                <w:b w:val="0"/>
                <w:bCs w:val="0"/>
                <w:color w:val="auto"/>
                <w:spacing w:val="0"/>
                <w:position w:val="0"/>
                <w:lang w:eastAsia="zh-CN"/>
              </w:rPr>
              <w:t>DSA</w:t>
            </w:r>
            <w:r>
              <w:rPr>
                <w:rFonts w:hint="default" w:ascii="Times New Roman" w:hAnsi="Times New Roman" w:eastAsia="宋体" w:cs="Times New Roman"/>
                <w:b w:val="0"/>
                <w:bCs w:val="0"/>
                <w:color w:val="auto"/>
                <w:spacing w:val="0"/>
                <w:position w:val="0"/>
                <w:lang w:val="en-US" w:eastAsia="zh-CN"/>
              </w:rPr>
              <w:t>手术室</w:t>
            </w:r>
            <w:r>
              <w:rPr>
                <w:rFonts w:hint="default" w:ascii="Times New Roman" w:hAnsi="Times New Roman" w:eastAsia="宋体" w:cs="Times New Roman"/>
                <w:b w:val="0"/>
                <w:bCs w:val="0"/>
                <w:color w:val="auto"/>
                <w:spacing w:val="0"/>
                <w:position w:val="0"/>
              </w:rPr>
              <w:t>内的医废收集桶收集，</w:t>
            </w:r>
            <w:r>
              <w:rPr>
                <w:rFonts w:hint="default" w:ascii="Times New Roman" w:hAnsi="Times New Roman" w:eastAsia="宋体" w:cs="Times New Roman"/>
                <w:b w:val="0"/>
                <w:bCs w:val="0"/>
                <w:color w:val="auto"/>
                <w:spacing w:val="0"/>
                <w:position w:val="0"/>
                <w:lang w:val="en-US" w:eastAsia="zh-CN"/>
              </w:rPr>
              <w:t>当手术结束后由南侧污物通道运至污物打包间暂存，后从污梯由工作人员运至院内的医疗废物暂存间内委托曲靖银发危险废物集中处置中心有限公司处置</w:t>
            </w:r>
            <w:r>
              <w:rPr>
                <w:rFonts w:hint="default" w:ascii="Times New Roman" w:hAnsi="Times New Roman" w:eastAsia="宋体" w:cs="Times New Roman"/>
                <w:b w:val="0"/>
                <w:bCs w:val="0"/>
                <w:color w:val="auto"/>
                <w:spacing w:val="0"/>
                <w:position w:val="0"/>
              </w:rPr>
              <w:t>。</w:t>
            </w:r>
          </w:p>
          <w:p w14:paraId="0B0C2835">
            <w:pPr>
              <w:keepNext w:val="0"/>
              <w:keepLines w:val="0"/>
              <w:suppressLineNumbers w:val="0"/>
              <w:spacing w:before="0" w:beforeAutospacing="0" w:after="0" w:afterAutospacing="0"/>
              <w:ind w:left="0" w:right="0" w:firstLine="482"/>
              <w:rPr>
                <w:rFonts w:hint="default" w:ascii="Times New Roman" w:hAnsi="Times New Roman" w:eastAsia="宋体" w:cs="Times New Roman"/>
                <w:b w:val="0"/>
                <w:bCs w:val="0"/>
                <w:color w:val="auto"/>
                <w:spacing w:val="0"/>
                <w:position w:val="0"/>
              </w:rPr>
            </w:pPr>
            <w:r>
              <w:rPr>
                <w:rFonts w:hint="default" w:ascii="Times New Roman" w:hAnsi="Times New Roman" w:eastAsia="宋体" w:cs="Times New Roman"/>
                <w:b w:val="0"/>
                <w:bCs w:val="0"/>
                <w:color w:val="auto"/>
                <w:spacing w:val="0"/>
                <w:position w:val="0"/>
              </w:rPr>
              <w:t>项目涉及的人流和物流的路径规划见</w:t>
            </w:r>
            <w:r>
              <w:rPr>
                <w:rFonts w:hint="default" w:ascii="Times New Roman" w:hAnsi="Times New Roman" w:eastAsia="宋体" w:cs="Times New Roman"/>
                <w:b w:val="0"/>
                <w:bCs w:val="0"/>
                <w:color w:val="auto"/>
                <w:spacing w:val="0"/>
                <w:position w:val="0"/>
                <w:lang w:val="en-US" w:eastAsia="zh-CN"/>
              </w:rPr>
              <w:t>附图</w:t>
            </w:r>
            <w:r>
              <w:rPr>
                <w:rFonts w:hint="eastAsia" w:cs="Times New Roman"/>
                <w:b w:val="0"/>
                <w:bCs w:val="0"/>
                <w:color w:val="auto"/>
                <w:spacing w:val="0"/>
                <w:position w:val="0"/>
                <w:lang w:val="en-US" w:eastAsia="zh-CN"/>
              </w:rPr>
              <w:t>9</w:t>
            </w:r>
            <w:r>
              <w:rPr>
                <w:rFonts w:hint="default" w:ascii="Times New Roman" w:hAnsi="Times New Roman" w:eastAsia="宋体" w:cs="Times New Roman"/>
                <w:b w:val="0"/>
                <w:bCs w:val="0"/>
                <w:color w:val="auto"/>
                <w:spacing w:val="0"/>
                <w:position w:val="0"/>
              </w:rPr>
              <w:t>。本项目设计的DSA工作场所设置了医</w:t>
            </w:r>
            <w:r>
              <w:rPr>
                <w:rFonts w:hint="default" w:ascii="Times New Roman" w:hAnsi="Times New Roman" w:eastAsia="宋体" w:cs="Times New Roman"/>
                <w:b w:val="0"/>
                <w:bCs w:val="0"/>
                <w:color w:val="auto"/>
                <w:spacing w:val="0"/>
                <w:position w:val="0"/>
                <w:lang w:val="en-US" w:eastAsia="zh-CN"/>
              </w:rPr>
              <w:t>护</w:t>
            </w:r>
            <w:r>
              <w:rPr>
                <w:rFonts w:hint="default" w:ascii="Times New Roman" w:hAnsi="Times New Roman" w:eastAsia="宋体" w:cs="Times New Roman"/>
                <w:b w:val="0"/>
                <w:bCs w:val="0"/>
                <w:color w:val="auto"/>
                <w:spacing w:val="0"/>
                <w:position w:val="0"/>
              </w:rPr>
              <w:t>人员通道、患者通道和污物通道，各个通道相互独立。设有独立的门和路线，有利于介入手术室的洁净管理，</w:t>
            </w:r>
            <w:r>
              <w:rPr>
                <w:rFonts w:hint="default" w:ascii="Times New Roman" w:hAnsi="Times New Roman" w:eastAsia="宋体" w:cs="Times New Roman"/>
                <w:b w:val="0"/>
                <w:bCs w:val="0"/>
                <w:color w:val="auto"/>
                <w:spacing w:val="0"/>
                <w:position w:val="0"/>
                <w:lang w:eastAsia="zh-CN"/>
              </w:rPr>
              <w:t>有利于</w:t>
            </w:r>
            <w:r>
              <w:rPr>
                <w:rFonts w:hint="default" w:ascii="Times New Roman" w:hAnsi="Times New Roman" w:eastAsia="宋体" w:cs="Times New Roman"/>
                <w:b w:val="0"/>
                <w:bCs w:val="0"/>
                <w:color w:val="auto"/>
                <w:spacing w:val="0"/>
                <w:position w:val="0"/>
              </w:rPr>
              <w:t>人流、物流合理规划路线，避免交叉污染。项目路径规划符合辐射防护最优化的要求，医生、患者和污物在DSA介入室的运行路线见</w:t>
            </w:r>
            <w:r>
              <w:rPr>
                <w:rFonts w:hint="default" w:ascii="Times New Roman" w:hAnsi="Times New Roman" w:eastAsia="宋体" w:cs="Times New Roman"/>
                <w:b w:val="0"/>
                <w:bCs w:val="0"/>
                <w:color w:val="auto"/>
                <w:spacing w:val="0"/>
                <w:position w:val="0"/>
                <w:lang w:val="en-US" w:eastAsia="zh-CN"/>
              </w:rPr>
              <w:t>图10-2</w:t>
            </w:r>
            <w:r>
              <w:rPr>
                <w:rFonts w:hint="default" w:ascii="Times New Roman" w:hAnsi="Times New Roman" w:eastAsia="宋体" w:cs="Times New Roman"/>
                <w:b w:val="0"/>
                <w:bCs w:val="0"/>
                <w:color w:val="auto"/>
                <w:spacing w:val="0"/>
                <w:position w:val="0"/>
              </w:rPr>
              <w:t>。</w:t>
            </w:r>
          </w:p>
          <w:p w14:paraId="757D2C0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0"/>
                <w:position w:val="0"/>
                <w:lang w:eastAsia="zh-CN"/>
              </w:rPr>
            </w:pPr>
            <w:r>
              <w:rPr>
                <w:rFonts w:hint="default" w:ascii="Times New Roman" w:hAnsi="Times New Roman" w:eastAsia="宋体" w:cs="Times New Roman"/>
                <w:b w:val="0"/>
                <w:bCs w:val="0"/>
                <w:color w:val="auto"/>
                <w:spacing w:val="0"/>
                <w:position w:val="0"/>
                <w:lang w:eastAsia="zh-CN"/>
              </w:rPr>
              <w:drawing>
                <wp:inline distT="0" distB="0" distL="114300" distR="114300">
                  <wp:extent cx="5485765" cy="2698115"/>
                  <wp:effectExtent l="0" t="0" r="635" b="6985"/>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40"/>
                          <a:stretch>
                            <a:fillRect/>
                          </a:stretch>
                        </pic:blipFill>
                        <pic:spPr>
                          <a:xfrm>
                            <a:off x="0" y="0"/>
                            <a:ext cx="5485765" cy="2698115"/>
                          </a:xfrm>
                          <a:prstGeom prst="rect">
                            <a:avLst/>
                          </a:prstGeom>
                          <a:noFill/>
                          <a:ln>
                            <a:noFill/>
                          </a:ln>
                        </pic:spPr>
                      </pic:pic>
                    </a:graphicData>
                  </a:graphic>
                </wp:inline>
              </w:drawing>
            </w:r>
          </w:p>
          <w:p w14:paraId="3D102C63">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图10-2医护通道、患者通道和污物路线图</w:t>
            </w:r>
          </w:p>
          <w:p w14:paraId="65637000">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二、场所设计屏蔽措施</w:t>
            </w:r>
          </w:p>
          <w:p w14:paraId="606BCB1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X射线的基本防护原则是加以必要的屏蔽、减少照射时间及远离射线源。本项目对外照射的防护方法主要有源项控制法和屏蔽防护。</w:t>
            </w:r>
          </w:p>
          <w:p w14:paraId="0561558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根据《放射诊断放射防护要求》（GBZ130-2020）中规定了各种射线装置的辐射屏蔽要求及机房要求，其中关于介入X射线设备机房屏蔽及机房规定要求见表10-1。</w:t>
            </w:r>
          </w:p>
          <w:p w14:paraId="43407CB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Cs w:val="21"/>
              </w:rPr>
            </w:pPr>
            <w:r>
              <w:rPr>
                <w:rFonts w:hint="default" w:ascii="Times New Roman" w:hAnsi="Times New Roman" w:eastAsia="宋体" w:cs="Times New Roman"/>
                <w:b/>
                <w:color w:val="auto"/>
                <w:spacing w:val="0"/>
                <w:position w:val="0"/>
                <w:sz w:val="21"/>
                <w:szCs w:val="18"/>
              </w:rPr>
              <w:t>表10-1介入X射线设备机房的防护要求</w:t>
            </w:r>
          </w:p>
          <w:tbl>
            <w:tblPr>
              <w:tblStyle w:val="20"/>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230"/>
              <w:gridCol w:w="1483"/>
              <w:gridCol w:w="1746"/>
              <w:gridCol w:w="1743"/>
              <w:gridCol w:w="1741"/>
            </w:tblGrid>
            <w:tr w14:paraId="617B0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246" w:type="pct"/>
                  <w:tcBorders>
                    <w:tl2br w:val="nil"/>
                    <w:tr2bl w:val="nil"/>
                  </w:tcBorders>
                  <w:noWrap w:val="0"/>
                  <w:vAlign w:val="center"/>
                </w:tcPr>
                <w:p w14:paraId="10938D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机房类</w:t>
                  </w:r>
                </w:p>
              </w:tc>
              <w:tc>
                <w:tcPr>
                  <w:tcW w:w="829" w:type="pct"/>
                  <w:tcBorders>
                    <w:tl2br w:val="nil"/>
                    <w:tr2bl w:val="nil"/>
                  </w:tcBorders>
                  <w:noWrap w:val="0"/>
                  <w:vAlign w:val="center"/>
                </w:tcPr>
                <w:p w14:paraId="05107FC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有用线束方向铅当量</w:t>
                  </w:r>
                  <w:r>
                    <w:rPr>
                      <w:rFonts w:hint="default" w:ascii="Times New Roman" w:hAnsi="Times New Roman" w:eastAsia="宋体" w:cs="Times New Roman"/>
                      <w:b/>
                      <w:color w:val="auto"/>
                      <w:spacing w:val="0"/>
                      <w:position w:val="0"/>
                      <w:sz w:val="21"/>
                      <w:szCs w:val="21"/>
                    </w:rPr>
                    <w:cr/>
                  </w:r>
                  <w:r>
                    <w:rPr>
                      <w:rFonts w:hint="default" w:ascii="Times New Roman" w:hAnsi="Times New Roman" w:eastAsia="宋体" w:cs="Times New Roman"/>
                      <w:b/>
                      <w:color w:val="auto"/>
                      <w:spacing w:val="0"/>
                      <w:position w:val="0"/>
                      <w:sz w:val="21"/>
                      <w:szCs w:val="21"/>
                    </w:rPr>
                    <w:t>mm）</w:t>
                  </w:r>
                </w:p>
              </w:tc>
              <w:tc>
                <w:tcPr>
                  <w:tcW w:w="976" w:type="pct"/>
                  <w:tcBorders>
                    <w:tl2br w:val="nil"/>
                    <w:tr2bl w:val="nil"/>
                  </w:tcBorders>
                  <w:noWrap w:val="0"/>
                  <w:vAlign w:val="center"/>
                </w:tcPr>
                <w:p w14:paraId="2B48C0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非用线束方</w:t>
                  </w:r>
                  <w:r>
                    <w:rPr>
                      <w:rFonts w:hint="default" w:ascii="Times New Roman" w:hAnsi="Times New Roman" w:eastAsia="宋体" w:cs="Times New Roman"/>
                      <w:b/>
                      <w:color w:val="auto"/>
                      <w:spacing w:val="0"/>
                      <w:position w:val="0"/>
                      <w:sz w:val="21"/>
                      <w:szCs w:val="21"/>
                    </w:rPr>
                    <w:cr/>
                  </w:r>
                  <w:r>
                    <w:rPr>
                      <w:rFonts w:hint="default" w:ascii="Times New Roman" w:hAnsi="Times New Roman" w:eastAsia="宋体" w:cs="Times New Roman"/>
                      <w:b/>
                      <w:color w:val="auto"/>
                      <w:spacing w:val="0"/>
                      <w:position w:val="0"/>
                      <w:sz w:val="21"/>
                      <w:szCs w:val="21"/>
                    </w:rPr>
                    <w:t>铅当量（mm）</w:t>
                  </w:r>
                </w:p>
              </w:tc>
              <w:tc>
                <w:tcPr>
                  <w:tcW w:w="974" w:type="pct"/>
                  <w:tcBorders>
                    <w:tl2br w:val="nil"/>
                    <w:tr2bl w:val="nil"/>
                  </w:tcBorders>
                  <w:noWrap w:val="0"/>
                  <w:vAlign w:val="center"/>
                </w:tcPr>
                <w:p w14:paraId="3D294A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机房内最小有效使用面积（m</w:t>
                  </w:r>
                  <w:r>
                    <w:rPr>
                      <w:rFonts w:hint="default" w:ascii="Times New Roman" w:hAnsi="Times New Roman" w:eastAsia="宋体" w:cs="Times New Roman"/>
                      <w:b/>
                      <w:color w:val="auto"/>
                      <w:spacing w:val="0"/>
                      <w:position w:val="0"/>
                      <w:sz w:val="21"/>
                      <w:szCs w:val="21"/>
                      <w:vertAlign w:val="superscript"/>
                    </w:rPr>
                    <w:t>2</w:t>
                  </w:r>
                  <w:r>
                    <w:rPr>
                      <w:rFonts w:hint="default" w:ascii="Times New Roman" w:hAnsi="Times New Roman" w:eastAsia="宋体" w:cs="Times New Roman"/>
                      <w:b/>
                      <w:color w:val="auto"/>
                      <w:spacing w:val="0"/>
                      <w:position w:val="0"/>
                      <w:sz w:val="21"/>
                      <w:szCs w:val="21"/>
                    </w:rPr>
                    <w:t>）</w:t>
                  </w:r>
                </w:p>
              </w:tc>
              <w:tc>
                <w:tcPr>
                  <w:tcW w:w="973" w:type="pct"/>
                  <w:tcBorders>
                    <w:tl2br w:val="nil"/>
                    <w:tr2bl w:val="nil"/>
                  </w:tcBorders>
                  <w:noWrap w:val="0"/>
                  <w:vAlign w:val="center"/>
                </w:tcPr>
                <w:p w14:paraId="7AA2C35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机房内最小单边长度（m）</w:t>
                  </w:r>
                </w:p>
              </w:tc>
            </w:tr>
            <w:tr w14:paraId="7166F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246" w:type="pct"/>
                  <w:tcBorders>
                    <w:tl2br w:val="nil"/>
                    <w:tr2bl w:val="nil"/>
                  </w:tcBorders>
                  <w:noWrap w:val="0"/>
                  <w:vAlign w:val="center"/>
                </w:tcPr>
                <w:p w14:paraId="610E77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C形臂X射线设备机房</w:t>
                  </w:r>
                </w:p>
              </w:tc>
              <w:tc>
                <w:tcPr>
                  <w:tcW w:w="829" w:type="pct"/>
                  <w:tcBorders>
                    <w:tl2br w:val="nil"/>
                    <w:tr2bl w:val="nil"/>
                  </w:tcBorders>
                  <w:noWrap w:val="0"/>
                  <w:vAlign w:val="center"/>
                </w:tcPr>
                <w:p w14:paraId="51AD6B1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2</w:t>
                  </w:r>
                </w:p>
              </w:tc>
              <w:tc>
                <w:tcPr>
                  <w:tcW w:w="976" w:type="pct"/>
                  <w:tcBorders>
                    <w:tl2br w:val="nil"/>
                    <w:tr2bl w:val="nil"/>
                  </w:tcBorders>
                  <w:noWrap w:val="0"/>
                  <w:vAlign w:val="center"/>
                </w:tcPr>
                <w:p w14:paraId="01616B0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2</w:t>
                  </w:r>
                </w:p>
              </w:tc>
              <w:tc>
                <w:tcPr>
                  <w:tcW w:w="974" w:type="pct"/>
                  <w:tcBorders>
                    <w:tl2br w:val="nil"/>
                    <w:tr2bl w:val="nil"/>
                  </w:tcBorders>
                  <w:noWrap w:val="0"/>
                  <w:vAlign w:val="center"/>
                </w:tcPr>
                <w:p w14:paraId="559CADF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20</w:t>
                  </w:r>
                </w:p>
              </w:tc>
              <w:tc>
                <w:tcPr>
                  <w:tcW w:w="973" w:type="pct"/>
                  <w:tcBorders>
                    <w:tl2br w:val="nil"/>
                    <w:tr2bl w:val="nil"/>
                  </w:tcBorders>
                  <w:noWrap w:val="0"/>
                  <w:vAlign w:val="center"/>
                </w:tcPr>
                <w:p w14:paraId="1CD805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3.5</w:t>
                  </w:r>
                </w:p>
              </w:tc>
            </w:tr>
          </w:tbl>
          <w:p w14:paraId="563A1DD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rPr>
              <w:t>本项目</w:t>
            </w:r>
            <w:r>
              <w:rPr>
                <w:rFonts w:hint="default" w:ascii="Times New Roman" w:hAnsi="Times New Roman" w:eastAsia="宋体" w:cs="Times New Roman"/>
                <w:bCs/>
                <w:color w:val="auto"/>
                <w:spacing w:val="0"/>
                <w:position w:val="0"/>
              </w:rPr>
              <w:t>DSA</w:t>
            </w:r>
            <w:r>
              <w:rPr>
                <w:rFonts w:hint="default" w:ascii="Times New Roman" w:hAnsi="Times New Roman" w:eastAsia="宋体" w:cs="Times New Roman"/>
                <w:color w:val="auto"/>
                <w:spacing w:val="0"/>
                <w:position w:val="0"/>
                <w:sz w:val="24"/>
                <w:szCs w:val="24"/>
                <w:highlight w:val="none"/>
                <w:lang w:val="en-US" w:eastAsia="zh-CN"/>
              </w:rPr>
              <w:t>建成后的DSA机房的净尺寸为：北面长约8m，南面长约1.5m+0.55m+2.1m+1.15m+</w:t>
            </w:r>
            <w:r>
              <w:rPr>
                <w:rFonts w:hint="eastAsia" w:cs="Times New Roman"/>
                <w:color w:val="auto"/>
                <w:spacing w:val="0"/>
                <w:position w:val="0"/>
                <w:sz w:val="24"/>
                <w:szCs w:val="24"/>
                <w:highlight w:val="none"/>
                <w:lang w:val="en-US" w:eastAsia="zh-CN"/>
              </w:rPr>
              <w:t>4.39m（合计9.69m）</w:t>
            </w:r>
            <w:r>
              <w:rPr>
                <w:rFonts w:hint="default" w:ascii="Times New Roman" w:hAnsi="Times New Roman" w:eastAsia="宋体" w:cs="Times New Roman"/>
                <w:color w:val="auto"/>
                <w:spacing w:val="0"/>
                <w:position w:val="0"/>
                <w:sz w:val="24"/>
                <w:szCs w:val="24"/>
                <w:highlight w:val="none"/>
                <w:lang w:val="en-US" w:eastAsia="zh-CN"/>
              </w:rPr>
              <w:t>，西面长约6m，东面长约7.15m，机房净空高度H高2.8m，有效面积约为48.21m</w:t>
            </w:r>
            <w:r>
              <w:rPr>
                <w:rFonts w:hint="default" w:ascii="Times New Roman" w:hAnsi="Times New Roman" w:eastAsia="宋体" w:cs="Times New Roman"/>
                <w:color w:val="auto"/>
                <w:spacing w:val="0"/>
                <w:position w:val="0"/>
                <w:sz w:val="24"/>
                <w:szCs w:val="24"/>
                <w:highlight w:val="none"/>
                <w:vertAlign w:val="superscript"/>
                <w:lang w:val="en-US" w:eastAsia="zh-CN"/>
              </w:rPr>
              <w:t>2</w:t>
            </w:r>
            <w:r>
              <w:rPr>
                <w:rFonts w:hint="default" w:ascii="Times New Roman" w:hAnsi="Times New Roman" w:eastAsia="宋体" w:cs="Times New Roman"/>
                <w:bCs/>
                <w:color w:val="auto"/>
                <w:spacing w:val="0"/>
                <w:position w:val="0"/>
              </w:rPr>
              <w:t>，最小单边长度为</w:t>
            </w:r>
            <w:r>
              <w:rPr>
                <w:rFonts w:hint="default" w:ascii="Times New Roman" w:hAnsi="Times New Roman" w:eastAsia="宋体" w:cs="Times New Roman"/>
                <w:bCs/>
                <w:color w:val="auto"/>
                <w:spacing w:val="0"/>
                <w:position w:val="0"/>
                <w:lang w:val="en-US" w:eastAsia="zh-CN"/>
              </w:rPr>
              <w:t>6</w:t>
            </w:r>
            <w:r>
              <w:rPr>
                <w:rFonts w:hint="default" w:ascii="Times New Roman" w:hAnsi="Times New Roman" w:eastAsia="宋体" w:cs="Times New Roman"/>
                <w:bCs/>
                <w:color w:val="auto"/>
                <w:spacing w:val="0"/>
                <w:position w:val="0"/>
              </w:rPr>
              <w:t>m</w:t>
            </w:r>
            <w:r>
              <w:rPr>
                <w:rFonts w:hint="default" w:ascii="Times New Roman" w:hAnsi="Times New Roman" w:eastAsia="宋体" w:cs="Times New Roman"/>
                <w:color w:val="auto"/>
                <w:spacing w:val="0"/>
                <w:position w:val="0"/>
                <w:highlight w:val="none"/>
              </w:rPr>
              <w:t>，满足《放射诊断放射防护要求》（GBZ130-2020）中对于单管头X射线设备机房</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最小有效使用面积不低于20m</w:t>
            </w:r>
            <w:r>
              <w:rPr>
                <w:rFonts w:hint="default" w:ascii="Times New Roman" w:hAnsi="Times New Roman" w:eastAsia="宋体" w:cs="Times New Roman"/>
                <w:color w:val="auto"/>
                <w:spacing w:val="0"/>
                <w:position w:val="0"/>
                <w:highlight w:val="none"/>
                <w:vertAlign w:val="superscript"/>
              </w:rPr>
              <w:t>2</w:t>
            </w:r>
            <w:r>
              <w:rPr>
                <w:rFonts w:hint="default" w:ascii="Times New Roman" w:hAnsi="Times New Roman" w:eastAsia="宋体" w:cs="Times New Roman"/>
                <w:color w:val="auto"/>
                <w:spacing w:val="0"/>
                <w:position w:val="0"/>
                <w:highlight w:val="none"/>
              </w:rPr>
              <w:t>，机房内最小单边长度不小于3.5m</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的要求。</w:t>
            </w:r>
          </w:p>
          <w:p w14:paraId="08A5E52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参考《放射诊断放射防护要求》（GBZ130-2020）附录C的</w:t>
            </w:r>
            <w:r>
              <w:rPr>
                <w:rFonts w:hint="eastAsia" w:ascii="Times New Roman" w:hAnsi="Times New Roman" w:eastAsia="宋体" w:cs="Times New Roman"/>
                <w:color w:val="auto"/>
                <w:spacing w:val="0"/>
                <w:position w:val="0"/>
                <w:highlight w:val="none"/>
                <w:lang w:val="en-US" w:eastAsia="zh-CN"/>
              </w:rPr>
              <w:t>C</w:t>
            </w:r>
            <w:r>
              <w:rPr>
                <w:rFonts w:hint="default" w:ascii="Times New Roman" w:hAnsi="Times New Roman" w:eastAsia="宋体" w:cs="Times New Roman"/>
                <w:color w:val="auto"/>
                <w:spacing w:val="0"/>
                <w:position w:val="0"/>
                <w:highlight w:val="none"/>
                <w:lang w:eastAsia="zh-CN"/>
              </w:rPr>
              <w:t>.1</w:t>
            </w:r>
            <w:r>
              <w:rPr>
                <w:rFonts w:hint="default" w:ascii="Times New Roman" w:hAnsi="Times New Roman" w:eastAsia="宋体" w:cs="Times New Roman"/>
                <w:color w:val="auto"/>
                <w:spacing w:val="0"/>
                <w:position w:val="0"/>
                <w:highlight w:val="none"/>
              </w:rPr>
              <w:t>.2中式（</w:t>
            </w:r>
            <w:r>
              <w:rPr>
                <w:rFonts w:hint="default" w:ascii="Times New Roman" w:hAnsi="Times New Roman" w:eastAsia="宋体" w:cs="Times New Roman"/>
                <w:color w:val="auto"/>
                <w:spacing w:val="0"/>
                <w:position w:val="0"/>
                <w:highlight w:val="none"/>
                <w:lang w:eastAsia="zh-CN"/>
              </w:rPr>
              <w:t>10</w:t>
            </w:r>
            <w:r>
              <w:rPr>
                <w:rFonts w:hint="default" w:ascii="Times New Roman" w:hAnsi="Times New Roman" w:eastAsia="宋体" w:cs="Times New Roman"/>
                <w:color w:val="auto"/>
                <w:spacing w:val="0"/>
                <w:position w:val="0"/>
                <w:highlight w:val="none"/>
                <w:lang w:val="en-US" w:eastAsia="zh-CN"/>
              </w:rPr>
              <w:t>-1</w:t>
            </w:r>
            <w:r>
              <w:rPr>
                <w:rFonts w:hint="default" w:ascii="Times New Roman" w:hAnsi="Times New Roman" w:eastAsia="宋体" w:cs="Times New Roman"/>
                <w:color w:val="auto"/>
                <w:spacing w:val="0"/>
                <w:position w:val="0"/>
                <w:highlight w:val="none"/>
              </w:rPr>
              <w:t>）及式（</w:t>
            </w:r>
            <w:r>
              <w:rPr>
                <w:rFonts w:hint="default" w:ascii="Times New Roman" w:hAnsi="Times New Roman" w:eastAsia="宋体" w:cs="Times New Roman"/>
                <w:color w:val="auto"/>
                <w:spacing w:val="0"/>
                <w:position w:val="0"/>
                <w:highlight w:val="none"/>
                <w:lang w:eastAsia="zh-CN"/>
              </w:rPr>
              <w:t>10</w:t>
            </w:r>
            <w:r>
              <w:rPr>
                <w:rFonts w:hint="default" w:ascii="Times New Roman" w:hAnsi="Times New Roman" w:eastAsia="宋体" w:cs="Times New Roman"/>
                <w:color w:val="auto"/>
                <w:spacing w:val="0"/>
                <w:position w:val="0"/>
                <w:highlight w:val="none"/>
                <w:lang w:val="en-US" w:eastAsia="zh-CN"/>
              </w:rPr>
              <w:t>-2</w:t>
            </w:r>
            <w:r>
              <w:rPr>
                <w:rFonts w:hint="default" w:ascii="Times New Roman" w:hAnsi="Times New Roman" w:eastAsia="宋体" w:cs="Times New Roman"/>
                <w:color w:val="auto"/>
                <w:spacing w:val="0"/>
                <w:position w:val="0"/>
                <w:highlight w:val="none"/>
              </w:rPr>
              <w:t>）进行等效铅当量厚度的计算。</w:t>
            </w:r>
          </w:p>
          <w:p w14:paraId="55AC22D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auto"/>
                <w:spacing w:val="0"/>
                <w:kern w:val="2"/>
                <w:position w:val="0"/>
                <w:sz w:val="24"/>
                <w:szCs w:val="24"/>
                <w:highlight w:val="none"/>
                <w:lang w:val="en-US" w:eastAsia="zh-CN" w:bidi="ar-SA"/>
              </w:rPr>
            </w:pPr>
            <w:r>
              <w:rPr>
                <w:rFonts w:hint="default" w:ascii="Times New Roman" w:hAnsi="Times New Roman" w:eastAsia="宋体" w:cs="Times New Roman"/>
                <w:b w:val="0"/>
                <w:i w:val="0"/>
                <w:color w:val="auto"/>
                <w:spacing w:val="0"/>
                <w:kern w:val="2"/>
                <w:position w:val="0"/>
                <w:sz w:val="24"/>
                <w:szCs w:val="24"/>
                <w:highlight w:val="none"/>
                <w:lang w:val="en-US" w:eastAsia="zh-CN" w:bidi="ar-SA"/>
              </w:rPr>
              <w:drawing>
                <wp:inline distT="0" distB="0" distL="114300" distR="114300">
                  <wp:extent cx="1533525" cy="542925"/>
                  <wp:effectExtent l="0" t="0" r="0" b="825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41"/>
                          <a:stretch>
                            <a:fillRect/>
                          </a:stretch>
                        </pic:blipFill>
                        <pic:spPr>
                          <a:xfrm>
                            <a:off x="0" y="0"/>
                            <a:ext cx="1533525" cy="542925"/>
                          </a:xfrm>
                          <a:prstGeom prst="rect">
                            <a:avLst/>
                          </a:prstGeom>
                          <a:noFill/>
                          <a:ln>
                            <a:noFill/>
                          </a:ln>
                        </pic:spPr>
                      </pic:pic>
                    </a:graphicData>
                  </a:graphic>
                </wp:inline>
              </w:drawing>
            </w:r>
            <m:oMath>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公式10−1</m:t>
              </m:r>
            </m:oMath>
          </w:p>
          <w:p w14:paraId="6AD2084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eastAsia="zh-CN"/>
              </w:rPr>
            </w:pPr>
            <w:r>
              <w:rPr>
                <w:rFonts w:hint="default" w:ascii="Times New Roman" w:hAnsi="Times New Roman" w:eastAsia="宋体" w:cs="Times New Roman"/>
                <w:color w:val="auto"/>
                <w:spacing w:val="0"/>
                <w:position w:val="0"/>
                <w:highlight w:val="none"/>
              </w:rPr>
              <w:t>式中</w:t>
            </w:r>
            <w:r>
              <w:rPr>
                <w:rFonts w:hint="default" w:ascii="Times New Roman" w:hAnsi="Times New Roman" w:eastAsia="宋体" w:cs="Times New Roman"/>
                <w:color w:val="auto"/>
                <w:spacing w:val="0"/>
                <w:position w:val="0"/>
                <w:highlight w:val="none"/>
                <w:lang w:eastAsia="zh-CN"/>
              </w:rPr>
              <w:t>：</w:t>
            </w:r>
          </w:p>
          <w:p w14:paraId="5907958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B</w:t>
            </w:r>
            <w:r>
              <w:rPr>
                <w:rFonts w:hint="default" w:ascii="Times New Roman" w:hAnsi="Times New Roman" w:eastAsia="宋体" w:cs="Times New Roman"/>
                <w:color w:val="auto"/>
                <w:spacing w:val="0"/>
                <w:position w:val="0"/>
                <w:sz w:val="24"/>
                <w:szCs w:val="24"/>
                <w:lang w:val="en-US" w:eastAsia="zh-CN"/>
              </w:rPr>
              <w:t>——</w:t>
            </w:r>
            <w:r>
              <w:rPr>
                <w:rFonts w:hint="default" w:ascii="Times New Roman" w:hAnsi="Times New Roman" w:eastAsia="宋体" w:cs="Times New Roman"/>
                <w:color w:val="auto"/>
                <w:spacing w:val="0"/>
                <w:position w:val="0"/>
                <w:highlight w:val="none"/>
                <w:lang w:val="en-US" w:eastAsia="zh-CN"/>
              </w:rPr>
              <w:t>给定铅厚度的屏蔽</w:t>
            </w:r>
            <w:r>
              <w:rPr>
                <w:rFonts w:hint="eastAsia" w:ascii="Times New Roman" w:hAnsi="Times New Roman" w:eastAsia="宋体" w:cs="Times New Roman"/>
                <w:color w:val="auto"/>
                <w:spacing w:val="0"/>
                <w:position w:val="0"/>
                <w:highlight w:val="none"/>
                <w:lang w:val="en-US" w:eastAsia="zh-CN"/>
              </w:rPr>
              <w:t>透射因子</w:t>
            </w:r>
            <w:r>
              <w:rPr>
                <w:rFonts w:hint="default" w:ascii="Times New Roman" w:hAnsi="Times New Roman" w:eastAsia="宋体" w:cs="Times New Roman"/>
                <w:color w:val="auto"/>
                <w:spacing w:val="0"/>
                <w:position w:val="0"/>
                <w:highlight w:val="none"/>
                <w:lang w:val="en-US" w:eastAsia="zh-CN"/>
              </w:rPr>
              <w:t>；</w:t>
            </w:r>
          </w:p>
          <w:p w14:paraId="0B32B59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β——铅对不同管电压X射线辐射衰减的有关的拟合参数；</w:t>
            </w:r>
          </w:p>
          <w:p w14:paraId="32CF08D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α——铅对不同管电压X射线辐射衰减的有关的拟合参数；</w:t>
            </w:r>
          </w:p>
          <w:p w14:paraId="71D54C2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γ——铅对不同管电压X射线辐射衰减的有关的拟合参数；</w:t>
            </w:r>
          </w:p>
          <w:p w14:paraId="408644F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X——铅厚度。</w:t>
            </w:r>
          </w:p>
          <w:p w14:paraId="03459625">
            <w:pPr>
              <w:keepNext w:val="0"/>
              <w:keepLines w:val="0"/>
              <w:suppressLineNumbers w:val="0"/>
              <w:spacing w:before="0" w:beforeAutospacing="0" w:after="0" w:afterAutospacing="0"/>
              <w:ind w:left="0" w:right="0"/>
              <w:rPr>
                <w:rFonts w:hint="default" w:ascii="Times New Roman" w:hAnsi="Times New Roman" w:eastAsia="宋体" w:cs="Times New Roman"/>
                <w:i w:val="0"/>
                <w:color w:val="auto"/>
                <w:spacing w:val="0"/>
                <w:kern w:val="2"/>
                <w:position w:val="0"/>
                <w:sz w:val="24"/>
                <w:szCs w:val="24"/>
                <w:highlight w:val="none"/>
                <w:lang w:val="en-US" w:eastAsia="zh-CN" w:bidi="ar-SA"/>
              </w:rPr>
            </w:pPr>
            <m:oMathPara>
              <m:oMath>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X=</m:t>
                </m:r>
                <m:f>
                  <m:fPr>
                    <m:ctrlPr>
                      <w:rPr>
                        <w:rFonts w:hint="default" w:ascii="Cambria Math" w:hAnsi="Cambria Math" w:eastAsia="宋体" w:cs="Times New Roman"/>
                        <w:color w:val="auto"/>
                        <w:spacing w:val="0"/>
                        <w:kern w:val="2"/>
                        <w:position w:val="0"/>
                        <w:sz w:val="24"/>
                        <w:szCs w:val="24"/>
                        <w:highlight w:val="none"/>
                        <w:lang w:val="en-US" w:eastAsia="zh-CN" w:bidi="ar-SA"/>
                      </w:rPr>
                    </m:ctrlPr>
                  </m:fPr>
                  <m:num>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1</m:t>
                    </m:r>
                    <m:ctrlPr>
                      <w:rPr>
                        <w:rFonts w:hint="default" w:ascii="Cambria Math" w:hAnsi="Cambria Math" w:eastAsia="宋体" w:cs="Times New Roman"/>
                        <w:color w:val="auto"/>
                        <w:spacing w:val="0"/>
                        <w:kern w:val="2"/>
                        <w:position w:val="0"/>
                        <w:sz w:val="24"/>
                        <w:szCs w:val="24"/>
                        <w:highlight w:val="none"/>
                        <w:lang w:val="en-US" w:eastAsia="zh-CN" w:bidi="ar-SA"/>
                      </w:rPr>
                    </m:ctrlPr>
                  </m:num>
                  <m:den>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αγ</m:t>
                    </m:r>
                    <m:ctrlPr>
                      <w:rPr>
                        <w:rFonts w:hint="default" w:ascii="Cambria Math" w:hAnsi="Cambria Math" w:eastAsia="宋体" w:cs="Times New Roman"/>
                        <w:color w:val="auto"/>
                        <w:spacing w:val="0"/>
                        <w:kern w:val="2"/>
                        <w:position w:val="0"/>
                        <w:sz w:val="24"/>
                        <w:szCs w:val="24"/>
                        <w:highlight w:val="none"/>
                        <w:lang w:val="en-US" w:eastAsia="zh-CN" w:bidi="ar-SA"/>
                      </w:rPr>
                    </m:ctrlPr>
                  </m:den>
                </m:f>
                <m:func>
                  <m:funcPr>
                    <m:ctrlPr>
                      <w:rPr>
                        <w:rFonts w:hint="default" w:ascii="Cambria Math" w:hAnsi="Cambria Math" w:eastAsia="宋体" w:cs="Times New Roman"/>
                        <w:color w:val="auto"/>
                        <w:spacing w:val="0"/>
                        <w:kern w:val="2"/>
                        <w:position w:val="0"/>
                        <w:sz w:val="24"/>
                        <w:szCs w:val="24"/>
                        <w:highlight w:val="none"/>
                        <w:lang w:val="en-US" w:eastAsia="zh-CN" w:bidi="ar-SA"/>
                      </w:rPr>
                    </m:ctrlPr>
                  </m:funcPr>
                  <m:fName>
                    <m:r>
                      <m:rPr>
                        <m:nor/>
                        <m:sty m:val="p"/>
                      </m:rPr>
                      <w:rPr>
                        <w:rFonts w:hint="default" w:ascii="Times New Roman" w:hAnsi="Times New Roman" w:eastAsia="宋体" w:cs="Times New Roman"/>
                        <w:b w:val="0"/>
                        <w:i w:val="0"/>
                        <w:color w:val="auto"/>
                        <w:spacing w:val="0"/>
                        <w:kern w:val="2"/>
                        <w:position w:val="0"/>
                        <w:sz w:val="24"/>
                        <w:szCs w:val="24"/>
                        <w:highlight w:val="none"/>
                        <w:lang w:val="en-US" w:bidi="ar-SA"/>
                      </w:rPr>
                      <m:t>ln</m:t>
                    </m:r>
                    <m:ctrlPr>
                      <w:rPr>
                        <w:rFonts w:hint="default" w:ascii="Cambria Math" w:hAnsi="Cambria Math" w:eastAsia="宋体" w:cs="Times New Roman"/>
                        <w:color w:val="auto"/>
                        <w:spacing w:val="0"/>
                        <w:kern w:val="2"/>
                        <w:position w:val="0"/>
                        <w:sz w:val="24"/>
                        <w:szCs w:val="24"/>
                        <w:highlight w:val="none"/>
                        <w:lang w:val="en-US" w:eastAsia="zh-CN" w:bidi="ar-SA"/>
                      </w:rPr>
                    </m:ctrlPr>
                  </m:fName>
                  <m:e>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m:t>
                    </m:r>
                    <m:f>
                      <m:fPr>
                        <m:ctrlPr>
                          <w:rPr>
                            <w:rFonts w:hint="default" w:ascii="Cambria Math" w:hAnsi="Cambria Math" w:eastAsia="宋体" w:cs="Times New Roman"/>
                            <w:color w:val="auto"/>
                            <w:spacing w:val="0"/>
                            <w:kern w:val="2"/>
                            <w:position w:val="0"/>
                            <w:sz w:val="24"/>
                            <w:szCs w:val="24"/>
                            <w:highlight w:val="none"/>
                            <w:lang w:val="en-US" w:eastAsia="zh-CN" w:bidi="ar-SA"/>
                          </w:rPr>
                        </m:ctrlPr>
                      </m:fPr>
                      <m:num>
                        <m:sSup>
                          <m:sSupPr>
                            <m:ctrlPr>
                              <w:rPr>
                                <w:rFonts w:hint="default" w:ascii="Cambria Math" w:hAnsi="Cambria Math" w:eastAsia="宋体" w:cs="Times New Roman"/>
                                <w:color w:val="auto"/>
                                <w:spacing w:val="0"/>
                                <w:kern w:val="2"/>
                                <w:position w:val="0"/>
                                <w:sz w:val="24"/>
                                <w:szCs w:val="24"/>
                                <w:highlight w:val="none"/>
                                <w:lang w:val="en-US" w:eastAsia="zh-CN" w:bidi="ar-SA"/>
                              </w:rPr>
                            </m:ctrlPr>
                          </m:sSupPr>
                          <m:e>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B</m:t>
                            </m:r>
                            <m:ctrlPr>
                              <w:rPr>
                                <w:rFonts w:hint="default" w:ascii="Cambria Math" w:hAnsi="Cambria Math" w:eastAsia="宋体" w:cs="Times New Roman"/>
                                <w:color w:val="auto"/>
                                <w:spacing w:val="0"/>
                                <w:kern w:val="2"/>
                                <w:position w:val="0"/>
                                <w:sz w:val="24"/>
                                <w:szCs w:val="24"/>
                                <w:highlight w:val="none"/>
                                <w:lang w:val="en-US" w:eastAsia="zh-CN" w:bidi="ar-SA"/>
                              </w:rPr>
                            </m:ctrlPr>
                          </m:e>
                          <m:sup>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−γ</m:t>
                            </m:r>
                            <m:ctrlPr>
                              <w:rPr>
                                <w:rFonts w:hint="default" w:ascii="Cambria Math" w:hAnsi="Cambria Math" w:eastAsia="宋体" w:cs="Times New Roman"/>
                                <w:color w:val="auto"/>
                                <w:spacing w:val="0"/>
                                <w:kern w:val="2"/>
                                <w:position w:val="0"/>
                                <w:sz w:val="24"/>
                                <w:szCs w:val="24"/>
                                <w:highlight w:val="none"/>
                                <w:lang w:val="en-US" w:eastAsia="zh-CN" w:bidi="ar-SA"/>
                              </w:rPr>
                            </m:ctrlPr>
                          </m:sup>
                        </m:sSup>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m:t>
                        </m:r>
                        <m:f>
                          <m:fPr>
                            <m:ctrlPr>
                              <w:rPr>
                                <w:rFonts w:hint="default" w:ascii="Cambria Math" w:hAnsi="Cambria Math" w:eastAsia="宋体" w:cs="Times New Roman"/>
                                <w:color w:val="auto"/>
                                <w:spacing w:val="0"/>
                                <w:kern w:val="2"/>
                                <w:position w:val="0"/>
                                <w:sz w:val="24"/>
                                <w:szCs w:val="24"/>
                                <w:highlight w:val="none"/>
                                <w:lang w:val="en-US" w:eastAsia="zh-CN" w:bidi="ar-SA"/>
                              </w:rPr>
                            </m:ctrlPr>
                          </m:fPr>
                          <m:num>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β</m:t>
                            </m:r>
                            <m:ctrlPr>
                              <w:rPr>
                                <w:rFonts w:hint="default" w:ascii="Cambria Math" w:hAnsi="Cambria Math" w:eastAsia="宋体" w:cs="Times New Roman"/>
                                <w:color w:val="auto"/>
                                <w:spacing w:val="0"/>
                                <w:kern w:val="2"/>
                                <w:position w:val="0"/>
                                <w:sz w:val="24"/>
                                <w:szCs w:val="24"/>
                                <w:highlight w:val="none"/>
                                <w:lang w:val="en-US" w:eastAsia="zh-CN" w:bidi="ar-SA"/>
                              </w:rPr>
                            </m:ctrlPr>
                          </m:num>
                          <m:den>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α</m:t>
                            </m:r>
                            <m:ctrlPr>
                              <w:rPr>
                                <w:rFonts w:hint="default" w:ascii="Cambria Math" w:hAnsi="Cambria Math" w:eastAsia="宋体" w:cs="Times New Roman"/>
                                <w:color w:val="auto"/>
                                <w:spacing w:val="0"/>
                                <w:kern w:val="2"/>
                                <w:position w:val="0"/>
                                <w:sz w:val="24"/>
                                <w:szCs w:val="24"/>
                                <w:highlight w:val="none"/>
                                <w:lang w:val="en-US" w:eastAsia="zh-CN" w:bidi="ar-SA"/>
                              </w:rPr>
                            </m:ctrlPr>
                          </m:den>
                        </m:f>
                        <m:ctrlPr>
                          <w:rPr>
                            <w:rFonts w:hint="default" w:ascii="Cambria Math" w:hAnsi="Cambria Math" w:eastAsia="宋体" w:cs="Times New Roman"/>
                            <w:color w:val="auto"/>
                            <w:spacing w:val="0"/>
                            <w:kern w:val="2"/>
                            <w:position w:val="0"/>
                            <w:sz w:val="24"/>
                            <w:szCs w:val="24"/>
                            <w:highlight w:val="none"/>
                            <w:lang w:val="en-US" w:eastAsia="zh-CN" w:bidi="ar-SA"/>
                          </w:rPr>
                        </m:ctrlPr>
                      </m:num>
                      <m:den>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1+</m:t>
                        </m:r>
                        <m:f>
                          <m:fPr>
                            <m:ctrlPr>
                              <w:rPr>
                                <w:rFonts w:hint="default" w:ascii="Cambria Math" w:hAnsi="Cambria Math" w:eastAsia="宋体" w:cs="Times New Roman"/>
                                <w:color w:val="auto"/>
                                <w:spacing w:val="0"/>
                                <w:kern w:val="2"/>
                                <w:position w:val="0"/>
                                <w:sz w:val="24"/>
                                <w:szCs w:val="24"/>
                                <w:highlight w:val="none"/>
                                <w:lang w:val="en-US" w:eastAsia="zh-CN" w:bidi="ar-SA"/>
                              </w:rPr>
                            </m:ctrlPr>
                          </m:fPr>
                          <m:num>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β</m:t>
                            </m:r>
                            <m:ctrlPr>
                              <w:rPr>
                                <w:rFonts w:hint="default" w:ascii="Cambria Math" w:hAnsi="Cambria Math" w:eastAsia="宋体" w:cs="Times New Roman"/>
                                <w:color w:val="auto"/>
                                <w:spacing w:val="0"/>
                                <w:kern w:val="2"/>
                                <w:position w:val="0"/>
                                <w:sz w:val="24"/>
                                <w:szCs w:val="24"/>
                                <w:highlight w:val="none"/>
                                <w:lang w:val="en-US" w:eastAsia="zh-CN" w:bidi="ar-SA"/>
                              </w:rPr>
                            </m:ctrlPr>
                          </m:num>
                          <m:den>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α</m:t>
                            </m:r>
                            <m:ctrlPr>
                              <w:rPr>
                                <w:rFonts w:hint="default" w:ascii="Cambria Math" w:hAnsi="Cambria Math" w:eastAsia="宋体" w:cs="Times New Roman"/>
                                <w:color w:val="auto"/>
                                <w:spacing w:val="0"/>
                                <w:kern w:val="2"/>
                                <w:position w:val="0"/>
                                <w:sz w:val="24"/>
                                <w:szCs w:val="24"/>
                                <w:highlight w:val="none"/>
                                <w:lang w:val="en-US" w:eastAsia="zh-CN" w:bidi="ar-SA"/>
                              </w:rPr>
                            </m:ctrlPr>
                          </m:den>
                        </m:f>
                        <m:ctrlPr>
                          <w:rPr>
                            <w:rFonts w:hint="default" w:ascii="Cambria Math" w:hAnsi="Cambria Math" w:eastAsia="宋体" w:cs="Times New Roman"/>
                            <w:color w:val="auto"/>
                            <w:spacing w:val="0"/>
                            <w:kern w:val="2"/>
                            <w:position w:val="0"/>
                            <w:sz w:val="24"/>
                            <w:szCs w:val="24"/>
                            <w:highlight w:val="none"/>
                            <w:lang w:val="en-US" w:eastAsia="zh-CN" w:bidi="ar-SA"/>
                          </w:rPr>
                        </m:ctrlPr>
                      </m:den>
                    </m:f>
                    <m:r>
                      <m:rPr>
                        <m:nor/>
                        <m:sty m:val="p"/>
                      </m:rPr>
                      <w:rPr>
                        <w:rFonts w:hint="default" w:ascii="Times New Roman" w:hAnsi="Times New Roman" w:eastAsia="宋体" w:cs="Times New Roman"/>
                        <w:b w:val="0"/>
                        <w:i w:val="0"/>
                        <w:color w:val="auto"/>
                        <w:spacing w:val="0"/>
                        <w:kern w:val="2"/>
                        <w:position w:val="0"/>
                        <w:sz w:val="24"/>
                        <w:szCs w:val="24"/>
                        <w:highlight w:val="none"/>
                        <w:lang w:val="en-US" w:eastAsia="zh-CN" w:bidi="ar-SA"/>
                      </w:rPr>
                      <m:t>)     公式10−2</m:t>
                    </m:r>
                    <m:ctrlPr>
                      <w:rPr>
                        <w:rFonts w:hint="default" w:ascii="Cambria Math" w:hAnsi="Cambria Math" w:eastAsia="宋体" w:cs="Times New Roman"/>
                        <w:color w:val="auto"/>
                        <w:spacing w:val="0"/>
                        <w:kern w:val="2"/>
                        <w:position w:val="0"/>
                        <w:sz w:val="24"/>
                        <w:szCs w:val="24"/>
                        <w:highlight w:val="none"/>
                        <w:lang w:val="en-US" w:eastAsia="zh-CN" w:bidi="ar-SA"/>
                      </w:rPr>
                    </m:ctrlPr>
                  </m:e>
                </m:func>
              </m:oMath>
            </m:oMathPara>
          </w:p>
          <w:p w14:paraId="3C9CB9EE">
            <w:pPr>
              <w:keepNext w:val="0"/>
              <w:keepLines w:val="0"/>
              <w:suppressLineNumbers w:val="0"/>
              <w:spacing w:before="0" w:beforeAutospacing="0" w:after="0" w:afterAutospacing="0"/>
              <w:ind w:left="0" w:right="0"/>
              <w:rPr>
                <w:rFonts w:hint="default" w:ascii="Times New Roman" w:hAnsi="Times New Roman" w:eastAsia="宋体" w:cs="Times New Roman"/>
                <w:i w:val="0"/>
                <w:color w:val="auto"/>
                <w:spacing w:val="0"/>
                <w:kern w:val="2"/>
                <w:position w:val="0"/>
                <w:sz w:val="24"/>
                <w:szCs w:val="24"/>
                <w:highlight w:val="none"/>
                <w:lang w:val="en-US" w:eastAsia="zh-CN" w:bidi="ar-SA"/>
              </w:rPr>
            </w:pPr>
            <w:r>
              <w:rPr>
                <w:rFonts w:hint="default" w:ascii="Times New Roman" w:hAnsi="Times New Roman" w:eastAsia="宋体" w:cs="Times New Roman"/>
                <w:i w:val="0"/>
                <w:color w:val="auto"/>
                <w:spacing w:val="0"/>
                <w:kern w:val="2"/>
                <w:position w:val="0"/>
                <w:sz w:val="24"/>
                <w:szCs w:val="24"/>
                <w:highlight w:val="none"/>
                <w:lang w:val="en-US" w:eastAsia="zh-CN" w:bidi="ar-SA"/>
              </w:rPr>
              <w:t>式中：</w:t>
            </w:r>
          </w:p>
          <w:p w14:paraId="365787C0">
            <w:pPr>
              <w:keepNext w:val="0"/>
              <w:keepLines w:val="0"/>
              <w:suppressLineNumbers w:val="0"/>
              <w:spacing w:before="0" w:beforeAutospacing="0" w:after="0" w:afterAutospacing="0"/>
              <w:ind w:left="0" w:right="0"/>
              <w:rPr>
                <w:rFonts w:hint="default" w:ascii="Times New Roman" w:hAnsi="Times New Roman" w:eastAsia="宋体" w:cs="Times New Roman"/>
                <w:i w:val="0"/>
                <w:color w:val="auto"/>
                <w:spacing w:val="0"/>
                <w:kern w:val="2"/>
                <w:position w:val="0"/>
                <w:sz w:val="24"/>
                <w:szCs w:val="24"/>
                <w:highlight w:val="none"/>
                <w:lang w:val="en-US" w:eastAsia="zh-CN" w:bidi="ar-SA"/>
              </w:rPr>
            </w:pPr>
            <w:r>
              <w:rPr>
                <w:rFonts w:hint="default" w:ascii="Times New Roman" w:hAnsi="Times New Roman" w:eastAsia="宋体" w:cs="Times New Roman"/>
                <w:i w:val="0"/>
                <w:color w:val="auto"/>
                <w:spacing w:val="0"/>
                <w:kern w:val="2"/>
                <w:position w:val="0"/>
                <w:sz w:val="24"/>
                <w:szCs w:val="24"/>
                <w:highlight w:val="none"/>
                <w:lang w:val="en-US" w:eastAsia="zh-CN" w:bidi="ar-SA"/>
              </w:rPr>
              <w:t>X——不同屏蔽物质的铅当量厚度；</w:t>
            </w:r>
          </w:p>
          <w:p w14:paraId="1BDE2F41">
            <w:pPr>
              <w:keepNext w:val="0"/>
              <w:keepLines w:val="0"/>
              <w:suppressLineNumbers w:val="0"/>
              <w:spacing w:before="0" w:beforeAutospacing="0" w:after="0" w:afterAutospacing="0"/>
              <w:ind w:left="0" w:right="0"/>
              <w:rPr>
                <w:rFonts w:hint="default" w:ascii="Times New Roman" w:hAnsi="Times New Roman" w:eastAsia="宋体" w:cs="Times New Roman"/>
                <w:i w:val="0"/>
                <w:color w:val="auto"/>
                <w:spacing w:val="0"/>
                <w:kern w:val="2"/>
                <w:position w:val="0"/>
                <w:sz w:val="24"/>
                <w:szCs w:val="24"/>
                <w:highlight w:val="none"/>
                <w:lang w:val="en-US" w:eastAsia="zh-CN" w:bidi="ar-SA"/>
              </w:rPr>
            </w:pPr>
            <w:r>
              <w:rPr>
                <w:rFonts w:hint="default" w:ascii="Times New Roman" w:hAnsi="Times New Roman" w:eastAsia="宋体" w:cs="Times New Roman"/>
                <w:i w:val="0"/>
                <w:color w:val="auto"/>
                <w:spacing w:val="0"/>
                <w:kern w:val="2"/>
                <w:position w:val="0"/>
                <w:sz w:val="24"/>
                <w:szCs w:val="24"/>
                <w:highlight w:val="none"/>
                <w:lang w:val="en-US" w:eastAsia="zh-CN" w:bidi="ar-SA"/>
              </w:rPr>
              <w:t>α——不同屏蔽物质对不同管电压X射线辐射衰减的有关的拟合参数；</w:t>
            </w:r>
          </w:p>
          <w:p w14:paraId="3E7B61FE">
            <w:pPr>
              <w:keepNext w:val="0"/>
              <w:keepLines w:val="0"/>
              <w:suppressLineNumbers w:val="0"/>
              <w:spacing w:before="0" w:beforeAutospacing="0" w:after="0" w:afterAutospacing="0"/>
              <w:ind w:left="0" w:right="0"/>
              <w:rPr>
                <w:rFonts w:hint="eastAsia" w:ascii="Times New Roman" w:hAnsi="Times New Roman" w:eastAsia="宋体" w:cs="Times New Roman"/>
                <w:i w:val="0"/>
                <w:color w:val="auto"/>
                <w:spacing w:val="0"/>
                <w:kern w:val="2"/>
                <w:position w:val="0"/>
                <w:sz w:val="24"/>
                <w:szCs w:val="24"/>
                <w:highlight w:val="none"/>
                <w:lang w:val="en-US" w:eastAsia="zh-CN" w:bidi="ar-SA"/>
              </w:rPr>
            </w:pPr>
            <w:r>
              <w:rPr>
                <w:rFonts w:hint="default" w:ascii="Times New Roman" w:hAnsi="Times New Roman" w:eastAsia="宋体" w:cs="Times New Roman"/>
                <w:i w:val="0"/>
                <w:color w:val="auto"/>
                <w:spacing w:val="0"/>
                <w:kern w:val="2"/>
                <w:position w:val="0"/>
                <w:sz w:val="24"/>
                <w:szCs w:val="24"/>
                <w:highlight w:val="none"/>
                <w:lang w:val="en-US" w:eastAsia="zh-CN" w:bidi="ar-SA"/>
              </w:rPr>
              <w:t>γ——不同屏蔽物质对不同管电压X射线辐射衰减的有关的拟合参数</w:t>
            </w:r>
            <w:r>
              <w:rPr>
                <w:rFonts w:hint="eastAsia" w:ascii="Times New Roman" w:hAnsi="Times New Roman" w:eastAsia="宋体" w:cs="Times New Roman"/>
                <w:i w:val="0"/>
                <w:color w:val="auto"/>
                <w:spacing w:val="0"/>
                <w:kern w:val="2"/>
                <w:position w:val="0"/>
                <w:sz w:val="24"/>
                <w:szCs w:val="24"/>
                <w:highlight w:val="none"/>
                <w:lang w:val="en-US" w:eastAsia="zh-CN" w:bidi="ar-SA"/>
              </w:rPr>
              <w:t>；</w:t>
            </w:r>
          </w:p>
          <w:p w14:paraId="40C34BAE">
            <w:pPr>
              <w:keepNext w:val="0"/>
              <w:keepLines w:val="0"/>
              <w:suppressLineNumbers w:val="0"/>
              <w:spacing w:before="0" w:beforeAutospacing="0" w:after="0" w:afterAutospacing="0"/>
              <w:ind w:left="0" w:right="0"/>
              <w:rPr>
                <w:rFonts w:hint="default" w:ascii="Times New Roman" w:hAnsi="Times New Roman" w:eastAsia="宋体" w:cs="Times New Roman"/>
                <w:i w:val="0"/>
                <w:color w:val="auto"/>
                <w:spacing w:val="0"/>
                <w:kern w:val="2"/>
                <w:position w:val="0"/>
                <w:sz w:val="24"/>
                <w:szCs w:val="24"/>
                <w:highlight w:val="none"/>
                <w:lang w:val="en-US" w:eastAsia="zh-CN" w:bidi="ar-SA"/>
              </w:rPr>
            </w:pPr>
            <w:r>
              <w:rPr>
                <w:rFonts w:hint="default" w:ascii="Times New Roman" w:hAnsi="Times New Roman" w:eastAsia="宋体" w:cs="Times New Roman"/>
                <w:i w:val="0"/>
                <w:color w:val="auto"/>
                <w:spacing w:val="0"/>
                <w:kern w:val="2"/>
                <w:position w:val="0"/>
                <w:sz w:val="24"/>
                <w:szCs w:val="24"/>
                <w:highlight w:val="none"/>
                <w:lang w:val="en-US" w:eastAsia="zh-CN" w:bidi="ar-SA"/>
              </w:rPr>
              <w:t>B——给定铅厚度的屏蔽透射因子；</w:t>
            </w:r>
          </w:p>
          <w:p w14:paraId="768DD869">
            <w:pPr>
              <w:keepNext w:val="0"/>
              <w:keepLines w:val="0"/>
              <w:suppressLineNumbers w:val="0"/>
              <w:spacing w:before="0" w:beforeAutospacing="0" w:after="0" w:afterAutospacing="0"/>
              <w:ind w:left="0" w:right="0"/>
              <w:rPr>
                <w:rFonts w:hint="default" w:ascii="Times New Roman" w:hAnsi="Times New Roman" w:eastAsia="宋体" w:cs="Times New Roman"/>
                <w:i w:val="0"/>
                <w:color w:val="auto"/>
                <w:spacing w:val="0"/>
                <w:kern w:val="2"/>
                <w:position w:val="0"/>
                <w:sz w:val="24"/>
                <w:szCs w:val="24"/>
                <w:highlight w:val="none"/>
                <w:lang w:val="en-US" w:eastAsia="zh-CN" w:bidi="ar-SA"/>
              </w:rPr>
            </w:pPr>
            <w:r>
              <w:rPr>
                <w:rFonts w:hint="default" w:ascii="Times New Roman" w:hAnsi="Times New Roman" w:eastAsia="宋体" w:cs="Times New Roman"/>
                <w:i w:val="0"/>
                <w:color w:val="auto"/>
                <w:spacing w:val="0"/>
                <w:kern w:val="2"/>
                <w:position w:val="0"/>
                <w:sz w:val="24"/>
                <w:szCs w:val="24"/>
                <w:highlight w:val="none"/>
                <w:lang w:val="en-US" w:eastAsia="zh-CN" w:bidi="ar-SA"/>
              </w:rPr>
              <w:t>β——不同屏蔽物质对不同管电压X射线辐射衰减的有关的拟合参数。</w:t>
            </w:r>
          </w:p>
          <w:p w14:paraId="4703CBBB">
            <w:pPr>
              <w:keepNext w:val="0"/>
              <w:keepLines w:val="0"/>
              <w:suppressLineNumbers w:val="0"/>
              <w:spacing w:before="0" w:beforeAutospacing="0" w:after="0" w:afterAutospacing="0"/>
              <w:ind w:left="0" w:right="0"/>
              <w:rPr>
                <w:rFonts w:hint="default" w:ascii="Times New Roman" w:hAnsi="Times New Roman" w:eastAsia="宋体" w:cs="Times New Roman"/>
                <w:b/>
                <w:color w:val="auto"/>
                <w:spacing w:val="0"/>
                <w:position w:val="0"/>
                <w:sz w:val="21"/>
                <w:szCs w:val="18"/>
              </w:rPr>
            </w:pPr>
            <w:r>
              <w:rPr>
                <w:rFonts w:hint="default" w:ascii="Times New Roman" w:hAnsi="Times New Roman" w:eastAsia="宋体" w:cs="Times New Roman"/>
                <w:i w:val="0"/>
                <w:color w:val="auto"/>
                <w:spacing w:val="0"/>
                <w:kern w:val="2"/>
                <w:position w:val="0"/>
                <w:sz w:val="24"/>
                <w:szCs w:val="24"/>
                <w:highlight w:val="none"/>
                <w:lang w:val="en-US" w:eastAsia="zh-CN" w:bidi="ar-SA"/>
              </w:rPr>
              <w:t>本项目DSA额定管电压为125kV，根据《放射诊断放射防护要求》（GBZ 130—2020）中表C.2可知混凝土在125kV管电压下主束及散射方向的三个拟合参数，详见下表。</w:t>
            </w:r>
          </w:p>
          <w:p w14:paraId="71C41EC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color w:val="auto"/>
                <w:spacing w:val="0"/>
                <w:position w:val="0"/>
                <w:sz w:val="24"/>
                <w:szCs w:val="21"/>
              </w:rPr>
            </w:pPr>
            <w:r>
              <w:rPr>
                <w:rFonts w:hint="default" w:ascii="Times New Roman" w:hAnsi="Times New Roman" w:eastAsia="宋体" w:cs="Times New Roman"/>
                <w:b/>
                <w:color w:val="auto"/>
                <w:spacing w:val="0"/>
                <w:position w:val="0"/>
                <w:sz w:val="21"/>
                <w:szCs w:val="18"/>
              </w:rPr>
              <w:t>表10-</w:t>
            </w:r>
            <w:r>
              <w:rPr>
                <w:rFonts w:hint="default" w:ascii="Times New Roman" w:hAnsi="Times New Roman" w:eastAsia="宋体" w:cs="Times New Roman"/>
                <w:b/>
                <w:color w:val="auto"/>
                <w:spacing w:val="0"/>
                <w:position w:val="0"/>
                <w:sz w:val="21"/>
                <w:szCs w:val="18"/>
                <w:lang w:val="en-US" w:eastAsia="zh-CN"/>
              </w:rPr>
              <w:t>2</w:t>
            </w:r>
            <w:r>
              <w:rPr>
                <w:rFonts w:hint="default" w:ascii="Times New Roman" w:hAnsi="Times New Roman" w:eastAsia="宋体" w:cs="Times New Roman"/>
                <w:b/>
                <w:color w:val="auto"/>
                <w:spacing w:val="0"/>
                <w:position w:val="0"/>
                <w:sz w:val="21"/>
                <w:szCs w:val="18"/>
              </w:rPr>
              <w:t>介入X射线设备机房的防护要求</w:t>
            </w:r>
          </w:p>
          <w:tbl>
            <w:tblPr>
              <w:tblStyle w:val="21"/>
              <w:tblW w:w="46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1285"/>
              <w:gridCol w:w="1255"/>
              <w:gridCol w:w="1035"/>
              <w:gridCol w:w="1092"/>
              <w:gridCol w:w="1122"/>
              <w:gridCol w:w="919"/>
            </w:tblGrid>
            <w:tr w14:paraId="7037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Merge w:val="restart"/>
                  <w:noWrap w:val="0"/>
                  <w:vAlign w:val="center"/>
                </w:tcPr>
                <w:p w14:paraId="30BAA7A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lang w:val="en-US" w:eastAsia="zh-CN"/>
                    </w:rPr>
                    <w:t>管电压</w:t>
                  </w:r>
                </w:p>
              </w:tc>
              <w:tc>
                <w:tcPr>
                  <w:tcW w:w="2128" w:type="pct"/>
                  <w:gridSpan w:val="3"/>
                  <w:noWrap w:val="0"/>
                  <w:vAlign w:val="center"/>
                </w:tcPr>
                <w:p w14:paraId="00CA9C8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lang w:val="en-US" w:eastAsia="zh-CN"/>
                    </w:rPr>
                    <w:t>混凝土</w:t>
                  </w:r>
                </w:p>
              </w:tc>
              <w:tc>
                <w:tcPr>
                  <w:tcW w:w="1865" w:type="pct"/>
                  <w:gridSpan w:val="3"/>
                  <w:noWrap w:val="0"/>
                  <w:vAlign w:val="center"/>
                </w:tcPr>
                <w:p w14:paraId="3B4E57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lang w:val="en-US" w:eastAsia="zh-CN"/>
                    </w:rPr>
                    <w:t>铅</w:t>
                  </w:r>
                </w:p>
              </w:tc>
            </w:tr>
            <w:tr w14:paraId="3995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05" w:type="pct"/>
                  <w:vMerge w:val="continue"/>
                  <w:noWrap w:val="0"/>
                  <w:vAlign w:val="center"/>
                </w:tcPr>
                <w:p w14:paraId="3ADC2F1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p>
              </w:tc>
              <w:tc>
                <w:tcPr>
                  <w:tcW w:w="765" w:type="pct"/>
                  <w:noWrap w:val="0"/>
                  <w:vAlign w:val="center"/>
                </w:tcPr>
                <w:p w14:paraId="25B7BA4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lang w:val="en-US" w:eastAsia="zh-CN"/>
                    </w:rPr>
                    <w:t>α</w:t>
                  </w:r>
                </w:p>
              </w:tc>
              <w:tc>
                <w:tcPr>
                  <w:tcW w:w="747" w:type="pct"/>
                  <w:noWrap w:val="0"/>
                  <w:vAlign w:val="center"/>
                </w:tcPr>
                <w:p w14:paraId="40A13D8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rPr>
                    <w:t>β</w:t>
                  </w:r>
                </w:p>
              </w:tc>
              <w:tc>
                <w:tcPr>
                  <w:tcW w:w="615" w:type="pct"/>
                  <w:noWrap w:val="0"/>
                  <w:vAlign w:val="center"/>
                </w:tcPr>
                <w:p w14:paraId="4E6E36B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rPr>
                    <w:t>γ</w:t>
                  </w:r>
                </w:p>
              </w:tc>
              <w:tc>
                <w:tcPr>
                  <w:tcW w:w="650" w:type="pct"/>
                  <w:noWrap w:val="0"/>
                  <w:vAlign w:val="center"/>
                </w:tcPr>
                <w:p w14:paraId="2DFF9D7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rPr>
                    <w:t>α</w:t>
                  </w:r>
                </w:p>
              </w:tc>
              <w:tc>
                <w:tcPr>
                  <w:tcW w:w="668" w:type="pct"/>
                  <w:noWrap w:val="0"/>
                  <w:vAlign w:val="center"/>
                </w:tcPr>
                <w:p w14:paraId="41DB95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rPr>
                    <w:t>β</w:t>
                  </w:r>
                </w:p>
              </w:tc>
              <w:tc>
                <w:tcPr>
                  <w:tcW w:w="545" w:type="pct"/>
                  <w:noWrap w:val="0"/>
                  <w:vAlign w:val="center"/>
                </w:tcPr>
                <w:p w14:paraId="79F21CA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lang w:val="en-US" w:eastAsia="zh-CN"/>
                    </w:rPr>
                  </w:pPr>
                  <w:r>
                    <w:rPr>
                      <w:rFonts w:hint="default" w:ascii="Times New Roman" w:hAnsi="Times New Roman" w:eastAsia="宋体" w:cs="Times New Roman"/>
                      <w:b/>
                      <w:color w:val="auto"/>
                      <w:spacing w:val="0"/>
                      <w:position w:val="0"/>
                      <w:sz w:val="21"/>
                      <w:szCs w:val="21"/>
                    </w:rPr>
                    <w:t>γ</w:t>
                  </w:r>
                </w:p>
              </w:tc>
            </w:tr>
            <w:tr w14:paraId="3574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noWrap w:val="0"/>
                  <w:vAlign w:val="center"/>
                </w:tcPr>
                <w:p w14:paraId="6E2034A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125（主束）</w:t>
                  </w:r>
                </w:p>
              </w:tc>
              <w:tc>
                <w:tcPr>
                  <w:tcW w:w="765" w:type="pct"/>
                  <w:noWrap w:val="0"/>
                  <w:vAlign w:val="center"/>
                </w:tcPr>
                <w:p w14:paraId="49A9E6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0.03502</w:t>
                  </w:r>
                </w:p>
              </w:tc>
              <w:tc>
                <w:tcPr>
                  <w:tcW w:w="747" w:type="pct"/>
                  <w:noWrap w:val="0"/>
                  <w:vAlign w:val="center"/>
                </w:tcPr>
                <w:p w14:paraId="0B02F3E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0.07113</w:t>
                  </w:r>
                </w:p>
              </w:tc>
              <w:tc>
                <w:tcPr>
                  <w:tcW w:w="615" w:type="pct"/>
                  <w:noWrap w:val="0"/>
                  <w:vAlign w:val="center"/>
                </w:tcPr>
                <w:p w14:paraId="02A17C45">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0.6974</w:t>
                  </w:r>
                </w:p>
              </w:tc>
              <w:tc>
                <w:tcPr>
                  <w:tcW w:w="650" w:type="pct"/>
                  <w:noWrap w:val="0"/>
                  <w:vAlign w:val="center"/>
                </w:tcPr>
                <w:p w14:paraId="44E48DA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2.219</w:t>
                  </w:r>
                </w:p>
              </w:tc>
              <w:tc>
                <w:tcPr>
                  <w:tcW w:w="668" w:type="pct"/>
                  <w:noWrap w:val="0"/>
                  <w:vAlign w:val="center"/>
                </w:tcPr>
                <w:p w14:paraId="752020F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7.923</w:t>
                  </w:r>
                </w:p>
              </w:tc>
              <w:tc>
                <w:tcPr>
                  <w:tcW w:w="545" w:type="pct"/>
                  <w:noWrap w:val="0"/>
                  <w:vAlign w:val="center"/>
                </w:tcPr>
                <w:p w14:paraId="7A8BC5C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0.5386</w:t>
                  </w:r>
                </w:p>
              </w:tc>
            </w:tr>
            <w:tr w14:paraId="32AF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noWrap w:val="0"/>
                  <w:vAlign w:val="center"/>
                </w:tcPr>
                <w:p w14:paraId="581C6B3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125（散射）</w:t>
                  </w:r>
                </w:p>
              </w:tc>
              <w:tc>
                <w:tcPr>
                  <w:tcW w:w="765" w:type="pct"/>
                  <w:noWrap w:val="0"/>
                  <w:vAlign w:val="center"/>
                </w:tcPr>
                <w:p w14:paraId="4BB853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0.03510</w:t>
                  </w:r>
                </w:p>
              </w:tc>
              <w:tc>
                <w:tcPr>
                  <w:tcW w:w="747" w:type="pct"/>
                  <w:noWrap w:val="0"/>
                  <w:vAlign w:val="center"/>
                </w:tcPr>
                <w:p w14:paraId="55EC133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0.06600</w:t>
                  </w:r>
                </w:p>
              </w:tc>
              <w:tc>
                <w:tcPr>
                  <w:tcW w:w="615" w:type="pct"/>
                  <w:noWrap w:val="0"/>
                  <w:vAlign w:val="center"/>
                </w:tcPr>
                <w:p w14:paraId="13B87D8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rPr>
                    <w:t>0.7832</w:t>
                  </w:r>
                </w:p>
              </w:tc>
              <w:tc>
                <w:tcPr>
                  <w:tcW w:w="650" w:type="pct"/>
                  <w:noWrap w:val="0"/>
                  <w:vAlign w:val="center"/>
                </w:tcPr>
                <w:p w14:paraId="402486D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2.233</w:t>
                  </w:r>
                </w:p>
              </w:tc>
              <w:tc>
                <w:tcPr>
                  <w:tcW w:w="668" w:type="pct"/>
                  <w:noWrap w:val="0"/>
                  <w:vAlign w:val="center"/>
                </w:tcPr>
                <w:p w14:paraId="46A00A1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7.888</w:t>
                  </w:r>
                </w:p>
              </w:tc>
              <w:tc>
                <w:tcPr>
                  <w:tcW w:w="545" w:type="pct"/>
                  <w:noWrap w:val="0"/>
                  <w:vAlign w:val="center"/>
                </w:tcPr>
                <w:p w14:paraId="2935A2A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spacing w:val="0"/>
                      <w:position w:val="0"/>
                      <w:sz w:val="21"/>
                      <w:szCs w:val="21"/>
                      <w:lang w:val="en-US" w:eastAsia="zh-CN"/>
                    </w:rPr>
                  </w:pPr>
                  <w:r>
                    <w:rPr>
                      <w:rFonts w:hint="default" w:ascii="Times New Roman" w:hAnsi="Times New Roman" w:eastAsia="宋体" w:cs="Times New Roman"/>
                      <w:b w:val="0"/>
                      <w:bCs/>
                      <w:color w:val="auto"/>
                      <w:spacing w:val="0"/>
                      <w:position w:val="0"/>
                      <w:sz w:val="21"/>
                      <w:szCs w:val="21"/>
                      <w:lang w:val="en-US" w:eastAsia="zh-CN"/>
                    </w:rPr>
                    <w:t>0.7295</w:t>
                  </w:r>
                </w:p>
              </w:tc>
            </w:tr>
          </w:tbl>
          <w:p w14:paraId="5BC55EA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本项目DSA主束方向由下朝上，</w:t>
            </w:r>
            <w:r>
              <w:rPr>
                <w:rFonts w:hint="default" w:ascii="Times New Roman" w:hAnsi="Times New Roman" w:eastAsia="宋体" w:cs="Times New Roman"/>
                <w:color w:val="auto"/>
                <w:spacing w:val="0"/>
                <w:position w:val="0"/>
                <w:highlight w:val="none"/>
                <w:lang w:val="en-US" w:eastAsia="zh-CN"/>
              </w:rPr>
              <w:t>因此顶面为主束方向，地面和四面墙体为散射方向，顶面、地面混凝土为120mm</w:t>
            </w:r>
            <w:r>
              <w:rPr>
                <w:rFonts w:hint="eastAsia" w:cs="Times New Roman"/>
                <w:color w:val="auto"/>
                <w:spacing w:val="0"/>
                <w:position w:val="0"/>
                <w:highlight w:val="none"/>
                <w:lang w:val="en-US" w:eastAsia="zh-CN"/>
              </w:rPr>
              <w:t>，墙体剪力墙为300mm混凝土</w:t>
            </w:r>
            <w:r>
              <w:rPr>
                <w:rFonts w:hint="default" w:ascii="Times New Roman" w:hAnsi="Times New Roman" w:eastAsia="宋体" w:cs="Times New Roman"/>
                <w:color w:val="auto"/>
                <w:spacing w:val="0"/>
                <w:position w:val="0"/>
                <w:highlight w:val="none"/>
                <w:lang w:val="en-US" w:eastAsia="zh-CN"/>
              </w:rPr>
              <w:t>。</w:t>
            </w:r>
            <w:r>
              <w:rPr>
                <w:rFonts w:hint="default" w:ascii="Times New Roman" w:hAnsi="Times New Roman" w:eastAsia="宋体" w:cs="Times New Roman"/>
                <w:color w:val="auto"/>
                <w:spacing w:val="0"/>
                <w:position w:val="0"/>
                <w:highlight w:val="none"/>
              </w:rPr>
              <w:t>根据式（10-1），计算得顶</w:t>
            </w:r>
            <w:r>
              <w:rPr>
                <w:rFonts w:hint="default" w:ascii="Times New Roman" w:hAnsi="Times New Roman" w:eastAsia="宋体" w:cs="Times New Roman"/>
                <w:color w:val="auto"/>
                <w:spacing w:val="0"/>
                <w:position w:val="0"/>
                <w:highlight w:val="none"/>
                <w:lang w:val="en-US" w:eastAsia="zh-CN"/>
              </w:rPr>
              <w:t>面混凝土</w:t>
            </w:r>
            <w:r>
              <w:rPr>
                <w:rFonts w:hint="default" w:ascii="Times New Roman" w:hAnsi="Times New Roman" w:eastAsia="宋体" w:cs="Times New Roman"/>
                <w:color w:val="auto"/>
                <w:spacing w:val="0"/>
                <w:position w:val="0"/>
                <w:highlight w:val="none"/>
              </w:rPr>
              <w:t>屏蔽</w:t>
            </w:r>
            <w:r>
              <w:rPr>
                <w:rFonts w:hint="eastAsia" w:cs="Times New Roman"/>
                <w:color w:val="auto"/>
                <w:spacing w:val="0"/>
                <w:position w:val="0"/>
                <w:highlight w:val="none"/>
                <w:lang w:eastAsia="zh-CN"/>
              </w:rPr>
              <w:t>透射因子</w:t>
            </w:r>
            <w:r>
              <w:rPr>
                <w:rFonts w:hint="default" w:ascii="Times New Roman" w:hAnsi="Times New Roman" w:eastAsia="宋体" w:cs="Times New Roman"/>
                <w:color w:val="auto"/>
                <w:spacing w:val="0"/>
                <w:position w:val="0"/>
                <w:highlight w:val="none"/>
              </w:rPr>
              <w:t>B为</w:t>
            </w:r>
            <w:r>
              <w:rPr>
                <w:rFonts w:hint="default" w:ascii="Times New Roman" w:hAnsi="Times New Roman" w:eastAsia="宋体" w:cs="Times New Roman"/>
                <w:color w:val="auto"/>
                <w:spacing w:val="0"/>
                <w:position w:val="0"/>
                <w:highlight w:val="none"/>
                <w:lang w:val="en-US" w:eastAsia="zh-CN"/>
              </w:rPr>
              <w:t>3.2</w:t>
            </w:r>
            <w:r>
              <w:rPr>
                <w:rFonts w:hint="default" w:ascii="Times New Roman" w:hAnsi="Times New Roman" w:eastAsia="宋体" w:cs="Times New Roman"/>
                <w:color w:val="auto"/>
                <w:spacing w:val="0"/>
                <w:position w:val="0"/>
                <w:highlight w:val="none"/>
              </w:rPr>
              <w:t>E-0</w:t>
            </w:r>
            <w:r>
              <w:rPr>
                <w:rFonts w:hint="default" w:ascii="Times New Roman" w:hAnsi="Times New Roman" w:eastAsia="宋体" w:cs="Times New Roman"/>
                <w:color w:val="auto"/>
                <w:spacing w:val="0"/>
                <w:position w:val="0"/>
                <w:highlight w:val="none"/>
                <w:lang w:val="en-US" w:eastAsia="zh-CN"/>
              </w:rPr>
              <w:t>3</w:t>
            </w:r>
            <w:r>
              <w:rPr>
                <w:rFonts w:hint="default" w:ascii="Times New Roman" w:hAnsi="Times New Roman" w:eastAsia="宋体" w:cs="Times New Roman"/>
                <w:color w:val="auto"/>
                <w:spacing w:val="0"/>
                <w:position w:val="0"/>
                <w:highlight w:val="none"/>
              </w:rPr>
              <w:t>，地</w:t>
            </w:r>
            <w:r>
              <w:rPr>
                <w:rFonts w:hint="default" w:ascii="Times New Roman" w:hAnsi="Times New Roman" w:eastAsia="宋体" w:cs="Times New Roman"/>
                <w:color w:val="auto"/>
                <w:spacing w:val="0"/>
                <w:position w:val="0"/>
                <w:highlight w:val="none"/>
                <w:lang w:val="en-US" w:eastAsia="zh-CN"/>
              </w:rPr>
              <w:t>面混凝土</w:t>
            </w:r>
            <w:r>
              <w:rPr>
                <w:rFonts w:hint="default" w:ascii="Times New Roman" w:hAnsi="Times New Roman" w:eastAsia="宋体" w:cs="Times New Roman"/>
                <w:color w:val="auto"/>
                <w:spacing w:val="0"/>
                <w:position w:val="0"/>
                <w:highlight w:val="none"/>
              </w:rPr>
              <w:t>屏蔽</w:t>
            </w:r>
            <w:r>
              <w:rPr>
                <w:rFonts w:hint="eastAsia" w:cs="Times New Roman"/>
                <w:color w:val="auto"/>
                <w:spacing w:val="0"/>
                <w:position w:val="0"/>
                <w:highlight w:val="none"/>
                <w:lang w:eastAsia="zh-CN"/>
              </w:rPr>
              <w:t>透射因子</w:t>
            </w:r>
            <w:r>
              <w:rPr>
                <w:rFonts w:hint="default" w:ascii="Times New Roman" w:hAnsi="Times New Roman" w:eastAsia="宋体" w:cs="Times New Roman"/>
                <w:color w:val="auto"/>
                <w:spacing w:val="0"/>
                <w:position w:val="0"/>
                <w:highlight w:val="none"/>
              </w:rPr>
              <w:t>B为</w:t>
            </w:r>
            <w:r>
              <w:rPr>
                <w:rFonts w:hint="default" w:ascii="Times New Roman" w:hAnsi="Times New Roman" w:eastAsia="宋体" w:cs="Times New Roman"/>
                <w:color w:val="auto"/>
                <w:spacing w:val="0"/>
                <w:position w:val="0"/>
                <w:highlight w:val="none"/>
                <w:lang w:val="en-US" w:eastAsia="zh-CN"/>
              </w:rPr>
              <w:t>3.96</w:t>
            </w:r>
            <w:r>
              <w:rPr>
                <w:rFonts w:hint="default" w:ascii="Times New Roman" w:hAnsi="Times New Roman" w:eastAsia="宋体" w:cs="Times New Roman"/>
                <w:color w:val="auto"/>
                <w:spacing w:val="0"/>
                <w:position w:val="0"/>
                <w:highlight w:val="none"/>
              </w:rPr>
              <w:t>E-03</w:t>
            </w:r>
            <w:r>
              <w:rPr>
                <w:rFonts w:hint="eastAsia" w:cs="Times New Roman"/>
                <w:color w:val="auto"/>
                <w:spacing w:val="0"/>
                <w:position w:val="0"/>
                <w:highlight w:val="none"/>
                <w:lang w:eastAsia="zh-CN"/>
              </w:rPr>
              <w:t>，</w:t>
            </w:r>
            <w:r>
              <w:rPr>
                <w:rFonts w:hint="eastAsia" w:cs="Times New Roman"/>
                <w:color w:val="auto"/>
                <w:spacing w:val="0"/>
                <w:position w:val="0"/>
                <w:highlight w:val="none"/>
                <w:lang w:val="en-US" w:eastAsia="zh-CN"/>
              </w:rPr>
              <w:t>剪力墙屏蔽透射因子B为1E-05</w:t>
            </w:r>
            <w:r>
              <w:rPr>
                <w:rFonts w:hint="default" w:ascii="Times New Roman" w:hAnsi="Times New Roman" w:eastAsia="宋体" w:cs="Times New Roman"/>
                <w:color w:val="auto"/>
                <w:spacing w:val="0"/>
                <w:position w:val="0"/>
                <w:highlight w:val="none"/>
              </w:rPr>
              <w:t>。将B代入式（10-2），得顶</w:t>
            </w:r>
            <w:r>
              <w:rPr>
                <w:rFonts w:hint="default" w:ascii="Times New Roman" w:hAnsi="Times New Roman" w:eastAsia="宋体" w:cs="Times New Roman"/>
                <w:color w:val="auto"/>
                <w:spacing w:val="0"/>
                <w:position w:val="0"/>
                <w:highlight w:val="none"/>
                <w:lang w:val="en-US" w:eastAsia="zh-CN"/>
              </w:rPr>
              <w:t>面120mm</w:t>
            </w:r>
            <w:r>
              <w:rPr>
                <w:rFonts w:hint="default" w:ascii="Times New Roman" w:hAnsi="Times New Roman" w:eastAsia="宋体" w:cs="Times New Roman"/>
                <w:color w:val="auto"/>
                <w:spacing w:val="0"/>
                <w:position w:val="0"/>
                <w:highlight w:val="none"/>
              </w:rPr>
              <w:t>混凝土</w:t>
            </w:r>
            <w:r>
              <w:rPr>
                <w:rFonts w:hint="default" w:ascii="Times New Roman" w:hAnsi="Times New Roman" w:eastAsia="宋体" w:cs="Times New Roman"/>
                <w:color w:val="auto"/>
                <w:spacing w:val="0"/>
                <w:position w:val="0"/>
                <w:highlight w:val="none"/>
                <w:lang w:val="en-US" w:eastAsia="zh-CN"/>
              </w:rPr>
              <w:t>折算</w:t>
            </w:r>
            <w:r>
              <w:rPr>
                <w:rFonts w:hint="default" w:ascii="Times New Roman" w:hAnsi="Times New Roman" w:eastAsia="宋体" w:cs="Times New Roman"/>
                <w:color w:val="auto"/>
                <w:spacing w:val="0"/>
                <w:position w:val="0"/>
                <w:highlight w:val="none"/>
              </w:rPr>
              <w:t>铅当量厚度X约为</w:t>
            </w:r>
            <w:r>
              <w:rPr>
                <w:rFonts w:hint="default" w:ascii="Times New Roman" w:hAnsi="Times New Roman" w:eastAsia="宋体" w:cs="Times New Roman"/>
                <w:color w:val="auto"/>
                <w:spacing w:val="0"/>
                <w:position w:val="0"/>
                <w:highlight w:val="none"/>
                <w:lang w:val="en-US" w:eastAsia="zh-CN"/>
              </w:rPr>
              <w:t>1.44</w:t>
            </w:r>
            <w:r>
              <w:rPr>
                <w:rFonts w:hint="default" w:ascii="Times New Roman" w:hAnsi="Times New Roman" w:eastAsia="宋体" w:cs="Times New Roman"/>
                <w:color w:val="auto"/>
                <w:spacing w:val="0"/>
                <w:position w:val="0"/>
                <w:highlight w:val="none"/>
              </w:rPr>
              <w:t>mmPb，地</w:t>
            </w:r>
            <w:r>
              <w:rPr>
                <w:rFonts w:hint="default" w:ascii="Times New Roman" w:hAnsi="Times New Roman" w:eastAsia="宋体" w:cs="Times New Roman"/>
                <w:color w:val="auto"/>
                <w:spacing w:val="0"/>
                <w:position w:val="0"/>
                <w:highlight w:val="none"/>
                <w:lang w:val="en-US" w:eastAsia="zh-CN"/>
              </w:rPr>
              <w:t>面120mm</w:t>
            </w:r>
            <w:r>
              <w:rPr>
                <w:rFonts w:hint="default" w:ascii="Times New Roman" w:hAnsi="Times New Roman" w:eastAsia="宋体" w:cs="Times New Roman"/>
                <w:color w:val="auto"/>
                <w:spacing w:val="0"/>
                <w:position w:val="0"/>
                <w:highlight w:val="none"/>
              </w:rPr>
              <w:t>混凝土</w:t>
            </w:r>
            <w:r>
              <w:rPr>
                <w:rFonts w:hint="default" w:ascii="Times New Roman" w:hAnsi="Times New Roman" w:eastAsia="宋体" w:cs="Times New Roman"/>
                <w:color w:val="auto"/>
                <w:spacing w:val="0"/>
                <w:position w:val="0"/>
                <w:highlight w:val="none"/>
                <w:lang w:val="en-US" w:eastAsia="zh-CN"/>
              </w:rPr>
              <w:t>折算</w:t>
            </w:r>
            <w:r>
              <w:rPr>
                <w:rFonts w:hint="default" w:ascii="Times New Roman" w:hAnsi="Times New Roman" w:eastAsia="宋体" w:cs="Times New Roman"/>
                <w:color w:val="auto"/>
                <w:spacing w:val="0"/>
                <w:position w:val="0"/>
                <w:highlight w:val="none"/>
              </w:rPr>
              <w:t>铅当量厚度X约为</w:t>
            </w:r>
            <w:r>
              <w:rPr>
                <w:rFonts w:hint="default" w:ascii="Times New Roman" w:hAnsi="Times New Roman" w:eastAsia="宋体" w:cs="Times New Roman"/>
                <w:color w:val="auto"/>
                <w:spacing w:val="0"/>
                <w:position w:val="0"/>
                <w:highlight w:val="none"/>
                <w:lang w:val="en-US" w:eastAsia="zh-CN"/>
              </w:rPr>
              <w:t>1.58</w:t>
            </w:r>
            <w:r>
              <w:rPr>
                <w:rFonts w:hint="default" w:ascii="Times New Roman" w:hAnsi="Times New Roman" w:eastAsia="宋体" w:cs="Times New Roman"/>
                <w:color w:val="auto"/>
                <w:spacing w:val="0"/>
                <w:position w:val="0"/>
                <w:highlight w:val="none"/>
              </w:rPr>
              <w:t>mmPb</w:t>
            </w:r>
            <w:r>
              <w:rPr>
                <w:rFonts w:hint="eastAsia" w:cs="Times New Roman"/>
                <w:color w:val="auto"/>
                <w:spacing w:val="0"/>
                <w:position w:val="0"/>
                <w:highlight w:val="none"/>
                <w:lang w:eastAsia="zh-CN"/>
              </w:rPr>
              <w:t>，</w:t>
            </w:r>
            <w:r>
              <w:rPr>
                <w:rFonts w:hint="eastAsia" w:cs="Times New Roman"/>
                <w:color w:val="auto"/>
                <w:spacing w:val="0"/>
                <w:position w:val="0"/>
                <w:highlight w:val="none"/>
                <w:lang w:val="en-US" w:eastAsia="zh-CN"/>
              </w:rPr>
              <w:t>300mm混凝土剪力墙折算铅当量厚度X约为4.39mmPb</w:t>
            </w:r>
            <w:r>
              <w:rPr>
                <w:rFonts w:hint="default" w:ascii="Times New Roman" w:hAnsi="Times New Roman" w:eastAsia="宋体" w:cs="Times New Roman"/>
                <w:color w:val="auto"/>
                <w:spacing w:val="0"/>
                <w:position w:val="0"/>
                <w:highlight w:val="none"/>
              </w:rPr>
              <w:t>。</w:t>
            </w:r>
          </w:p>
          <w:p w14:paraId="228086D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根据建设单位提供资料，本项目DSA介入室施工硫酸钡防护涂料密度为3.2g/cm</w:t>
            </w:r>
            <w:r>
              <w:rPr>
                <w:rFonts w:hint="default" w:ascii="Times New Roman" w:hAnsi="Times New Roman" w:eastAsia="宋体" w:cs="Times New Roman"/>
                <w:color w:val="auto"/>
                <w:spacing w:val="0"/>
                <w:position w:val="0"/>
                <w:highlight w:val="none"/>
                <w:vertAlign w:val="superscript"/>
                <w:lang w:val="en-US" w:eastAsia="zh-CN"/>
              </w:rPr>
              <w:t>3</w:t>
            </w:r>
            <w:r>
              <w:rPr>
                <w:rFonts w:hint="default" w:ascii="Times New Roman" w:hAnsi="Times New Roman" w:eastAsia="宋体" w:cs="Times New Roman"/>
                <w:color w:val="auto"/>
                <w:spacing w:val="0"/>
                <w:position w:val="0"/>
                <w:highlight w:val="none"/>
                <w:lang w:val="en-US" w:eastAsia="zh-CN"/>
              </w:rPr>
              <w:t>，根据《X射线和γ射线防护手册》第73页表10，保守按150kV条件进行铅当量换算，密度为3.2g/cm</w:t>
            </w:r>
            <w:r>
              <w:rPr>
                <w:rFonts w:hint="default" w:ascii="Times New Roman" w:hAnsi="Times New Roman" w:eastAsia="宋体" w:cs="Times New Roman"/>
                <w:color w:val="auto"/>
                <w:spacing w:val="0"/>
                <w:position w:val="0"/>
                <w:highlight w:val="none"/>
                <w:vertAlign w:val="superscript"/>
                <w:lang w:val="en-US" w:eastAsia="zh-CN"/>
              </w:rPr>
              <w:t>3</w:t>
            </w:r>
            <w:r>
              <w:rPr>
                <w:rFonts w:hint="default" w:ascii="Times New Roman" w:hAnsi="Times New Roman" w:eastAsia="宋体" w:cs="Times New Roman"/>
                <w:color w:val="auto"/>
                <w:spacing w:val="0"/>
                <w:position w:val="0"/>
                <w:highlight w:val="none"/>
                <w:lang w:val="en-US" w:eastAsia="zh-CN"/>
              </w:rPr>
              <w:t>的20mm硫酸钡防护涂料相当于1.79mm铅，则40mm硫酸钡防护涂料相当于3.58mm铅。50mm细石混凝土找平层保守考虑忽略其铅当量。</w:t>
            </w:r>
          </w:p>
          <w:p w14:paraId="03B4C5F8">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介入室东墙：留有剪力墙部分</w:t>
            </w:r>
            <w:r>
              <w:rPr>
                <w:rFonts w:hint="eastAsia" w:cs="Times New Roman"/>
                <w:color w:val="auto"/>
                <w:spacing w:val="0"/>
                <w:position w:val="0"/>
                <w:highlight w:val="none"/>
                <w:lang w:val="en-US" w:eastAsia="zh-CN"/>
              </w:rPr>
              <w:t>：300mm钢筋混凝土剪力墙+</w:t>
            </w:r>
            <w:r>
              <w:rPr>
                <w:rFonts w:hint="default" w:ascii="Times New Roman" w:hAnsi="Times New Roman" w:eastAsia="宋体" w:cs="Times New Roman"/>
                <w:color w:val="auto"/>
                <w:spacing w:val="0"/>
                <w:position w:val="0"/>
                <w:highlight w:val="none"/>
                <w:lang w:eastAsia="zh-CN"/>
              </w:rPr>
              <w:t>涂刷</w:t>
            </w:r>
            <w:r>
              <w:rPr>
                <w:rFonts w:hint="eastAsia" w:cs="Times New Roman"/>
                <w:color w:val="auto"/>
                <w:spacing w:val="0"/>
                <w:position w:val="0"/>
                <w:highlight w:val="none"/>
                <w:lang w:val="en-US" w:eastAsia="zh-CN"/>
              </w:rPr>
              <w:t>2</w:t>
            </w:r>
            <w:r>
              <w:rPr>
                <w:rFonts w:hint="default" w:ascii="Times New Roman" w:hAnsi="Times New Roman" w:eastAsia="宋体" w:cs="Times New Roman"/>
                <w:color w:val="auto"/>
                <w:spacing w:val="0"/>
                <w:position w:val="0"/>
                <w:highlight w:val="none"/>
              </w:rPr>
              <w:t>0mm硫酸钡防护涂料进行屏蔽防护，折合铅当量：6.18mm，</w:t>
            </w:r>
            <w:r>
              <w:rPr>
                <w:rFonts w:hint="default" w:ascii="Times New Roman" w:hAnsi="Times New Roman" w:eastAsia="宋体" w:cs="Times New Roman"/>
                <w:color w:val="auto"/>
                <w:spacing w:val="0"/>
                <w:position w:val="0"/>
                <w:highlight w:val="none"/>
                <w:lang w:val="en-US" w:eastAsia="zh-CN"/>
              </w:rPr>
              <w:t>无剪力墙空区</w:t>
            </w:r>
            <w:r>
              <w:rPr>
                <w:rFonts w:hint="default" w:ascii="Times New Roman" w:hAnsi="Times New Roman" w:eastAsia="宋体" w:cs="Times New Roman"/>
                <w:color w:val="auto"/>
                <w:spacing w:val="0"/>
                <w:position w:val="0"/>
                <w:highlight w:val="none"/>
              </w:rPr>
              <w:t>采用轻钢龙骨骨架，内衬4mmpb防护铅板进行屏蔽防护，折合铅当量4mm。</w:t>
            </w:r>
          </w:p>
          <w:p w14:paraId="7E7151AA">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介入室南墙：留有剪力墙部分</w:t>
            </w:r>
            <w:r>
              <w:rPr>
                <w:rFonts w:hint="eastAsia" w:cs="Times New Roman"/>
                <w:color w:val="auto"/>
                <w:spacing w:val="0"/>
                <w:position w:val="0"/>
                <w:highlight w:val="none"/>
                <w:lang w:val="en-US" w:eastAsia="zh-CN"/>
              </w:rPr>
              <w:t>：300mm钢筋混凝土剪力墙+</w:t>
            </w:r>
            <w:r>
              <w:rPr>
                <w:rFonts w:hint="default" w:ascii="Times New Roman" w:hAnsi="Times New Roman" w:eastAsia="宋体" w:cs="Times New Roman"/>
                <w:color w:val="auto"/>
                <w:spacing w:val="0"/>
                <w:position w:val="0"/>
                <w:highlight w:val="none"/>
                <w:lang w:eastAsia="zh-CN"/>
              </w:rPr>
              <w:t>涂刷</w:t>
            </w:r>
            <w:r>
              <w:rPr>
                <w:rFonts w:hint="eastAsia" w:cs="Times New Roman"/>
                <w:color w:val="auto"/>
                <w:spacing w:val="0"/>
                <w:position w:val="0"/>
                <w:highlight w:val="none"/>
                <w:lang w:val="en-US" w:eastAsia="zh-CN"/>
              </w:rPr>
              <w:t>2</w:t>
            </w:r>
            <w:r>
              <w:rPr>
                <w:rFonts w:hint="default" w:ascii="Times New Roman" w:hAnsi="Times New Roman" w:eastAsia="宋体" w:cs="Times New Roman"/>
                <w:color w:val="auto"/>
                <w:spacing w:val="0"/>
                <w:position w:val="0"/>
                <w:highlight w:val="none"/>
              </w:rPr>
              <w:t>0mm硫酸钡防护涂料进行屏蔽防护，折合铅当量：6.18mm，无剪力墙空区采用轻钢龙骨骨架，内衬4mmpb防护铅板进行屏蔽防护，折合铅当量4mmpb。</w:t>
            </w:r>
          </w:p>
          <w:p w14:paraId="06BC6850">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介入室西墙：采用轻钢龙骨骨架，内衬4mmpb防护铅板进行屏蔽防护，铅当量约</w:t>
            </w:r>
            <w:r>
              <w:rPr>
                <w:rFonts w:hint="default" w:ascii="Times New Roman" w:hAnsi="Times New Roman" w:eastAsia="宋体" w:cs="Times New Roman"/>
                <w:color w:val="auto"/>
                <w:spacing w:val="0"/>
                <w:position w:val="0"/>
                <w:highlight w:val="none"/>
                <w:lang w:val="en-US" w:eastAsia="zh-CN"/>
              </w:rPr>
              <w:t>4</w:t>
            </w:r>
            <w:r>
              <w:rPr>
                <w:rFonts w:hint="default" w:ascii="Times New Roman" w:hAnsi="Times New Roman" w:eastAsia="宋体" w:cs="Times New Roman"/>
                <w:color w:val="auto"/>
                <w:spacing w:val="0"/>
                <w:position w:val="0"/>
                <w:highlight w:val="none"/>
              </w:rPr>
              <w:t>mmPb。</w:t>
            </w:r>
          </w:p>
          <w:p w14:paraId="2280D9BA">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lang w:eastAsia="zh-CN"/>
              </w:rPr>
            </w:pPr>
            <w:r>
              <w:rPr>
                <w:rFonts w:hint="default" w:ascii="Times New Roman" w:hAnsi="Times New Roman" w:eastAsia="宋体" w:cs="Times New Roman"/>
                <w:color w:val="auto"/>
                <w:spacing w:val="0"/>
                <w:position w:val="0"/>
                <w:highlight w:val="none"/>
              </w:rPr>
              <w:t>介入室北墙：留有剪力墙部分</w:t>
            </w:r>
            <w:r>
              <w:rPr>
                <w:rFonts w:hint="eastAsia" w:cs="Times New Roman"/>
                <w:color w:val="auto"/>
                <w:spacing w:val="0"/>
                <w:position w:val="0"/>
                <w:highlight w:val="none"/>
                <w:lang w:val="en-US" w:eastAsia="zh-CN"/>
              </w:rPr>
              <w:t>：300mm钢筋混凝土剪力墙+</w:t>
            </w:r>
            <w:r>
              <w:rPr>
                <w:rFonts w:hint="default" w:ascii="Times New Roman" w:hAnsi="Times New Roman" w:eastAsia="宋体" w:cs="Times New Roman"/>
                <w:color w:val="auto"/>
                <w:spacing w:val="0"/>
                <w:position w:val="0"/>
                <w:highlight w:val="none"/>
                <w:lang w:eastAsia="zh-CN"/>
              </w:rPr>
              <w:t>涂刷</w:t>
            </w:r>
            <w:r>
              <w:rPr>
                <w:rFonts w:hint="eastAsia" w:cs="Times New Roman"/>
                <w:color w:val="auto"/>
                <w:spacing w:val="0"/>
                <w:position w:val="0"/>
                <w:highlight w:val="none"/>
                <w:lang w:val="en-US" w:eastAsia="zh-CN"/>
              </w:rPr>
              <w:t>2</w:t>
            </w:r>
            <w:r>
              <w:rPr>
                <w:rFonts w:hint="default" w:ascii="Times New Roman" w:hAnsi="Times New Roman" w:eastAsia="宋体" w:cs="Times New Roman"/>
                <w:color w:val="auto"/>
                <w:spacing w:val="0"/>
                <w:position w:val="0"/>
                <w:highlight w:val="none"/>
              </w:rPr>
              <w:t>0mm硫酸钡防护涂料进行屏蔽防护，折合铅当量：6.18mm，无剪力墙空区采用轻钢龙骨骨架，内衬4mmpb防护铅板进行屏蔽防护，折合铅当量4mmpb。</w:t>
            </w:r>
          </w:p>
          <w:p w14:paraId="56D401E0">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剪力墙和铅板，铅板和铅板等所有屏蔽搭接缝隙处，铅板搭接外延100mm，墙面拐角及吊顶衔接处采用圆弧形施工，确保错缝搭接。</w:t>
            </w:r>
          </w:p>
          <w:p w14:paraId="1D8CC5BB">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介入室顶面：顶面采用</w:t>
            </w:r>
            <w:r>
              <w:rPr>
                <w:rFonts w:hint="default" w:ascii="Times New Roman" w:hAnsi="Times New Roman" w:eastAsia="宋体" w:cs="Times New Roman"/>
                <w:color w:val="auto"/>
                <w:spacing w:val="0"/>
                <w:position w:val="0"/>
                <w:highlight w:val="none"/>
                <w:lang w:val="en-US" w:eastAsia="zh-CN"/>
              </w:rPr>
              <w:t>120mm钢筋混凝土楼板+4mmpb防护铅板，铅当量约5.44mmPb</w:t>
            </w:r>
            <w:r>
              <w:rPr>
                <w:rFonts w:hint="default" w:ascii="Times New Roman" w:hAnsi="Times New Roman" w:eastAsia="宋体" w:cs="Times New Roman"/>
                <w:color w:val="auto"/>
                <w:spacing w:val="0"/>
                <w:position w:val="0"/>
                <w:highlight w:val="none"/>
              </w:rPr>
              <w:t>；</w:t>
            </w:r>
          </w:p>
          <w:p w14:paraId="0FC8F951">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介入室地面：</w:t>
            </w:r>
            <w:r>
              <w:rPr>
                <w:rFonts w:hint="default" w:ascii="Times New Roman" w:hAnsi="Times New Roman" w:eastAsia="宋体" w:cs="Times New Roman"/>
                <w:color w:val="auto"/>
                <w:spacing w:val="0"/>
                <w:position w:val="0"/>
                <w:highlight w:val="none"/>
                <w:lang w:val="en-US" w:eastAsia="zh-CN"/>
              </w:rPr>
              <w:t>地面采用120mm钢筋混凝土楼板+40mm硫酸钡涂料+50mm细石混凝土找平层，铅当量约5.16mmPb</w:t>
            </w:r>
            <w:r>
              <w:rPr>
                <w:rFonts w:hint="default" w:ascii="Times New Roman" w:hAnsi="Times New Roman" w:eastAsia="宋体" w:cs="Times New Roman"/>
                <w:color w:val="auto"/>
                <w:spacing w:val="0"/>
                <w:position w:val="0"/>
                <w:highlight w:val="none"/>
              </w:rPr>
              <w:t>；</w:t>
            </w:r>
          </w:p>
          <w:p w14:paraId="660CCD8F">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介入室防护门：</w:t>
            </w:r>
            <w:r>
              <w:rPr>
                <w:rFonts w:hint="default" w:ascii="Times New Roman" w:hAnsi="Times New Roman" w:eastAsia="宋体" w:cs="Times New Roman"/>
                <w:color w:val="auto"/>
                <w:spacing w:val="0"/>
                <w:position w:val="0"/>
                <w:highlight w:val="none"/>
                <w:lang w:val="en-US" w:eastAsia="zh-CN"/>
              </w:rPr>
              <w:t>3道防护门均为内衬4mm铅板的防护门，铅当量约4mmPb，门扇底部采用防护铅胶条处理，密封地面缝隙，机房移动铅门与墙之间重叠30cm（两侧各15cm），高度高于门洞10cm</w:t>
            </w:r>
            <w:r>
              <w:rPr>
                <w:rFonts w:hint="default" w:ascii="Times New Roman" w:hAnsi="Times New Roman" w:eastAsia="宋体" w:cs="Times New Roman"/>
                <w:color w:val="auto"/>
                <w:spacing w:val="0"/>
                <w:position w:val="0"/>
                <w:highlight w:val="none"/>
              </w:rPr>
              <w:t>；</w:t>
            </w:r>
          </w:p>
          <w:p w14:paraId="3451E378">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介入室观察窗：</w:t>
            </w:r>
            <w:r>
              <w:rPr>
                <w:rFonts w:hint="default" w:ascii="Times New Roman" w:hAnsi="Times New Roman" w:eastAsia="宋体" w:cs="Times New Roman"/>
                <w:color w:val="auto"/>
                <w:spacing w:val="0"/>
                <w:position w:val="0"/>
                <w:highlight w:val="none"/>
                <w:lang w:val="en-US" w:eastAsia="zh-CN"/>
              </w:rPr>
              <w:t>机房观察窗为铅玻璃，铅玻璃规格1500×900mm，铅当量约4.0mmPb，</w:t>
            </w:r>
            <w:r>
              <w:rPr>
                <w:rFonts w:hint="default" w:ascii="Times New Roman" w:hAnsi="Times New Roman" w:eastAsia="宋体" w:cs="Times New Roman"/>
                <w:color w:val="auto"/>
                <w:spacing w:val="0"/>
                <w:position w:val="0"/>
                <w:highlight w:val="none"/>
              </w:rPr>
              <w:t>观察窗铅玻璃内嵌到防护墙内并在四周用铅皮进行包裹；</w:t>
            </w:r>
          </w:p>
          <w:p w14:paraId="0BCFB058">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highlight w:val="none"/>
              </w:rPr>
              <w:t>控制室</w:t>
            </w:r>
            <w:r>
              <w:rPr>
                <w:rFonts w:hint="default" w:ascii="Times New Roman" w:hAnsi="Times New Roman" w:eastAsia="宋体" w:cs="Times New Roman"/>
                <w:color w:val="auto"/>
                <w:spacing w:val="0"/>
                <w:position w:val="0"/>
                <w:highlight w:val="none"/>
                <w:lang w:val="en-US" w:eastAsia="zh-CN"/>
              </w:rPr>
              <w:t>铅门、患者通道铅门</w:t>
            </w:r>
            <w:r>
              <w:rPr>
                <w:rFonts w:hint="default" w:ascii="Times New Roman" w:hAnsi="Times New Roman" w:eastAsia="宋体" w:cs="Times New Roman"/>
                <w:color w:val="auto"/>
                <w:spacing w:val="0"/>
                <w:position w:val="0"/>
                <w:highlight w:val="none"/>
              </w:rPr>
              <w:t>为</w:t>
            </w:r>
            <w:r>
              <w:rPr>
                <w:rFonts w:hint="default" w:ascii="Times New Roman" w:hAnsi="Times New Roman" w:eastAsia="宋体" w:cs="Times New Roman"/>
                <w:color w:val="auto"/>
                <w:spacing w:val="0"/>
                <w:position w:val="0"/>
                <w:highlight w:val="none"/>
                <w:lang w:val="en-US" w:eastAsia="zh-CN"/>
              </w:rPr>
              <w:t>平移电动</w:t>
            </w:r>
            <w:r>
              <w:rPr>
                <w:rFonts w:hint="default" w:ascii="Times New Roman" w:hAnsi="Times New Roman" w:eastAsia="宋体" w:cs="Times New Roman"/>
                <w:color w:val="auto"/>
                <w:spacing w:val="0"/>
                <w:position w:val="0"/>
                <w:highlight w:val="none"/>
              </w:rPr>
              <w:t>铅防护门</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共2套，污物通道铅门为单向平开门，共1套</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各防护门设置闭门装置</w:t>
            </w:r>
            <w:r>
              <w:rPr>
                <w:rFonts w:hint="default" w:ascii="Times New Roman" w:hAnsi="Times New Roman" w:eastAsia="宋体" w:cs="Times New Roman"/>
                <w:color w:val="auto"/>
                <w:spacing w:val="0"/>
                <w:position w:val="0"/>
                <w:highlight w:val="none"/>
                <w:lang w:val="en-US" w:eastAsia="zh-CN"/>
              </w:rPr>
              <w:t>及</w:t>
            </w:r>
            <w:r>
              <w:rPr>
                <w:rFonts w:hint="default" w:ascii="Times New Roman" w:hAnsi="Times New Roman" w:eastAsia="宋体" w:cs="Times New Roman"/>
                <w:color w:val="auto"/>
                <w:spacing w:val="0"/>
                <w:position w:val="0"/>
                <w:highlight w:val="none"/>
              </w:rPr>
              <w:t>防夹装置。</w:t>
            </w:r>
            <w:r>
              <w:rPr>
                <w:rFonts w:hint="default" w:ascii="Times New Roman" w:hAnsi="Times New Roman" w:eastAsia="宋体" w:cs="Times New Roman"/>
                <w:color w:val="auto"/>
                <w:spacing w:val="0"/>
                <w:position w:val="0"/>
                <w:highlight w:val="none"/>
                <w:lang w:val="en-US" w:eastAsia="zh-CN"/>
              </w:rPr>
              <w:t>门扇底部采用防护铅胶条处理，密封地面缝隙，机房移动铅门与墙之间重叠30cm（两侧各15cm），高度高于门洞10cm</w:t>
            </w:r>
            <w:r>
              <w:rPr>
                <w:rFonts w:hint="default" w:ascii="Times New Roman" w:hAnsi="Times New Roman" w:eastAsia="宋体" w:cs="Times New Roman"/>
                <w:color w:val="auto"/>
                <w:spacing w:val="0"/>
                <w:position w:val="0"/>
              </w:rPr>
              <w:t>。</w:t>
            </w:r>
          </w:p>
          <w:p w14:paraId="11BC549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本项目DSA介入室的辐射防护屏蔽材料、屏蔽厚度及所对应的等效屏蔽效果见表10-</w:t>
            </w:r>
            <w:r>
              <w:rPr>
                <w:rFonts w:hint="default" w:ascii="Times New Roman" w:hAnsi="Times New Roman" w:eastAsia="宋体" w:cs="Times New Roman"/>
                <w:color w:val="auto"/>
                <w:spacing w:val="0"/>
                <w:position w:val="0"/>
                <w:highlight w:val="none"/>
                <w:lang w:val="en-US" w:eastAsia="zh-CN"/>
              </w:rPr>
              <w:t>3</w:t>
            </w:r>
            <w:r>
              <w:rPr>
                <w:rFonts w:hint="default" w:ascii="Times New Roman" w:hAnsi="Times New Roman" w:eastAsia="宋体" w:cs="Times New Roman"/>
                <w:color w:val="auto"/>
                <w:spacing w:val="0"/>
                <w:position w:val="0"/>
                <w:highlight w:val="none"/>
              </w:rPr>
              <w:t>，屏蔽防护设计示意图见图10-</w:t>
            </w:r>
            <w:r>
              <w:rPr>
                <w:rFonts w:hint="default" w:ascii="Times New Roman" w:hAnsi="Times New Roman" w:eastAsia="宋体" w:cs="Times New Roman"/>
                <w:color w:val="auto"/>
                <w:spacing w:val="0"/>
                <w:position w:val="0"/>
                <w:highlight w:val="none"/>
                <w:lang w:val="en-US" w:eastAsia="zh-CN"/>
              </w:rPr>
              <w:t>3</w:t>
            </w:r>
            <w:r>
              <w:rPr>
                <w:rFonts w:hint="eastAsia" w:cs="Times New Roman"/>
                <w:color w:val="auto"/>
                <w:spacing w:val="0"/>
                <w:position w:val="0"/>
                <w:highlight w:val="none"/>
                <w:lang w:val="en-US" w:eastAsia="zh-CN"/>
              </w:rPr>
              <w:t>~</w:t>
            </w:r>
            <w:r>
              <w:rPr>
                <w:rFonts w:hint="default" w:ascii="Times New Roman" w:hAnsi="Times New Roman" w:eastAsia="宋体" w:cs="Times New Roman"/>
                <w:color w:val="auto"/>
                <w:spacing w:val="0"/>
                <w:position w:val="0"/>
                <w:highlight w:val="none"/>
              </w:rPr>
              <w:t>图10-</w:t>
            </w:r>
            <w:r>
              <w:rPr>
                <w:rFonts w:hint="eastAsia" w:cs="Times New Roman"/>
                <w:color w:val="auto"/>
                <w:spacing w:val="0"/>
                <w:position w:val="0"/>
                <w:highlight w:val="none"/>
                <w:lang w:val="en-US" w:eastAsia="zh-CN"/>
              </w:rPr>
              <w:t>5</w:t>
            </w:r>
            <w:r>
              <w:rPr>
                <w:rFonts w:hint="default" w:ascii="Times New Roman" w:hAnsi="Times New Roman" w:eastAsia="宋体" w:cs="Times New Roman"/>
                <w:color w:val="auto"/>
                <w:spacing w:val="0"/>
                <w:position w:val="0"/>
                <w:highlight w:val="none"/>
              </w:rPr>
              <w:t>。</w:t>
            </w:r>
          </w:p>
          <w:p w14:paraId="7C28A776">
            <w:pPr>
              <w:pStyle w:val="35"/>
              <w:suppressLineNumbers w:val="0"/>
              <w:spacing w:before="0" w:beforeAutospacing="0" w:after="0" w:afterAutospacing="0"/>
              <w:ind w:left="0" w:right="0"/>
              <w:rPr>
                <w:rFonts w:hint="default" w:ascii="Times New Roman" w:hAnsi="Times New Roman" w:eastAsia="宋体" w:cs="Times New Roman"/>
                <w:color w:val="auto"/>
                <w:spacing w:val="0"/>
                <w:position w:val="0"/>
                <w:sz w:val="21"/>
                <w:szCs w:val="21"/>
              </w:rPr>
            </w:pPr>
            <w:bookmarkStart w:id="45" w:name="_Toc15246"/>
            <w:bookmarkStart w:id="46" w:name="_Toc6244"/>
            <w:r>
              <w:rPr>
                <w:rFonts w:hint="default" w:ascii="Times New Roman" w:hAnsi="Times New Roman" w:eastAsia="宋体" w:cs="Times New Roman"/>
                <w:color w:val="auto"/>
                <w:spacing w:val="0"/>
                <w:position w:val="0"/>
                <w:sz w:val="21"/>
                <w:szCs w:val="21"/>
              </w:rPr>
              <w:t>表10-</w:t>
            </w:r>
            <w:r>
              <w:rPr>
                <w:rFonts w:hint="default" w:ascii="Times New Roman" w:hAnsi="Times New Roman" w:eastAsia="宋体" w:cs="Times New Roman"/>
                <w:color w:val="auto"/>
                <w:spacing w:val="0"/>
                <w:position w:val="0"/>
                <w:sz w:val="21"/>
                <w:szCs w:val="21"/>
                <w:lang w:val="en-US" w:eastAsia="zh-CN"/>
              </w:rPr>
              <w:t>3</w:t>
            </w:r>
            <w:r>
              <w:rPr>
                <w:rFonts w:hint="default" w:ascii="Times New Roman" w:hAnsi="Times New Roman" w:eastAsia="宋体" w:cs="Times New Roman"/>
                <w:color w:val="auto"/>
                <w:spacing w:val="0"/>
                <w:position w:val="0"/>
                <w:sz w:val="21"/>
                <w:szCs w:val="21"/>
              </w:rPr>
              <w:t>本项目DSA介入室辐射防护屏蔽设计一览表</w:t>
            </w:r>
            <w:bookmarkEnd w:id="45"/>
            <w:bookmarkEnd w:id="46"/>
          </w:p>
          <w:tbl>
            <w:tblPr>
              <w:tblStyle w:val="20"/>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9"/>
              <w:gridCol w:w="1505"/>
              <w:gridCol w:w="5097"/>
              <w:gridCol w:w="1683"/>
            </w:tblGrid>
            <w:tr w14:paraId="4D7C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noWrap w:val="0"/>
                  <w:vAlign w:val="center"/>
                </w:tcPr>
                <w:p w14:paraId="5C9A11D3">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场所名称</w:t>
                  </w:r>
                </w:p>
              </w:tc>
              <w:tc>
                <w:tcPr>
                  <w:tcW w:w="852" w:type="pct"/>
                  <w:noWrap w:val="0"/>
                  <w:vAlign w:val="center"/>
                </w:tcPr>
                <w:p w14:paraId="00BEE7A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屏蔽方位</w:t>
                  </w:r>
                </w:p>
              </w:tc>
              <w:tc>
                <w:tcPr>
                  <w:tcW w:w="2885" w:type="pct"/>
                  <w:noWrap w:val="0"/>
                  <w:vAlign w:val="center"/>
                </w:tcPr>
                <w:p w14:paraId="7C62724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屏蔽材料及屏蔽厚度</w:t>
                  </w:r>
                </w:p>
              </w:tc>
              <w:tc>
                <w:tcPr>
                  <w:tcW w:w="951" w:type="pct"/>
                  <w:noWrap w:val="0"/>
                  <w:vAlign w:val="center"/>
                </w:tcPr>
                <w:p w14:paraId="155224F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等效屏蔽效果</w:t>
                  </w:r>
                </w:p>
              </w:tc>
            </w:tr>
            <w:tr w14:paraId="4C60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vMerge w:val="restart"/>
                  <w:noWrap w:val="0"/>
                  <w:vAlign w:val="center"/>
                </w:tcPr>
                <w:p w14:paraId="3ABD948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DSA介入室</w:t>
                  </w:r>
                </w:p>
              </w:tc>
              <w:tc>
                <w:tcPr>
                  <w:tcW w:w="852" w:type="pct"/>
                  <w:vMerge w:val="restart"/>
                  <w:noWrap w:val="0"/>
                  <w:vAlign w:val="center"/>
                </w:tcPr>
                <w:p w14:paraId="50A34BB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东墙、南墙、北墙</w:t>
                  </w:r>
                </w:p>
              </w:tc>
              <w:tc>
                <w:tcPr>
                  <w:tcW w:w="2885" w:type="pct"/>
                  <w:noWrap w:val="0"/>
                  <w:vAlign w:val="center"/>
                </w:tcPr>
                <w:p w14:paraId="4E2F878C">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highlight w:val="none"/>
                      <w:lang w:val="en-US" w:eastAsia="zh-CN"/>
                    </w:rPr>
                    <w:t>留有剪力墙部分：</w:t>
                  </w:r>
                  <w:r>
                    <w:rPr>
                      <w:rFonts w:hint="eastAsia" w:cs="Times New Roman"/>
                      <w:color w:val="auto"/>
                      <w:spacing w:val="0"/>
                      <w:position w:val="0"/>
                      <w:highlight w:val="none"/>
                      <w:lang w:val="en-US" w:eastAsia="zh-CN"/>
                    </w:rPr>
                    <w:t>300mm钢筋混凝土剪力墙</w:t>
                  </w:r>
                  <w:r>
                    <w:rPr>
                      <w:rFonts w:hint="default" w:ascii="Times New Roman" w:hAnsi="Times New Roman" w:eastAsia="宋体" w:cs="Times New Roman"/>
                      <w:color w:val="auto"/>
                      <w:spacing w:val="0"/>
                      <w:position w:val="0"/>
                      <w:highlight w:val="none"/>
                      <w:lang w:val="en-US" w:eastAsia="zh-CN"/>
                    </w:rPr>
                    <w:t>+涂刷20mm硫酸钡防护涂料进行屏蔽防护，折合铅当量：6.18mm</w:t>
                  </w:r>
                </w:p>
              </w:tc>
              <w:tc>
                <w:tcPr>
                  <w:tcW w:w="951" w:type="pct"/>
                  <w:noWrap w:val="0"/>
                  <w:vAlign w:val="center"/>
                </w:tcPr>
                <w:p w14:paraId="273B9C4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eastAsia" w:cs="Times New Roman"/>
                      <w:color w:val="auto"/>
                      <w:spacing w:val="0"/>
                      <w:position w:val="0"/>
                      <w:szCs w:val="21"/>
                      <w:lang w:val="en-US" w:eastAsia="zh-CN"/>
                    </w:rPr>
                    <w:t>6.18</w:t>
                  </w:r>
                  <w:r>
                    <w:rPr>
                      <w:rFonts w:hint="default" w:ascii="Times New Roman" w:hAnsi="Times New Roman" w:eastAsia="宋体" w:cs="Times New Roman"/>
                      <w:color w:val="auto"/>
                      <w:spacing w:val="0"/>
                      <w:position w:val="0"/>
                      <w:szCs w:val="21"/>
                    </w:rPr>
                    <w:t>mm铅当量</w:t>
                  </w:r>
                </w:p>
              </w:tc>
            </w:tr>
            <w:tr w14:paraId="22B8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vMerge w:val="continue"/>
                  <w:noWrap w:val="0"/>
                  <w:vAlign w:val="center"/>
                </w:tcPr>
                <w:p w14:paraId="07AC54F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852" w:type="pct"/>
                  <w:vMerge w:val="continue"/>
                  <w:noWrap w:val="0"/>
                  <w:vAlign w:val="center"/>
                </w:tcPr>
                <w:p w14:paraId="53B2766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p>
              </w:tc>
              <w:tc>
                <w:tcPr>
                  <w:tcW w:w="2885" w:type="pct"/>
                  <w:noWrap w:val="0"/>
                  <w:vAlign w:val="center"/>
                </w:tcPr>
                <w:p w14:paraId="10A16C7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在无剪力墙空区采用轻钢龙骨骨架，内衬4mmpb防护铅板进行屏蔽防护</w:t>
                  </w:r>
                </w:p>
              </w:tc>
              <w:tc>
                <w:tcPr>
                  <w:tcW w:w="951" w:type="pct"/>
                  <w:noWrap w:val="0"/>
                  <w:vAlign w:val="center"/>
                </w:tcPr>
                <w:p w14:paraId="5E5F491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4.0mm铅当量</w:t>
                  </w:r>
                </w:p>
              </w:tc>
            </w:tr>
            <w:tr w14:paraId="3327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vMerge w:val="continue"/>
                  <w:noWrap w:val="0"/>
                  <w:vAlign w:val="center"/>
                </w:tcPr>
                <w:p w14:paraId="68ADFF9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852" w:type="pct"/>
                  <w:noWrap w:val="0"/>
                  <w:vAlign w:val="center"/>
                </w:tcPr>
                <w:p w14:paraId="661CEE8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西墙</w:t>
                  </w:r>
                </w:p>
              </w:tc>
              <w:tc>
                <w:tcPr>
                  <w:tcW w:w="2885" w:type="pct"/>
                  <w:noWrap w:val="0"/>
                  <w:vAlign w:val="center"/>
                </w:tcPr>
                <w:p w14:paraId="327DE5C6">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lang w:val="en-US" w:eastAsia="zh-CN"/>
                    </w:rPr>
                    <w:t>采用轻钢龙骨骨架，内衬4mmpb防护铅板进行屏蔽防护</w:t>
                  </w:r>
                </w:p>
              </w:tc>
              <w:tc>
                <w:tcPr>
                  <w:tcW w:w="951" w:type="pct"/>
                  <w:noWrap w:val="0"/>
                  <w:vAlign w:val="center"/>
                </w:tcPr>
                <w:p w14:paraId="64AD1F7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4.0mm铅当量</w:t>
                  </w:r>
                </w:p>
              </w:tc>
            </w:tr>
            <w:tr w14:paraId="5009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4" w:hRule="atLeast"/>
                <w:jc w:val="center"/>
              </w:trPr>
              <w:tc>
                <w:tcPr>
                  <w:tcW w:w="311" w:type="pct"/>
                  <w:vMerge w:val="continue"/>
                  <w:noWrap w:val="0"/>
                  <w:vAlign w:val="center"/>
                </w:tcPr>
                <w:p w14:paraId="4A6A2D2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852" w:type="pct"/>
                  <w:noWrap w:val="0"/>
                  <w:vAlign w:val="center"/>
                </w:tcPr>
                <w:p w14:paraId="3482F05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顶面</w:t>
                  </w:r>
                </w:p>
              </w:tc>
              <w:tc>
                <w:tcPr>
                  <w:tcW w:w="2885" w:type="pct"/>
                  <w:noWrap w:val="0"/>
                  <w:vAlign w:val="center"/>
                </w:tcPr>
                <w:p w14:paraId="690983DC">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rPr>
                  </w:pPr>
                  <w:r>
                    <w:rPr>
                      <w:rFonts w:hint="default" w:ascii="Times New Roman" w:hAnsi="Times New Roman" w:eastAsia="宋体" w:cs="Times New Roman"/>
                      <w:color w:val="auto"/>
                      <w:spacing w:val="0"/>
                      <w:position w:val="0"/>
                      <w:szCs w:val="21"/>
                      <w:lang w:val="en-US" w:eastAsia="zh-CN"/>
                    </w:rPr>
                    <w:t>120mm钢筋混凝土楼板+4mmpb防护铅板</w:t>
                  </w:r>
                </w:p>
              </w:tc>
              <w:tc>
                <w:tcPr>
                  <w:tcW w:w="951" w:type="pct"/>
                  <w:noWrap w:val="0"/>
                  <w:vAlign w:val="center"/>
                </w:tcPr>
                <w:p w14:paraId="1C1FEC6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lang w:val="en-US" w:eastAsia="zh-CN"/>
                    </w:rPr>
                    <w:t>5.44mm</w:t>
                  </w:r>
                  <w:r>
                    <w:rPr>
                      <w:rFonts w:hint="default" w:ascii="Times New Roman" w:hAnsi="Times New Roman" w:eastAsia="宋体" w:cs="Times New Roman"/>
                      <w:color w:val="auto"/>
                      <w:spacing w:val="0"/>
                      <w:position w:val="0"/>
                      <w:szCs w:val="21"/>
                    </w:rPr>
                    <w:t>铅当量</w:t>
                  </w:r>
                </w:p>
              </w:tc>
            </w:tr>
            <w:tr w14:paraId="69DC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vMerge w:val="continue"/>
                  <w:noWrap w:val="0"/>
                  <w:vAlign w:val="center"/>
                </w:tcPr>
                <w:p w14:paraId="14B13AF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852" w:type="pct"/>
                  <w:noWrap w:val="0"/>
                  <w:vAlign w:val="center"/>
                </w:tcPr>
                <w:p w14:paraId="6F45D7F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地面</w:t>
                  </w:r>
                </w:p>
              </w:tc>
              <w:tc>
                <w:tcPr>
                  <w:tcW w:w="2885" w:type="pct"/>
                  <w:noWrap w:val="0"/>
                  <w:vAlign w:val="center"/>
                </w:tcPr>
                <w:p w14:paraId="68B3D58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120mm钢筋混凝土楼板+40mm硫酸钡涂料+50mm细石混凝土找平层</w:t>
                  </w:r>
                </w:p>
              </w:tc>
              <w:tc>
                <w:tcPr>
                  <w:tcW w:w="951" w:type="pct"/>
                  <w:noWrap w:val="0"/>
                  <w:vAlign w:val="center"/>
                </w:tcPr>
                <w:p w14:paraId="34EAFB1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5.16mm铅当量</w:t>
                  </w:r>
                </w:p>
              </w:tc>
            </w:tr>
            <w:tr w14:paraId="5CB4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vMerge w:val="continue"/>
                  <w:noWrap w:val="0"/>
                  <w:vAlign w:val="center"/>
                </w:tcPr>
                <w:p w14:paraId="059A71D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852" w:type="pct"/>
                  <w:noWrap w:val="0"/>
                  <w:vAlign w:val="center"/>
                </w:tcPr>
                <w:p w14:paraId="1CD50A3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电动防护门</w:t>
                  </w:r>
                </w:p>
              </w:tc>
              <w:tc>
                <w:tcPr>
                  <w:tcW w:w="2885" w:type="pct"/>
                  <w:noWrap w:val="0"/>
                  <w:vAlign w:val="center"/>
                </w:tcPr>
                <w:p w14:paraId="3F170B8D">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3道防护门均为内衬4.0mm铅板的防护门门扇底部采用防护铅胶条处理，密封地面缝隙，机房移动铅门与墙之间重叠30cm（两侧各15cm），高度高于门洞10cm</w:t>
                  </w:r>
                </w:p>
              </w:tc>
              <w:tc>
                <w:tcPr>
                  <w:tcW w:w="951" w:type="pct"/>
                  <w:noWrap w:val="0"/>
                  <w:vAlign w:val="center"/>
                </w:tcPr>
                <w:p w14:paraId="310E7F7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lang w:val="en-US" w:eastAsia="zh-CN"/>
                    </w:rPr>
                    <w:t>4.0</w:t>
                  </w:r>
                  <w:r>
                    <w:rPr>
                      <w:rFonts w:hint="default" w:ascii="Times New Roman" w:hAnsi="Times New Roman" w:eastAsia="宋体" w:cs="Times New Roman"/>
                      <w:color w:val="auto"/>
                      <w:spacing w:val="0"/>
                      <w:position w:val="0"/>
                      <w:szCs w:val="21"/>
                    </w:rPr>
                    <w:t>mm铅当量</w:t>
                  </w:r>
                </w:p>
              </w:tc>
            </w:tr>
            <w:tr w14:paraId="60E0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vMerge w:val="continue"/>
                  <w:noWrap w:val="0"/>
                  <w:vAlign w:val="center"/>
                </w:tcPr>
                <w:p w14:paraId="5020DBF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852" w:type="pct"/>
                  <w:noWrap w:val="0"/>
                  <w:vAlign w:val="center"/>
                </w:tcPr>
                <w:p w14:paraId="4CC9F72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控制室观察窗</w:t>
                  </w:r>
                </w:p>
              </w:tc>
              <w:tc>
                <w:tcPr>
                  <w:tcW w:w="2885" w:type="pct"/>
                  <w:noWrap w:val="0"/>
                  <w:vAlign w:val="center"/>
                </w:tcPr>
                <w:p w14:paraId="1C193DC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lang w:val="en-US" w:eastAsia="zh-CN"/>
                    </w:rPr>
                    <w:t>机房观察窗为高铅玻璃，铅玻璃规格1500×900mm</w:t>
                  </w:r>
                </w:p>
              </w:tc>
              <w:tc>
                <w:tcPr>
                  <w:tcW w:w="951" w:type="pct"/>
                  <w:noWrap w:val="0"/>
                  <w:vAlign w:val="center"/>
                </w:tcPr>
                <w:p w14:paraId="427D4B6E">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lang w:eastAsia="zh-CN"/>
                    </w:rPr>
                    <w:t>4.0mm</w:t>
                  </w:r>
                  <w:r>
                    <w:rPr>
                      <w:rFonts w:hint="default" w:ascii="Times New Roman" w:hAnsi="Times New Roman" w:eastAsia="宋体" w:cs="Times New Roman"/>
                      <w:color w:val="auto"/>
                      <w:spacing w:val="0"/>
                      <w:position w:val="0"/>
                      <w:szCs w:val="21"/>
                    </w:rPr>
                    <w:t>铅当量</w:t>
                  </w:r>
                </w:p>
              </w:tc>
            </w:tr>
            <w:tr w14:paraId="79E4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vMerge w:val="continue"/>
                  <w:noWrap w:val="0"/>
                  <w:vAlign w:val="center"/>
                </w:tcPr>
                <w:p w14:paraId="60889BF2">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852" w:type="pct"/>
                  <w:noWrap w:val="0"/>
                  <w:vAlign w:val="center"/>
                </w:tcPr>
                <w:p w14:paraId="30D6548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DSA介入室面积</w:t>
                  </w:r>
                </w:p>
              </w:tc>
              <w:tc>
                <w:tcPr>
                  <w:tcW w:w="3836" w:type="pct"/>
                  <w:gridSpan w:val="2"/>
                  <w:noWrap w:val="0"/>
                  <w:vAlign w:val="center"/>
                </w:tcPr>
                <w:p w14:paraId="752C639C">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sz w:val="21"/>
                      <w:szCs w:val="21"/>
                      <w:highlight w:val="none"/>
                      <w:lang w:val="en-US" w:eastAsia="zh-CN"/>
                    </w:rPr>
                    <w:t>北面长约8m，南面长约1.5m+0.55m+2.1m+1.15m+</w:t>
                  </w:r>
                  <w:r>
                    <w:rPr>
                      <w:rFonts w:hint="eastAsia" w:cs="Times New Roman"/>
                      <w:color w:val="auto"/>
                      <w:spacing w:val="0"/>
                      <w:position w:val="0"/>
                      <w:sz w:val="21"/>
                      <w:szCs w:val="21"/>
                      <w:highlight w:val="none"/>
                      <w:lang w:val="en-US" w:eastAsia="zh-CN"/>
                    </w:rPr>
                    <w:t>4.39m（合计9.69m）</w:t>
                  </w:r>
                  <w:r>
                    <w:rPr>
                      <w:rFonts w:hint="default" w:ascii="Times New Roman" w:hAnsi="Times New Roman" w:eastAsia="宋体" w:cs="Times New Roman"/>
                      <w:color w:val="auto"/>
                      <w:spacing w:val="0"/>
                      <w:position w:val="0"/>
                      <w:sz w:val="21"/>
                      <w:szCs w:val="21"/>
                      <w:highlight w:val="none"/>
                      <w:lang w:val="en-US" w:eastAsia="zh-CN"/>
                    </w:rPr>
                    <w:t>，西面长约6m，东面长约7.15m，机房净空高度H高2.8m，有效面积约为48.21m</w:t>
                  </w:r>
                  <w:r>
                    <w:rPr>
                      <w:rFonts w:hint="default" w:ascii="Times New Roman" w:hAnsi="Times New Roman" w:eastAsia="宋体" w:cs="Times New Roman"/>
                      <w:color w:val="auto"/>
                      <w:spacing w:val="0"/>
                      <w:position w:val="0"/>
                      <w:sz w:val="21"/>
                      <w:szCs w:val="21"/>
                      <w:highlight w:val="none"/>
                      <w:vertAlign w:val="superscript"/>
                      <w:lang w:val="en-US" w:eastAsia="zh-CN"/>
                    </w:rPr>
                    <w:t>2</w:t>
                  </w:r>
                  <w:r>
                    <w:rPr>
                      <w:rFonts w:hint="default" w:ascii="Times New Roman" w:hAnsi="Times New Roman" w:eastAsia="宋体" w:cs="Times New Roman"/>
                      <w:color w:val="auto"/>
                      <w:spacing w:val="0"/>
                      <w:position w:val="0"/>
                      <w:sz w:val="21"/>
                      <w:szCs w:val="21"/>
                      <w:highlight w:val="none"/>
                      <w:lang w:val="en-US" w:eastAsia="zh-CN"/>
                    </w:rPr>
                    <w:t>，净空体积为135m</w:t>
                  </w:r>
                  <w:r>
                    <w:rPr>
                      <w:rFonts w:hint="default" w:ascii="Times New Roman" w:hAnsi="Times New Roman" w:eastAsia="宋体" w:cs="Times New Roman"/>
                      <w:color w:val="auto"/>
                      <w:spacing w:val="0"/>
                      <w:position w:val="0"/>
                      <w:sz w:val="21"/>
                      <w:szCs w:val="21"/>
                      <w:highlight w:val="none"/>
                      <w:vertAlign w:val="superscript"/>
                      <w:lang w:val="en-US" w:eastAsia="zh-CN"/>
                    </w:rPr>
                    <w:t>3</w:t>
                  </w:r>
                </w:p>
              </w:tc>
            </w:tr>
            <w:tr w14:paraId="77DB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noWrap w:val="0"/>
                  <w:vAlign w:val="center"/>
                </w:tcPr>
                <w:p w14:paraId="4CABF91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通排风</w:t>
                  </w:r>
                </w:p>
              </w:tc>
              <w:tc>
                <w:tcPr>
                  <w:tcW w:w="852" w:type="pct"/>
                  <w:noWrap w:val="0"/>
                  <w:vAlign w:val="center"/>
                </w:tcPr>
                <w:p w14:paraId="6D11FD33">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通风透气</w:t>
                  </w:r>
                </w:p>
              </w:tc>
              <w:tc>
                <w:tcPr>
                  <w:tcW w:w="3836" w:type="pct"/>
                  <w:gridSpan w:val="2"/>
                  <w:noWrap w:val="0"/>
                  <w:vAlign w:val="center"/>
                </w:tcPr>
                <w:p w14:paraId="0D9139E4">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机房采用</w:t>
                  </w:r>
                  <w:r>
                    <w:rPr>
                      <w:rFonts w:hint="default" w:ascii="Times New Roman" w:hAnsi="Times New Roman" w:eastAsia="宋体" w:cs="Times New Roman"/>
                      <w:color w:val="auto"/>
                      <w:spacing w:val="0"/>
                      <w:position w:val="0"/>
                      <w:szCs w:val="21"/>
                      <w:lang w:val="en-US" w:eastAsia="zh-CN"/>
                    </w:rPr>
                    <w:t>净化空调</w:t>
                  </w:r>
                  <w:r>
                    <w:rPr>
                      <w:rFonts w:hint="default" w:ascii="Times New Roman" w:hAnsi="Times New Roman" w:eastAsia="宋体" w:cs="Times New Roman"/>
                      <w:color w:val="auto"/>
                      <w:spacing w:val="0"/>
                      <w:position w:val="0"/>
                      <w:szCs w:val="21"/>
                    </w:rPr>
                    <w:t>换气，机组风量12</w:t>
                  </w:r>
                  <w:r>
                    <w:rPr>
                      <w:rFonts w:hint="default" w:ascii="Times New Roman" w:hAnsi="Times New Roman" w:eastAsia="宋体" w:cs="Times New Roman"/>
                      <w:color w:val="auto"/>
                      <w:spacing w:val="0"/>
                      <w:position w:val="0"/>
                      <w:szCs w:val="21"/>
                      <w:lang w:val="en-US" w:eastAsia="zh-CN"/>
                    </w:rPr>
                    <w:t>0</w:t>
                  </w:r>
                  <w:r>
                    <w:rPr>
                      <w:rFonts w:hint="default" w:ascii="Times New Roman" w:hAnsi="Times New Roman" w:eastAsia="宋体" w:cs="Times New Roman"/>
                      <w:color w:val="auto"/>
                      <w:spacing w:val="0"/>
                      <w:position w:val="0"/>
                      <w:szCs w:val="21"/>
                    </w:rPr>
                    <w:t>00m</w:t>
                  </w:r>
                  <w:r>
                    <w:rPr>
                      <w:rFonts w:hint="default" w:ascii="Times New Roman" w:hAnsi="Times New Roman" w:eastAsia="宋体" w:cs="Times New Roman"/>
                      <w:color w:val="auto"/>
                      <w:spacing w:val="0"/>
                      <w:position w:val="0"/>
                      <w:szCs w:val="21"/>
                      <w:vertAlign w:val="superscript"/>
                    </w:rPr>
                    <w:t>3</w:t>
                  </w:r>
                  <w:r>
                    <w:rPr>
                      <w:rFonts w:hint="default" w:ascii="Times New Roman" w:hAnsi="Times New Roman" w:eastAsia="宋体" w:cs="Times New Roman"/>
                      <w:color w:val="auto"/>
                      <w:spacing w:val="0"/>
                      <w:position w:val="0"/>
                      <w:szCs w:val="21"/>
                    </w:rPr>
                    <w:t>/h</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新风量1400m</w:t>
                  </w:r>
                  <w:r>
                    <w:rPr>
                      <w:rFonts w:hint="default" w:ascii="Times New Roman" w:hAnsi="Times New Roman" w:eastAsia="宋体" w:cs="Times New Roman"/>
                      <w:color w:val="auto"/>
                      <w:spacing w:val="0"/>
                      <w:position w:val="0"/>
                      <w:szCs w:val="21"/>
                      <w:vertAlign w:val="superscript"/>
                    </w:rPr>
                    <w:t>3</w:t>
                  </w:r>
                  <w:r>
                    <w:rPr>
                      <w:rFonts w:hint="default" w:ascii="Times New Roman" w:hAnsi="Times New Roman" w:eastAsia="宋体" w:cs="Times New Roman"/>
                      <w:color w:val="auto"/>
                      <w:spacing w:val="0"/>
                      <w:position w:val="0"/>
                      <w:szCs w:val="21"/>
                    </w:rPr>
                    <w:t>/h</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回风</w:t>
                  </w:r>
                  <w:r>
                    <w:rPr>
                      <w:rFonts w:hint="default" w:ascii="Times New Roman" w:hAnsi="Times New Roman" w:eastAsia="宋体" w:cs="Times New Roman"/>
                      <w:color w:val="auto"/>
                      <w:spacing w:val="0"/>
                      <w:position w:val="0"/>
                      <w:szCs w:val="21"/>
                      <w:lang w:val="en-US" w:eastAsia="zh-CN"/>
                    </w:rPr>
                    <w:t>风量</w:t>
                  </w:r>
                  <w:r>
                    <w:rPr>
                      <w:rFonts w:hint="default" w:ascii="Times New Roman" w:hAnsi="Times New Roman" w:eastAsia="宋体" w:cs="Times New Roman"/>
                      <w:color w:val="auto"/>
                      <w:spacing w:val="0"/>
                      <w:position w:val="0"/>
                      <w:szCs w:val="21"/>
                    </w:rPr>
                    <w:t>10600m</w:t>
                  </w:r>
                  <w:r>
                    <w:rPr>
                      <w:rFonts w:hint="default" w:ascii="Times New Roman" w:hAnsi="Times New Roman" w:eastAsia="宋体" w:cs="Times New Roman"/>
                      <w:color w:val="auto"/>
                      <w:spacing w:val="0"/>
                      <w:position w:val="0"/>
                      <w:szCs w:val="21"/>
                      <w:vertAlign w:val="superscript"/>
                    </w:rPr>
                    <w:t>3</w:t>
                  </w:r>
                  <w:r>
                    <w:rPr>
                      <w:rFonts w:hint="default" w:ascii="Times New Roman" w:hAnsi="Times New Roman" w:eastAsia="宋体" w:cs="Times New Roman"/>
                      <w:color w:val="auto"/>
                      <w:spacing w:val="0"/>
                      <w:position w:val="0"/>
                      <w:szCs w:val="21"/>
                    </w:rPr>
                    <w:t>/h</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排</w:t>
                  </w:r>
                  <w:r>
                    <w:rPr>
                      <w:rFonts w:hint="default" w:ascii="Times New Roman" w:hAnsi="Times New Roman" w:eastAsia="宋体" w:cs="Times New Roman"/>
                      <w:color w:val="auto"/>
                      <w:spacing w:val="0"/>
                      <w:position w:val="0"/>
                      <w:szCs w:val="21"/>
                    </w:rPr>
                    <w:t>风量</w:t>
                  </w:r>
                  <w:r>
                    <w:rPr>
                      <w:rFonts w:hint="default" w:ascii="Times New Roman" w:hAnsi="Times New Roman" w:eastAsia="宋体" w:cs="Times New Roman"/>
                      <w:color w:val="auto"/>
                      <w:spacing w:val="0"/>
                      <w:position w:val="0"/>
                      <w:szCs w:val="21"/>
                      <w:lang w:eastAsia="zh-CN"/>
                    </w:rPr>
                    <w:t>为</w:t>
                  </w:r>
                  <w:r>
                    <w:rPr>
                      <w:rFonts w:hint="default" w:ascii="Times New Roman" w:hAnsi="Times New Roman" w:eastAsia="宋体" w:cs="Times New Roman"/>
                      <w:color w:val="auto"/>
                      <w:spacing w:val="0"/>
                      <w:position w:val="0"/>
                      <w:szCs w:val="21"/>
                      <w:lang w:val="en-US" w:eastAsia="zh-CN"/>
                    </w:rPr>
                    <w:t>5</w:t>
                  </w:r>
                  <w:r>
                    <w:rPr>
                      <w:rFonts w:hint="default" w:ascii="Times New Roman" w:hAnsi="Times New Roman" w:eastAsia="宋体" w:cs="Times New Roman"/>
                      <w:color w:val="auto"/>
                      <w:spacing w:val="0"/>
                      <w:position w:val="0"/>
                      <w:szCs w:val="21"/>
                    </w:rPr>
                    <w:t>00m</w:t>
                  </w:r>
                  <w:r>
                    <w:rPr>
                      <w:rFonts w:hint="default" w:ascii="Times New Roman" w:hAnsi="Times New Roman" w:eastAsia="宋体" w:cs="Times New Roman"/>
                      <w:color w:val="auto"/>
                      <w:spacing w:val="0"/>
                      <w:position w:val="0"/>
                      <w:szCs w:val="21"/>
                      <w:vertAlign w:val="superscript"/>
                    </w:rPr>
                    <w:t>3</w:t>
                  </w:r>
                  <w:r>
                    <w:rPr>
                      <w:rFonts w:hint="default" w:ascii="Times New Roman" w:hAnsi="Times New Roman" w:eastAsia="宋体" w:cs="Times New Roman"/>
                      <w:color w:val="auto"/>
                      <w:spacing w:val="0"/>
                      <w:position w:val="0"/>
                      <w:szCs w:val="21"/>
                    </w:rPr>
                    <w:t>/h，</w:t>
                  </w:r>
                  <w:r>
                    <w:rPr>
                      <w:rFonts w:hint="default" w:ascii="Times New Roman" w:hAnsi="Times New Roman" w:eastAsia="宋体" w:cs="Times New Roman"/>
                      <w:color w:val="auto"/>
                      <w:spacing w:val="0"/>
                      <w:position w:val="0"/>
                      <w:szCs w:val="21"/>
                      <w:lang w:val="en-US" w:eastAsia="zh-CN"/>
                    </w:rPr>
                    <w:t>设备间</w:t>
                  </w:r>
                  <w:r>
                    <w:rPr>
                      <w:rFonts w:hint="default" w:ascii="Times New Roman" w:hAnsi="Times New Roman" w:eastAsia="宋体" w:cs="Times New Roman"/>
                      <w:color w:val="auto"/>
                      <w:spacing w:val="0"/>
                      <w:position w:val="0"/>
                      <w:szCs w:val="21"/>
                    </w:rPr>
                    <w:t>安装1台</w:t>
                  </w:r>
                  <w:r>
                    <w:rPr>
                      <w:rFonts w:hint="default" w:ascii="Times New Roman" w:hAnsi="Times New Roman" w:eastAsia="宋体" w:cs="Times New Roman"/>
                      <w:color w:val="auto"/>
                      <w:spacing w:val="0"/>
                      <w:position w:val="0"/>
                      <w:szCs w:val="21"/>
                      <w:lang w:val="en-US" w:eastAsia="zh-CN"/>
                    </w:rPr>
                    <w:t>精密空调</w:t>
                  </w:r>
                  <w:r>
                    <w:rPr>
                      <w:rFonts w:hint="default" w:ascii="Times New Roman" w:hAnsi="Times New Roman" w:eastAsia="宋体" w:cs="Times New Roman"/>
                      <w:color w:val="auto"/>
                      <w:spacing w:val="0"/>
                      <w:position w:val="0"/>
                      <w:szCs w:val="21"/>
                    </w:rPr>
                    <w:t>，项目DSA手术室内采用</w:t>
                  </w:r>
                  <w:r>
                    <w:rPr>
                      <w:rFonts w:hint="default" w:ascii="Times New Roman" w:hAnsi="Times New Roman" w:eastAsia="宋体" w:cs="Times New Roman"/>
                      <w:color w:val="auto"/>
                      <w:spacing w:val="0"/>
                      <w:position w:val="0"/>
                      <w:szCs w:val="21"/>
                      <w:lang w:val="en-US" w:eastAsia="zh-CN"/>
                    </w:rPr>
                    <w:t>顶部送风，墙侧排风</w:t>
                  </w:r>
                  <w:r>
                    <w:rPr>
                      <w:rFonts w:hint="default" w:ascii="Times New Roman" w:hAnsi="Times New Roman" w:eastAsia="宋体" w:cs="Times New Roman"/>
                      <w:color w:val="auto"/>
                      <w:spacing w:val="0"/>
                      <w:position w:val="0"/>
                      <w:szCs w:val="21"/>
                    </w:rPr>
                    <w:t>的通风系统，</w:t>
                  </w:r>
                  <w:r>
                    <w:rPr>
                      <w:rFonts w:hint="default" w:ascii="Times New Roman" w:hAnsi="Times New Roman" w:eastAsia="宋体" w:cs="Times New Roman"/>
                      <w:color w:val="auto"/>
                      <w:spacing w:val="0"/>
                      <w:position w:val="0"/>
                      <w:szCs w:val="21"/>
                      <w:lang w:val="en-US" w:eastAsia="zh-CN"/>
                    </w:rPr>
                    <w:t>排风口离地约30cm，风管从机房北侧屏蔽墙穿出机房，经</w:t>
                  </w:r>
                  <w:r>
                    <w:rPr>
                      <w:rFonts w:hint="eastAsia" w:cs="Times New Roman"/>
                      <w:color w:val="auto"/>
                      <w:spacing w:val="0"/>
                      <w:position w:val="0"/>
                      <w:szCs w:val="21"/>
                      <w:lang w:val="en-US" w:eastAsia="zh-CN"/>
                    </w:rPr>
                    <w:t>机房</w:t>
                  </w:r>
                  <w:r>
                    <w:rPr>
                      <w:rFonts w:hint="eastAsia" w:cs="Times New Roman"/>
                      <w:color w:val="auto"/>
                      <w:spacing w:val="0"/>
                      <w:position w:val="0"/>
                      <w:sz w:val="21"/>
                      <w:szCs w:val="21"/>
                      <w:highlight w:val="none"/>
                      <w:lang w:val="en-US" w:eastAsia="zh-CN"/>
                    </w:rPr>
                    <w:t>装饰面板吊顶</w:t>
                  </w:r>
                  <w:r>
                    <w:rPr>
                      <w:rFonts w:hint="default" w:ascii="Times New Roman" w:hAnsi="Times New Roman" w:eastAsia="宋体" w:cs="Times New Roman"/>
                      <w:color w:val="auto"/>
                      <w:spacing w:val="0"/>
                      <w:position w:val="0"/>
                      <w:szCs w:val="21"/>
                      <w:lang w:val="en-US" w:eastAsia="zh-CN"/>
                    </w:rPr>
                    <w:t>区域引至住院楼5楼中央空调机房，经5楼中央空调统一排放。室吊顶和墙体均预留风孔，穿防护墙处采用垂直斜向45°穿墙，穿墙部位距地面均为3m，风管用3mm厚铅皮包裹，包裹长度为穿墙前后各</w:t>
                  </w:r>
                  <w:r>
                    <w:rPr>
                      <w:rFonts w:hint="eastAsia" w:cs="Times New Roman"/>
                      <w:color w:val="auto"/>
                      <w:spacing w:val="0"/>
                      <w:position w:val="0"/>
                      <w:szCs w:val="21"/>
                      <w:lang w:val="en-US" w:eastAsia="zh-CN"/>
                    </w:rPr>
                    <w:t>3</w:t>
                  </w:r>
                  <w:r>
                    <w:rPr>
                      <w:rFonts w:hint="default" w:ascii="Times New Roman" w:hAnsi="Times New Roman" w:eastAsia="宋体" w:cs="Times New Roman"/>
                      <w:color w:val="auto"/>
                      <w:spacing w:val="0"/>
                      <w:position w:val="0"/>
                      <w:szCs w:val="21"/>
                      <w:lang w:val="en-US" w:eastAsia="zh-CN"/>
                    </w:rPr>
                    <w:t>0cm，穿墙部分间隙用硫酸钡水泥砂浆封堵填实，风管法兰接口、弯管用3mm厚铅皮搭接，经过铅皮等防护措施处理后，能够有效防止射线直接从风管照射出机房</w:t>
                  </w:r>
                  <w:r>
                    <w:rPr>
                      <w:rFonts w:hint="default" w:ascii="Times New Roman" w:hAnsi="Times New Roman" w:eastAsia="宋体" w:cs="Times New Roman"/>
                      <w:color w:val="auto"/>
                      <w:spacing w:val="0"/>
                      <w:position w:val="0"/>
                      <w:szCs w:val="21"/>
                    </w:rPr>
                    <w:t>。</w:t>
                  </w:r>
                </w:p>
              </w:tc>
            </w:tr>
            <w:tr w14:paraId="297A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11" w:type="pct"/>
                  <w:noWrap w:val="0"/>
                  <w:vAlign w:val="center"/>
                </w:tcPr>
                <w:p w14:paraId="2D3F4F03">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电缆</w:t>
                  </w:r>
                </w:p>
              </w:tc>
              <w:tc>
                <w:tcPr>
                  <w:tcW w:w="852" w:type="pct"/>
                  <w:noWrap w:val="0"/>
                  <w:vAlign w:val="center"/>
                </w:tcPr>
                <w:p w14:paraId="0C5B8B7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电缆布置</w:t>
                  </w:r>
                </w:p>
              </w:tc>
              <w:tc>
                <w:tcPr>
                  <w:tcW w:w="3836" w:type="pct"/>
                  <w:gridSpan w:val="2"/>
                  <w:noWrap w:val="0"/>
                  <w:vAlign w:val="center"/>
                </w:tcPr>
                <w:p w14:paraId="0010AF50">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 w:val="21"/>
                      <w:szCs w:val="21"/>
                      <w:lang w:val="en-US" w:eastAsia="zh-CN"/>
                    </w:rPr>
                    <w:t>本项目电缆共有2条路线，一个是空中桥架（上方悬挂的DSA显示系统的电缆），一个地面的设备基座和检查床电缆。（1）本项目DSA上方悬挂的C型臂的电缆在</w:t>
                  </w:r>
                  <w:r>
                    <w:rPr>
                      <w:rFonts w:hint="eastAsia" w:cs="Times New Roman"/>
                      <w:color w:val="auto"/>
                      <w:spacing w:val="0"/>
                      <w:position w:val="0"/>
                      <w:sz w:val="21"/>
                      <w:szCs w:val="21"/>
                      <w:highlight w:val="none"/>
                      <w:lang w:val="en-US" w:eastAsia="zh-CN"/>
                    </w:rPr>
                    <w:t>机房装饰面板吊顶</w:t>
                  </w:r>
                  <w:r>
                    <w:rPr>
                      <w:rFonts w:hint="default" w:ascii="Times New Roman" w:hAnsi="Times New Roman" w:eastAsia="宋体" w:cs="Times New Roman"/>
                      <w:color w:val="auto"/>
                      <w:spacing w:val="0"/>
                      <w:position w:val="0"/>
                      <w:sz w:val="21"/>
                      <w:szCs w:val="21"/>
                      <w:lang w:val="en-US" w:eastAsia="zh-CN"/>
                    </w:rPr>
                    <w:t>内设置电缆桥架，电缆桥架穿墙后进入控制室，穿防护墙处采用斜穿的方式，电缆桥架穿墙处设置4mm防护铅板，长度完全覆盖电缆穿墙部位，穿墙孔洞两端外延部分再用4mm厚铅皮包裹，长度为穿墙前后各30cm，穿墙部分间隙用硫酸钡水泥砂浆封堵填实。能够有效防止射线泄漏，穿墙部分不会影响墙体整体的防护性能，拟建。（2）本项目DSA设备主体电缆从设备基座和检查床下方分别设置电缆桥架，设备基座下方楼板开洞（直径150mm×2个），检查床下方楼板开洞（直径120mm×1个），后在四楼天花板吊顶内设置电缆桥架（固着于楼板下方300mm处），设备基座和检查床电缆从楼下吊顶内电缆桥架进入设备间（直径300mm×1个），不从控制室和设备间穿墙。采取了以下专项屏蔽防护措施：①在设备基座和检查床下方的两个楼板开洞处，采用厚度不小于4mm的铅板进行覆盖防护。铅板覆盖范围超过孔洞边缘不小于100mm，并与楼板紧密贴合，确保无缝防护。②电缆桥架穿墙防护：对于在楼下吊顶内敷设的电缆桥架，在穿墙处采用直穿方式。在电缆桥架穿墙部位设置厚度不小于4mm的防护铅板，同时对穿墙段电缆桥架弯管处用厚度不小于4mm的铅皮进行包裹，包裹长度为穿墙前后各30cm，实现双重屏蔽，并与楼板开洞处防护铅板紧密贴合，穿墙部分间隙用硫酸钡水泥砂浆封堵填实。能够有效防止射线泄漏，穿墙部分不会影响墙体整体的防护性能</w:t>
                  </w:r>
                  <w:r>
                    <w:rPr>
                      <w:rFonts w:hint="default" w:ascii="Times New Roman" w:hAnsi="Times New Roman" w:eastAsia="宋体" w:cs="Times New Roman"/>
                      <w:color w:val="auto"/>
                      <w:spacing w:val="0"/>
                      <w:position w:val="0"/>
                      <w:szCs w:val="21"/>
                      <w:lang w:val="en-US" w:eastAsia="zh-CN"/>
                    </w:rPr>
                    <w:t>。</w:t>
                  </w:r>
                </w:p>
              </w:tc>
            </w:tr>
            <w:tr w14:paraId="098A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4"/>
                  <w:noWrap w:val="0"/>
                  <w:vAlign w:val="center"/>
                </w:tcPr>
                <w:p w14:paraId="15AF37F2">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 w:val="21"/>
                      <w:szCs w:val="21"/>
                      <w:highlight w:val="none"/>
                    </w:rPr>
                    <w:t>项目所用混凝土密度不小于2.35g/cm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，硫酸钡砂浆密度不小于</w:t>
                  </w:r>
                  <w:r>
                    <w:rPr>
                      <w:rFonts w:hint="default" w:ascii="Times New Roman" w:hAnsi="Times New Roman" w:eastAsia="宋体" w:cs="Times New Roman"/>
                      <w:color w:val="auto"/>
                      <w:spacing w:val="0"/>
                      <w:position w:val="0"/>
                      <w:sz w:val="21"/>
                      <w:szCs w:val="21"/>
                      <w:highlight w:val="none"/>
                      <w:lang w:val="en-US" w:eastAsia="zh-CN"/>
                    </w:rPr>
                    <w:t>3.2</w:t>
                  </w:r>
                  <w:r>
                    <w:rPr>
                      <w:rFonts w:hint="default" w:ascii="Times New Roman" w:hAnsi="Times New Roman" w:eastAsia="宋体" w:cs="Times New Roman"/>
                      <w:color w:val="auto"/>
                      <w:spacing w:val="0"/>
                      <w:position w:val="0"/>
                      <w:sz w:val="21"/>
                      <w:szCs w:val="21"/>
                      <w:highlight w:val="none"/>
                    </w:rPr>
                    <w:t>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vertAlign w:val="baseline"/>
                      <w:lang w:eastAsia="zh-CN"/>
                    </w:rPr>
                    <w:t>，</w:t>
                  </w:r>
                  <w:r>
                    <w:rPr>
                      <w:rFonts w:hint="default" w:ascii="Times New Roman" w:hAnsi="Times New Roman" w:eastAsia="宋体" w:cs="Times New Roman"/>
                      <w:color w:val="auto"/>
                      <w:spacing w:val="0"/>
                      <w:position w:val="0"/>
                      <w:sz w:val="21"/>
                      <w:szCs w:val="21"/>
                      <w:highlight w:val="none"/>
                      <w:vertAlign w:val="baseline"/>
                      <w:lang w:val="en-US" w:eastAsia="zh-CN"/>
                    </w:rPr>
                    <w:t>水泥与硫酸钡的配比比例为1:4</w:t>
                  </w:r>
                </w:p>
              </w:tc>
            </w:tr>
          </w:tbl>
          <w:p w14:paraId="16C8F38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由表10-</w:t>
            </w:r>
            <w:r>
              <w:rPr>
                <w:rFonts w:hint="default" w:ascii="Times New Roman" w:hAnsi="Times New Roman" w:eastAsia="宋体" w:cs="Times New Roman"/>
                <w:color w:val="auto"/>
                <w:spacing w:val="0"/>
                <w:position w:val="0"/>
                <w:lang w:val="en-US" w:eastAsia="zh-CN"/>
              </w:rPr>
              <w:t>3</w:t>
            </w:r>
            <w:r>
              <w:rPr>
                <w:rFonts w:hint="default" w:ascii="Times New Roman" w:hAnsi="Times New Roman" w:eastAsia="宋体" w:cs="Times New Roman"/>
                <w:color w:val="auto"/>
                <w:spacing w:val="0"/>
                <w:position w:val="0"/>
              </w:rPr>
              <w:t>对比可知，本项目DSA手术室的屏蔽防护及有效使用面积及单边长度均满足《放射诊断放射防护要求》（GBZ130-2020）中相关规定，机房设计合理。</w:t>
            </w:r>
          </w:p>
          <w:p w14:paraId="1834D13D">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bdr w:val="single" w:color="auto" w:sz="4" w:space="0"/>
                <w:lang w:eastAsia="zh-CN"/>
              </w:rPr>
            </w:pPr>
            <w:r>
              <w:rPr>
                <w:rFonts w:hint="default" w:ascii="Times New Roman" w:hAnsi="Times New Roman" w:eastAsia="宋体" w:cs="Times New Roman"/>
                <w:color w:val="auto"/>
                <w:spacing w:val="0"/>
                <w:position w:val="0"/>
                <w:bdr w:val="single" w:color="auto" w:sz="4" w:space="0"/>
                <w:lang w:val="en-US" w:eastAsia="zh-CN"/>
              </w:rPr>
              <w:drawing>
                <wp:inline distT="0" distB="0" distL="114300" distR="114300">
                  <wp:extent cx="5563870" cy="3172460"/>
                  <wp:effectExtent l="0" t="0" r="17780" b="889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pic:cNvPicPr>
                        </pic:nvPicPr>
                        <pic:blipFill>
                          <a:blip r:embed="rId25"/>
                          <a:stretch>
                            <a:fillRect/>
                          </a:stretch>
                        </pic:blipFill>
                        <pic:spPr>
                          <a:xfrm>
                            <a:off x="0" y="0"/>
                            <a:ext cx="5563870" cy="3172460"/>
                          </a:xfrm>
                          <a:prstGeom prst="rect">
                            <a:avLst/>
                          </a:prstGeom>
                          <a:noFill/>
                          <a:ln>
                            <a:noFill/>
                          </a:ln>
                        </pic:spPr>
                      </pic:pic>
                    </a:graphicData>
                  </a:graphic>
                </wp:inline>
              </w:drawing>
            </w:r>
          </w:p>
          <w:p w14:paraId="3D1EEF29">
            <w:pPr>
              <w:pStyle w:val="35"/>
              <w:suppressLineNumbers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bookmarkStart w:id="47" w:name="_Toc11700"/>
            <w:bookmarkStart w:id="48" w:name="_Toc29942"/>
            <w:r>
              <w:rPr>
                <w:rFonts w:hint="default" w:ascii="Times New Roman" w:hAnsi="Times New Roman" w:eastAsia="宋体" w:cs="Times New Roman"/>
                <w:color w:val="auto"/>
                <w:spacing w:val="0"/>
                <w:position w:val="0"/>
                <w:sz w:val="21"/>
                <w:szCs w:val="21"/>
              </w:rPr>
              <w:t>图10-</w:t>
            </w:r>
            <w:r>
              <w:rPr>
                <w:rFonts w:hint="default" w:ascii="Times New Roman" w:hAnsi="Times New Roman" w:eastAsia="宋体" w:cs="Times New Roman"/>
                <w:color w:val="auto"/>
                <w:spacing w:val="0"/>
                <w:position w:val="0"/>
                <w:sz w:val="21"/>
                <w:szCs w:val="21"/>
                <w:lang w:val="en-US" w:eastAsia="zh-CN"/>
              </w:rPr>
              <w:t>3</w:t>
            </w:r>
            <w:r>
              <w:rPr>
                <w:rFonts w:hint="default" w:ascii="Times New Roman" w:hAnsi="Times New Roman" w:eastAsia="宋体" w:cs="Times New Roman"/>
                <w:color w:val="auto"/>
                <w:spacing w:val="0"/>
                <w:position w:val="0"/>
                <w:sz w:val="21"/>
                <w:szCs w:val="21"/>
              </w:rPr>
              <w:t>本项目DSA介入室屏蔽防护设计平面图</w:t>
            </w:r>
            <w:bookmarkEnd w:id="47"/>
            <w:bookmarkEnd w:id="48"/>
          </w:p>
          <w:p w14:paraId="6E892D82">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drawing>
                <wp:inline distT="0" distB="0" distL="114300" distR="114300">
                  <wp:extent cx="5539105" cy="1954530"/>
                  <wp:effectExtent l="0" t="0" r="4445" b="762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42"/>
                          <a:stretch>
                            <a:fillRect/>
                          </a:stretch>
                        </pic:blipFill>
                        <pic:spPr>
                          <a:xfrm>
                            <a:off x="0" y="0"/>
                            <a:ext cx="5539105" cy="1954530"/>
                          </a:xfrm>
                          <a:prstGeom prst="rect">
                            <a:avLst/>
                          </a:prstGeom>
                          <a:noFill/>
                          <a:ln>
                            <a:noFill/>
                          </a:ln>
                        </pic:spPr>
                      </pic:pic>
                    </a:graphicData>
                  </a:graphic>
                </wp:inline>
              </w:drawing>
            </w:r>
          </w:p>
          <w:p w14:paraId="1742D9C2">
            <w:pPr>
              <w:pStyle w:val="35"/>
              <w:suppressLineNumbers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bookmarkStart w:id="49" w:name="_Toc31245"/>
            <w:r>
              <w:rPr>
                <w:rFonts w:hint="default" w:ascii="Times New Roman" w:hAnsi="Times New Roman" w:eastAsia="宋体" w:cs="Times New Roman"/>
                <w:color w:val="auto"/>
                <w:spacing w:val="0"/>
                <w:position w:val="0"/>
                <w:sz w:val="21"/>
                <w:szCs w:val="21"/>
              </w:rPr>
              <w:t>图10</w:t>
            </w:r>
            <w:r>
              <w:rPr>
                <w:rFonts w:hint="default" w:ascii="Times New Roman" w:hAnsi="Times New Roman" w:eastAsia="宋体" w:cs="Times New Roman"/>
                <w:color w:val="auto"/>
                <w:spacing w:val="0"/>
                <w:position w:val="0"/>
                <w:sz w:val="21"/>
                <w:szCs w:val="21"/>
                <w:lang w:val="en-US" w:eastAsia="zh-CN"/>
              </w:rPr>
              <w:t>-4</w:t>
            </w:r>
            <w:r>
              <w:rPr>
                <w:rFonts w:hint="default" w:ascii="Times New Roman" w:hAnsi="Times New Roman" w:eastAsia="宋体" w:cs="Times New Roman"/>
                <w:color w:val="auto"/>
                <w:spacing w:val="0"/>
                <w:position w:val="0"/>
                <w:sz w:val="21"/>
                <w:szCs w:val="21"/>
              </w:rPr>
              <w:t>本项目DSA介入室屏蔽防护设计剖面图</w:t>
            </w:r>
            <w:bookmarkEnd w:id="49"/>
          </w:p>
          <w:p w14:paraId="7FF0F7B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drawing>
                <wp:inline distT="0" distB="0" distL="114300" distR="114300">
                  <wp:extent cx="4105275" cy="4772025"/>
                  <wp:effectExtent l="0" t="0" r="9525" b="9525"/>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43"/>
                          <a:stretch>
                            <a:fillRect/>
                          </a:stretch>
                        </pic:blipFill>
                        <pic:spPr>
                          <a:xfrm>
                            <a:off x="0" y="0"/>
                            <a:ext cx="4105275" cy="4772025"/>
                          </a:xfrm>
                          <a:prstGeom prst="rect">
                            <a:avLst/>
                          </a:prstGeom>
                          <a:noFill/>
                          <a:ln>
                            <a:noFill/>
                          </a:ln>
                        </pic:spPr>
                      </pic:pic>
                    </a:graphicData>
                  </a:graphic>
                </wp:inline>
              </w:drawing>
            </w:r>
          </w:p>
          <w:p w14:paraId="01245DE2">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bCs/>
                <w:color w:val="auto"/>
                <w:spacing w:val="0"/>
                <w:position w:val="0"/>
                <w:lang w:val="en-US" w:eastAsia="zh-CN"/>
              </w:rPr>
            </w:pPr>
            <w:r>
              <w:rPr>
                <w:rFonts w:hint="default" w:ascii="Times New Roman" w:hAnsi="Times New Roman" w:eastAsia="宋体" w:cs="Times New Roman"/>
                <w:b/>
                <w:bCs/>
                <w:color w:val="auto"/>
                <w:spacing w:val="0"/>
                <w:position w:val="0"/>
                <w:sz w:val="21"/>
                <w:szCs w:val="21"/>
              </w:rPr>
              <w:t>图10</w:t>
            </w:r>
            <w:r>
              <w:rPr>
                <w:rFonts w:hint="default" w:ascii="Times New Roman" w:hAnsi="Times New Roman" w:eastAsia="宋体" w:cs="Times New Roman"/>
                <w:b/>
                <w:bCs/>
                <w:color w:val="auto"/>
                <w:spacing w:val="0"/>
                <w:position w:val="0"/>
                <w:sz w:val="21"/>
                <w:szCs w:val="21"/>
                <w:lang w:val="en-US" w:eastAsia="zh-CN"/>
              </w:rPr>
              <w:t>-</w:t>
            </w:r>
            <w:r>
              <w:rPr>
                <w:rFonts w:hint="eastAsia" w:cs="Times New Roman"/>
                <w:b/>
                <w:bCs/>
                <w:color w:val="auto"/>
                <w:spacing w:val="0"/>
                <w:position w:val="0"/>
                <w:sz w:val="21"/>
                <w:szCs w:val="21"/>
                <w:lang w:val="en-US" w:eastAsia="zh-CN"/>
              </w:rPr>
              <w:t>5铅板和硫酸钡涂层搭接示意图</w:t>
            </w:r>
          </w:p>
          <w:p w14:paraId="547BFE2F">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三、辐射安全和防护措施</w:t>
            </w:r>
          </w:p>
          <w:p w14:paraId="6081601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X射线的基本防护原则是减少照射时间、远离辐射源以及加以必要的屏蔽。本项目DSA介入室对X射线外照射采取了以下辐射安全与防护措施：</w:t>
            </w:r>
          </w:p>
          <w:p w14:paraId="51EAFE13">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设备固有措施</w:t>
            </w:r>
          </w:p>
          <w:p w14:paraId="3FA1A86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本项目DSA设备从厂家购买，在使用运行期间性能稳定，设备各项固有安全措施齐备，设备的拆卸、安装、调试均由设备厂家专业人员进行，</w:t>
            </w:r>
            <w:r>
              <w:rPr>
                <w:rFonts w:hint="default" w:ascii="Times New Roman" w:hAnsi="Times New Roman" w:eastAsia="宋体" w:cs="Times New Roman"/>
                <w:color w:val="auto"/>
                <w:spacing w:val="0"/>
                <w:position w:val="0"/>
                <w:lang w:val="en-US" w:eastAsia="zh-CN"/>
              </w:rPr>
              <w:t>设备</w:t>
            </w:r>
            <w:r>
              <w:rPr>
                <w:rFonts w:hint="default" w:ascii="Times New Roman" w:hAnsi="Times New Roman" w:eastAsia="宋体" w:cs="Times New Roman"/>
                <w:color w:val="auto"/>
                <w:spacing w:val="0"/>
                <w:position w:val="0"/>
              </w:rPr>
              <w:t>自身采取了多种安全防护措施：</w:t>
            </w:r>
          </w:p>
          <w:p w14:paraId="72DB64E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①本项目DSA装有可调限束装置，使装置发射的线束宽度尽量减小，以减少泄漏辐射。</w:t>
            </w:r>
          </w:p>
          <w:p w14:paraId="5A761EC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②采用栅控技术：在每次脉冲曝光间隔向旋转阳极加一负电压，抵消曝光脉冲的启辉与余辉，起到消除软X射线、提高有用射线品质并减小脉冲宽度作用。</w:t>
            </w:r>
          </w:p>
          <w:p w14:paraId="5F40487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③采用光谱过滤技术：在X射线管头或影像增强器的窗口处放置合适铝过滤板，</w:t>
            </w:r>
            <w:r>
              <w:rPr>
                <w:rFonts w:hint="default" w:ascii="Times New Roman" w:hAnsi="Times New Roman" w:eastAsia="宋体" w:cs="Times New Roman"/>
                <w:color w:val="auto"/>
                <w:spacing w:val="0"/>
                <w:position w:val="0"/>
                <w:lang w:val="en-US" w:eastAsia="zh-CN"/>
              </w:rPr>
              <w:t>可以</w:t>
            </w:r>
            <w:r>
              <w:rPr>
                <w:rFonts w:hint="default" w:ascii="Times New Roman" w:hAnsi="Times New Roman" w:eastAsia="宋体" w:cs="Times New Roman"/>
                <w:color w:val="auto"/>
                <w:spacing w:val="0"/>
                <w:position w:val="0"/>
              </w:rPr>
              <w:t>多消除X射线以及减少二次散射，优化有用X射线谱。设备应提供适应DSA不同应用时所可以选用的各种形状与规格的准直器隔板和铝过滤板。影像增强器前面可酌情配置各种规格的滤线栅，以减少散射影响。</w:t>
            </w:r>
          </w:p>
          <w:p w14:paraId="6B312A0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④采用脉冲透视技术：在透视图像数字化基础上实现脉冲透视（如每秒25帧、12.5帧、6帧等可供选择），改善图像清晰度；并能明显地减少透视剂量。</w:t>
            </w:r>
          </w:p>
          <w:p w14:paraId="7EDBED7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⑤采用图像冻结技术：每次透视的最后一帧图像被暂存并保留于监视器上显示，即称之为图像冻结（lastimagehold，LIH）。充分利用此方法可以明显缩短总透视时间，达到减少不必要的照射。</w:t>
            </w:r>
          </w:p>
          <w:p w14:paraId="6E75AA1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⑥配备相应的表征剂量的指示装置：应配备能在线监测表征输出剂量的</w:t>
            </w:r>
            <w:r>
              <w:rPr>
                <w:rFonts w:hint="default" w:ascii="Times New Roman" w:hAnsi="Times New Roman" w:eastAsia="宋体" w:cs="Times New Roman"/>
                <w:color w:val="auto"/>
                <w:spacing w:val="0"/>
                <w:position w:val="0"/>
                <w:lang w:eastAsia="zh-CN"/>
              </w:rPr>
              <w:t>指示</w:t>
            </w:r>
            <w:r>
              <w:rPr>
                <w:rFonts w:hint="default" w:ascii="Times New Roman" w:hAnsi="Times New Roman" w:eastAsia="宋体" w:cs="Times New Roman"/>
                <w:color w:val="auto"/>
                <w:spacing w:val="0"/>
                <w:position w:val="0"/>
              </w:rPr>
              <w:t>装置。</w:t>
            </w:r>
          </w:p>
          <w:p w14:paraId="3559F6D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⑦配备辅助防护设施</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DSA设备配备防护屏蔽吊架、各种防护屏蔽挂帘等辅助防护用品，DSA床旁的铅防护帘，机头处的铅悬防护屏，这些屏蔽体</w:t>
            </w:r>
            <w:r>
              <w:rPr>
                <w:rFonts w:hint="default" w:ascii="Times New Roman" w:hAnsi="Times New Roman" w:eastAsia="宋体" w:cs="Times New Roman"/>
                <w:color w:val="auto"/>
                <w:spacing w:val="0"/>
                <w:position w:val="0"/>
                <w:lang w:val="en-US" w:eastAsia="zh-CN"/>
              </w:rPr>
              <w:t>均</w:t>
            </w:r>
            <w:r>
              <w:rPr>
                <w:rFonts w:hint="default" w:ascii="Times New Roman" w:hAnsi="Times New Roman" w:eastAsia="宋体" w:cs="Times New Roman"/>
                <w:color w:val="auto"/>
                <w:spacing w:val="0"/>
                <w:position w:val="0"/>
              </w:rPr>
              <w:t>具有0.5mm铅当量防护水平。</w:t>
            </w:r>
          </w:p>
          <w:p w14:paraId="74761642">
            <w:pPr>
              <w:keepNext w:val="0"/>
              <w:keepLines w:val="0"/>
              <w:suppressLineNumbers w:val="0"/>
              <w:spacing w:before="0" w:beforeAutospacing="0" w:after="0" w:afterAutospacing="0"/>
              <w:ind w:left="0" w:right="0" w:firstLine="482"/>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个人防护措施</w:t>
            </w:r>
          </w:p>
          <w:p w14:paraId="1EA6A5D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根据《放射诊断放射防护要求》（GBZ130-2020）要求配置个人防护用品及辅助防护设置，见表10</w:t>
            </w:r>
            <w:r>
              <w:rPr>
                <w:rFonts w:hint="default" w:ascii="Times New Roman" w:hAnsi="Times New Roman" w:eastAsia="宋体" w:cs="Times New Roman"/>
                <w:color w:val="auto"/>
                <w:spacing w:val="0"/>
                <w:position w:val="0"/>
                <w:lang w:val="en-US" w:eastAsia="zh-CN"/>
              </w:rPr>
              <w:t>-4</w:t>
            </w:r>
            <w:r>
              <w:rPr>
                <w:rFonts w:hint="default" w:ascii="Times New Roman" w:hAnsi="Times New Roman" w:eastAsia="宋体" w:cs="Times New Roman"/>
                <w:color w:val="auto"/>
                <w:spacing w:val="0"/>
                <w:position w:val="0"/>
              </w:rPr>
              <w:t>。</w:t>
            </w:r>
          </w:p>
          <w:p w14:paraId="2492C2A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18"/>
              </w:rPr>
            </w:pPr>
            <w:r>
              <w:rPr>
                <w:rFonts w:hint="default" w:ascii="Times New Roman" w:hAnsi="Times New Roman" w:eastAsia="宋体" w:cs="Times New Roman"/>
                <w:b/>
                <w:color w:val="auto"/>
                <w:spacing w:val="0"/>
                <w:position w:val="0"/>
                <w:sz w:val="21"/>
                <w:szCs w:val="18"/>
              </w:rPr>
              <w:t>表10-</w:t>
            </w:r>
            <w:r>
              <w:rPr>
                <w:rFonts w:hint="default" w:ascii="Times New Roman" w:hAnsi="Times New Roman" w:eastAsia="宋体" w:cs="Times New Roman"/>
                <w:b/>
                <w:color w:val="auto"/>
                <w:spacing w:val="0"/>
                <w:position w:val="0"/>
                <w:sz w:val="21"/>
                <w:szCs w:val="18"/>
                <w:lang w:val="en-US" w:eastAsia="zh-CN"/>
              </w:rPr>
              <w:t xml:space="preserve">4 </w:t>
            </w:r>
            <w:r>
              <w:rPr>
                <w:rFonts w:hint="default" w:ascii="Times New Roman" w:hAnsi="Times New Roman" w:eastAsia="宋体" w:cs="Times New Roman"/>
                <w:b/>
                <w:color w:val="auto"/>
                <w:spacing w:val="0"/>
                <w:position w:val="0"/>
                <w:sz w:val="21"/>
                <w:szCs w:val="18"/>
              </w:rPr>
              <w:t>个人防护用品和辅助防护设施配置要求</w:t>
            </w:r>
          </w:p>
          <w:tbl>
            <w:tblPr>
              <w:tblStyle w:val="20"/>
              <w:tblW w:w="495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287"/>
              <w:gridCol w:w="1892"/>
              <w:gridCol w:w="1834"/>
              <w:gridCol w:w="1809"/>
              <w:gridCol w:w="2036"/>
            </w:tblGrid>
            <w:tr w14:paraId="150DC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27" w:type="pct"/>
                  <w:vMerge w:val="restart"/>
                  <w:tcBorders>
                    <w:tl2br w:val="nil"/>
                    <w:tr2bl w:val="nil"/>
                  </w:tcBorders>
                  <w:noWrap w:val="0"/>
                  <w:vAlign w:val="center"/>
                </w:tcPr>
                <w:p w14:paraId="6071E00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放射检查类型</w:t>
                  </w:r>
                </w:p>
              </w:tc>
              <w:tc>
                <w:tcPr>
                  <w:tcW w:w="2103" w:type="pct"/>
                  <w:gridSpan w:val="2"/>
                  <w:tcBorders>
                    <w:tl2br w:val="nil"/>
                    <w:tr2bl w:val="nil"/>
                  </w:tcBorders>
                  <w:noWrap w:val="0"/>
                  <w:vAlign w:val="center"/>
                </w:tcPr>
                <w:p w14:paraId="66E602A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工作人员</w:t>
                  </w:r>
                </w:p>
              </w:tc>
              <w:tc>
                <w:tcPr>
                  <w:tcW w:w="2168" w:type="pct"/>
                  <w:gridSpan w:val="2"/>
                  <w:tcBorders>
                    <w:tl2br w:val="nil"/>
                    <w:tr2bl w:val="nil"/>
                  </w:tcBorders>
                  <w:noWrap w:val="0"/>
                  <w:vAlign w:val="center"/>
                </w:tcPr>
                <w:p w14:paraId="0643372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患者和受检者</w:t>
                  </w:r>
                </w:p>
              </w:tc>
            </w:tr>
            <w:tr w14:paraId="6A340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27" w:type="pct"/>
                  <w:vMerge w:val="continue"/>
                  <w:tcBorders>
                    <w:tl2br w:val="nil"/>
                    <w:tr2bl w:val="nil"/>
                  </w:tcBorders>
                  <w:noWrap w:val="0"/>
                  <w:vAlign w:val="center"/>
                </w:tcPr>
                <w:p w14:paraId="7D0F484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p>
              </w:tc>
              <w:tc>
                <w:tcPr>
                  <w:tcW w:w="1068" w:type="pct"/>
                  <w:tcBorders>
                    <w:tl2br w:val="nil"/>
                    <w:tr2bl w:val="nil"/>
                  </w:tcBorders>
                  <w:noWrap w:val="0"/>
                  <w:vAlign w:val="center"/>
                </w:tcPr>
                <w:p w14:paraId="4C473B4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个人防护用品</w:t>
                  </w:r>
                </w:p>
              </w:tc>
              <w:tc>
                <w:tcPr>
                  <w:tcW w:w="1035" w:type="pct"/>
                  <w:tcBorders>
                    <w:tl2br w:val="nil"/>
                    <w:tr2bl w:val="nil"/>
                  </w:tcBorders>
                  <w:noWrap w:val="0"/>
                  <w:vAlign w:val="center"/>
                </w:tcPr>
                <w:p w14:paraId="4C7C449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辅助防护</w:t>
                  </w:r>
                  <w:r>
                    <w:rPr>
                      <w:rFonts w:hint="default" w:ascii="Times New Roman" w:hAnsi="Times New Roman" w:eastAsia="宋体" w:cs="Times New Roman"/>
                      <w:b/>
                      <w:color w:val="auto"/>
                      <w:spacing w:val="0"/>
                      <w:position w:val="0"/>
                      <w:sz w:val="21"/>
                      <w:szCs w:val="21"/>
                      <w:lang w:eastAsia="zh-CN"/>
                    </w:rPr>
                    <w:t>设施</w:t>
                  </w:r>
                </w:p>
              </w:tc>
              <w:tc>
                <w:tcPr>
                  <w:tcW w:w="1021" w:type="pct"/>
                  <w:tcBorders>
                    <w:tl2br w:val="nil"/>
                    <w:tr2bl w:val="nil"/>
                  </w:tcBorders>
                  <w:noWrap w:val="0"/>
                  <w:vAlign w:val="center"/>
                </w:tcPr>
                <w:p w14:paraId="63E5C7D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个人防护用品</w:t>
                  </w:r>
                </w:p>
              </w:tc>
              <w:tc>
                <w:tcPr>
                  <w:tcW w:w="1147" w:type="pct"/>
                  <w:tcBorders>
                    <w:tl2br w:val="nil"/>
                    <w:tr2bl w:val="nil"/>
                  </w:tcBorders>
                  <w:noWrap w:val="0"/>
                  <w:vAlign w:val="center"/>
                </w:tcPr>
                <w:p w14:paraId="4EF41C3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辅助防护</w:t>
                  </w:r>
                  <w:r>
                    <w:rPr>
                      <w:rFonts w:hint="default" w:ascii="Times New Roman" w:hAnsi="Times New Roman" w:eastAsia="宋体" w:cs="Times New Roman"/>
                      <w:b/>
                      <w:color w:val="auto"/>
                      <w:spacing w:val="0"/>
                      <w:position w:val="0"/>
                      <w:sz w:val="21"/>
                      <w:szCs w:val="21"/>
                      <w:lang w:eastAsia="zh-CN"/>
                    </w:rPr>
                    <w:t>设施</w:t>
                  </w:r>
                </w:p>
              </w:tc>
            </w:tr>
            <w:tr w14:paraId="08C71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27" w:type="pct"/>
                  <w:tcBorders>
                    <w:tl2br w:val="nil"/>
                    <w:tr2bl w:val="nil"/>
                  </w:tcBorders>
                  <w:noWrap w:val="0"/>
                  <w:vAlign w:val="center"/>
                </w:tcPr>
                <w:p w14:paraId="129D01A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放射诊断学用X射线设备格式透视、摄影</w:t>
                  </w:r>
                </w:p>
              </w:tc>
              <w:tc>
                <w:tcPr>
                  <w:tcW w:w="1068" w:type="pct"/>
                  <w:tcBorders>
                    <w:tl2br w:val="nil"/>
                    <w:tr2bl w:val="nil"/>
                  </w:tcBorders>
                  <w:noWrap w:val="0"/>
                  <w:vAlign w:val="center"/>
                </w:tcPr>
                <w:p w14:paraId="51283AA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p>
              </w:tc>
              <w:tc>
                <w:tcPr>
                  <w:tcW w:w="1035" w:type="pct"/>
                  <w:tcBorders>
                    <w:tl2br w:val="nil"/>
                    <w:tr2bl w:val="nil"/>
                  </w:tcBorders>
                  <w:noWrap w:val="0"/>
                  <w:vAlign w:val="center"/>
                </w:tcPr>
                <w:p w14:paraId="29536B3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p>
              </w:tc>
              <w:tc>
                <w:tcPr>
                  <w:tcW w:w="1021" w:type="pct"/>
                  <w:tcBorders>
                    <w:tl2br w:val="nil"/>
                    <w:tr2bl w:val="nil"/>
                  </w:tcBorders>
                  <w:noWrap w:val="0"/>
                  <w:vAlign w:val="center"/>
                </w:tcPr>
                <w:p w14:paraId="378DC51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铅防护围裙（方形）或方巾、铅颈套、</w:t>
                  </w:r>
                  <w:r>
                    <w:rPr>
                      <w:rFonts w:hint="default" w:ascii="Times New Roman" w:hAnsi="Times New Roman" w:eastAsia="宋体" w:cs="Times New Roman"/>
                      <w:color w:val="auto"/>
                      <w:spacing w:val="0"/>
                      <w:position w:val="0"/>
                      <w:sz w:val="21"/>
                      <w:szCs w:val="21"/>
                      <w:lang w:eastAsia="zh-CN"/>
                    </w:rPr>
                    <w:t>铅橡胶帽子</w:t>
                  </w:r>
                </w:p>
              </w:tc>
              <w:tc>
                <w:tcPr>
                  <w:tcW w:w="1147" w:type="pct"/>
                  <w:tcBorders>
                    <w:tl2br w:val="nil"/>
                    <w:tr2bl w:val="nil"/>
                  </w:tcBorders>
                  <w:noWrap w:val="0"/>
                  <w:vAlign w:val="center"/>
                </w:tcPr>
                <w:p w14:paraId="1BDD7C1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可调节防护窗口的立位防护屏；</w:t>
                  </w:r>
                </w:p>
                <w:p w14:paraId="70EFF20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en-US" w:eastAsia="zh-CN"/>
                    </w:rPr>
                    <w:t>选配：固定</w:t>
                  </w:r>
                  <w:r>
                    <w:rPr>
                      <w:rFonts w:hint="default" w:ascii="Times New Roman" w:hAnsi="Times New Roman" w:eastAsia="宋体" w:cs="Times New Roman"/>
                      <w:color w:val="auto"/>
                      <w:spacing w:val="0"/>
                      <w:position w:val="0"/>
                      <w:sz w:val="21"/>
                      <w:szCs w:val="21"/>
                    </w:rPr>
                    <w:t>特殊受检者体位的各种设备</w:t>
                  </w:r>
                </w:p>
              </w:tc>
            </w:tr>
            <w:tr w14:paraId="109BF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27" w:type="pct"/>
                  <w:tcBorders>
                    <w:tl2br w:val="nil"/>
                    <w:tr2bl w:val="nil"/>
                  </w:tcBorders>
                  <w:noWrap w:val="0"/>
                  <w:vAlign w:val="center"/>
                </w:tcPr>
                <w:p w14:paraId="361AEAA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介入放射学操作</w:t>
                  </w:r>
                </w:p>
              </w:tc>
              <w:tc>
                <w:tcPr>
                  <w:tcW w:w="1068" w:type="pct"/>
                  <w:tcBorders>
                    <w:tl2br w:val="nil"/>
                    <w:tr2bl w:val="nil"/>
                  </w:tcBorders>
                  <w:noWrap w:val="0"/>
                  <w:vAlign w:val="center"/>
                </w:tcPr>
                <w:p w14:paraId="7DA04D49">
                  <w:pPr>
                    <w:pStyle w:val="39"/>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铅橡胶围裙、铅橡胶颈套、铅防护眼镜、介入防护手套</w:t>
                  </w:r>
                </w:p>
                <w:p w14:paraId="5A1E3460">
                  <w:pPr>
                    <w:pStyle w:val="39"/>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aps w:val="0"/>
                      <w:color w:val="auto"/>
                      <w:spacing w:val="0"/>
                      <w:position w:val="0"/>
                      <w:sz w:val="21"/>
                      <w:szCs w:val="21"/>
                      <w:highlight w:val="none"/>
                      <w:vertAlign w:val="baseline"/>
                      <w:lang w:eastAsia="zh-CN"/>
                    </w:rPr>
                    <w:t>选配：铅橡胶帽子</w:t>
                  </w:r>
                </w:p>
              </w:tc>
              <w:tc>
                <w:tcPr>
                  <w:tcW w:w="1035" w:type="pct"/>
                  <w:tcBorders>
                    <w:tl2br w:val="nil"/>
                    <w:tr2bl w:val="nil"/>
                  </w:tcBorders>
                  <w:noWrap w:val="0"/>
                  <w:vAlign w:val="center"/>
                </w:tcPr>
                <w:p w14:paraId="23E30E84">
                  <w:pPr>
                    <w:pStyle w:val="39"/>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铅悬挂防护屏/铅防护吊帘、床侧防护帘/床侧防护屏</w:t>
                  </w:r>
                </w:p>
                <w:p w14:paraId="4B632BAB">
                  <w:pPr>
                    <w:pStyle w:val="39"/>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aps w:val="0"/>
                      <w:color w:val="auto"/>
                      <w:spacing w:val="0"/>
                      <w:position w:val="0"/>
                      <w:sz w:val="21"/>
                      <w:szCs w:val="21"/>
                      <w:highlight w:val="none"/>
                      <w:vertAlign w:val="baseline"/>
                      <w:lang w:eastAsia="zh-CN"/>
                    </w:rPr>
                    <w:t>选配：移动铅防护屏风</w:t>
                  </w:r>
                </w:p>
              </w:tc>
              <w:tc>
                <w:tcPr>
                  <w:tcW w:w="1021" w:type="pct"/>
                  <w:tcBorders>
                    <w:tl2br w:val="nil"/>
                    <w:tr2bl w:val="nil"/>
                  </w:tcBorders>
                  <w:noWrap w:val="0"/>
                  <w:vAlign w:val="center"/>
                </w:tcPr>
                <w:p w14:paraId="03464D28">
                  <w:pPr>
                    <w:pStyle w:val="39"/>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vertAlign w:val="baseline"/>
                      <w:lang w:eastAsia="zh-CN"/>
                    </w:rPr>
                  </w:pPr>
                  <w:r>
                    <w:rPr>
                      <w:rFonts w:hint="default" w:ascii="Times New Roman" w:hAnsi="Times New Roman" w:eastAsia="宋体" w:cs="Times New Roman"/>
                      <w:caps w:val="0"/>
                      <w:color w:val="auto"/>
                      <w:spacing w:val="0"/>
                      <w:position w:val="0"/>
                      <w:sz w:val="21"/>
                      <w:szCs w:val="21"/>
                      <w:highlight w:val="none"/>
                      <w:vertAlign w:val="baseline"/>
                      <w:lang w:eastAsia="zh-CN"/>
                    </w:rPr>
                    <w:t>铅橡胶性腺防护围裙（方形）或方巾、铅橡胶颈套</w:t>
                  </w:r>
                </w:p>
                <w:p w14:paraId="6CCEB5F3">
                  <w:pPr>
                    <w:pStyle w:val="39"/>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aps w:val="0"/>
                      <w:color w:val="auto"/>
                      <w:spacing w:val="0"/>
                      <w:position w:val="0"/>
                      <w:sz w:val="21"/>
                      <w:szCs w:val="21"/>
                      <w:highlight w:val="none"/>
                      <w:vertAlign w:val="baseline"/>
                      <w:lang w:eastAsia="zh-CN"/>
                    </w:rPr>
                    <w:t>选配：铅橡胶帽子</w:t>
                  </w:r>
                </w:p>
              </w:tc>
              <w:tc>
                <w:tcPr>
                  <w:tcW w:w="1147" w:type="pct"/>
                  <w:tcBorders>
                    <w:tl2br w:val="nil"/>
                    <w:tr2bl w:val="nil"/>
                  </w:tcBorders>
                  <w:noWrap w:val="0"/>
                  <w:vAlign w:val="center"/>
                </w:tcPr>
                <w:p w14:paraId="300981E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w:t>
                  </w:r>
                </w:p>
              </w:tc>
            </w:tr>
            <w:tr w14:paraId="2E655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00" w:type="pct"/>
                  <w:gridSpan w:val="5"/>
                  <w:tcBorders>
                    <w:tl2br w:val="nil"/>
                    <w:tr2bl w:val="nil"/>
                  </w:tcBorders>
                  <w:noWrap w:val="0"/>
                  <w:vAlign w:val="center"/>
                </w:tcPr>
                <w:p w14:paraId="727E190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注：</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表示不需要求。</w:t>
                  </w:r>
                </w:p>
              </w:tc>
            </w:tr>
          </w:tbl>
          <w:p w14:paraId="1820C7E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①本项目配备了符合防护要求的个人防护用品，包括</w:t>
            </w:r>
            <w:r>
              <w:rPr>
                <w:rFonts w:hint="default" w:ascii="Times New Roman" w:hAnsi="Times New Roman" w:eastAsia="宋体" w:cs="Times New Roman"/>
                <w:color w:val="auto"/>
                <w:spacing w:val="0"/>
                <w:position w:val="0"/>
                <w:lang w:eastAsia="zh-CN"/>
              </w:rPr>
              <w:t>铅橡胶帽子</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eastAsia="zh-CN"/>
              </w:rPr>
              <w:t>铅橡胶围裙</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eastAsia="zh-CN"/>
              </w:rPr>
              <w:t>铅防护眼镜</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eastAsia="zh-CN"/>
              </w:rPr>
              <w:t>铅橡胶颈套、</w:t>
            </w:r>
            <w:r>
              <w:rPr>
                <w:rFonts w:hint="default" w:ascii="Times New Roman" w:hAnsi="Times New Roman" w:eastAsia="宋体" w:cs="Times New Roman"/>
                <w:color w:val="auto"/>
                <w:spacing w:val="0"/>
                <w:position w:val="0"/>
                <w:lang w:val="en-US" w:eastAsia="zh-CN"/>
              </w:rPr>
              <w:t>介入防护手套</w:t>
            </w:r>
            <w:r>
              <w:rPr>
                <w:rFonts w:hint="default" w:ascii="Times New Roman" w:hAnsi="Times New Roman" w:eastAsia="宋体" w:cs="Times New Roman"/>
                <w:color w:val="auto"/>
                <w:spacing w:val="0"/>
                <w:position w:val="0"/>
                <w:highlight w:val="none"/>
                <w:lang w:val="en-US" w:eastAsia="zh-CN"/>
              </w:rPr>
              <w:t>等10</w:t>
            </w:r>
            <w:r>
              <w:rPr>
                <w:rFonts w:hint="default" w:ascii="Times New Roman" w:hAnsi="Times New Roman" w:eastAsia="宋体" w:cs="Times New Roman"/>
                <w:color w:val="auto"/>
                <w:spacing w:val="0"/>
                <w:position w:val="0"/>
                <w:highlight w:val="none"/>
              </w:rPr>
              <w:t>套</w:t>
            </w:r>
            <w:r>
              <w:rPr>
                <w:rFonts w:hint="default" w:ascii="Times New Roman" w:hAnsi="Times New Roman" w:eastAsia="宋体" w:cs="Times New Roman"/>
                <w:color w:val="auto"/>
                <w:spacing w:val="0"/>
                <w:position w:val="0"/>
              </w:rPr>
              <w:t>；配置受检者防护用品，包括</w:t>
            </w:r>
            <w:r>
              <w:rPr>
                <w:rFonts w:hint="default" w:ascii="Times New Roman" w:hAnsi="Times New Roman" w:eastAsia="宋体" w:cs="Times New Roman"/>
                <w:color w:val="auto"/>
                <w:spacing w:val="0"/>
                <w:position w:val="0"/>
                <w:lang w:eastAsia="zh-CN"/>
              </w:rPr>
              <w:t>铅橡胶帽子</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eastAsia="zh-CN"/>
              </w:rPr>
              <w:t>铅橡胶颈套</w:t>
            </w:r>
            <w:r>
              <w:rPr>
                <w:rFonts w:hint="default" w:ascii="Times New Roman" w:hAnsi="Times New Roman" w:eastAsia="宋体" w:cs="Times New Roman"/>
                <w:color w:val="auto"/>
                <w:spacing w:val="0"/>
                <w:position w:val="0"/>
              </w:rPr>
              <w:t>、铅方巾</w:t>
            </w:r>
            <w:r>
              <w:rPr>
                <w:rFonts w:hint="eastAsia" w:cs="Times New Roman"/>
                <w:color w:val="auto"/>
                <w:spacing w:val="0"/>
                <w:position w:val="0"/>
                <w:lang w:val="en-US" w:eastAsia="zh-CN"/>
              </w:rPr>
              <w:t>各两套</w:t>
            </w:r>
            <w:r>
              <w:rPr>
                <w:rFonts w:hint="default" w:ascii="Times New Roman" w:hAnsi="Times New Roman" w:eastAsia="宋体" w:cs="Times New Roman"/>
                <w:color w:val="auto"/>
                <w:spacing w:val="0"/>
                <w:position w:val="0"/>
              </w:rPr>
              <w:t>；上述防护用品须≥0.5mm铅当量，满足《放射诊断放射防护要求》（GBZ130-2020）中个人防护设置的要求。</w:t>
            </w:r>
          </w:p>
          <w:p w14:paraId="5A3BED5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w:t>
            </w:r>
            <w:r>
              <w:rPr>
                <w:rFonts w:hint="default" w:ascii="Times New Roman" w:hAnsi="Times New Roman" w:eastAsia="宋体" w:cs="Times New Roman"/>
                <w:color w:val="auto"/>
                <w:spacing w:val="0"/>
                <w:position w:val="0"/>
                <w:lang w:eastAsia="zh-CN"/>
              </w:rPr>
              <w:t>手术床旁安装</w:t>
            </w:r>
            <w:r>
              <w:rPr>
                <w:rFonts w:hint="default" w:ascii="Times New Roman" w:hAnsi="Times New Roman" w:eastAsia="宋体" w:cs="Times New Roman"/>
                <w:color w:val="auto"/>
                <w:spacing w:val="0"/>
                <w:position w:val="0"/>
                <w:lang w:val="en-US" w:eastAsia="zh-CN"/>
              </w:rPr>
              <w:t>铅悬挂防护屏和床侧铅防护帘</w:t>
            </w:r>
            <w:r>
              <w:rPr>
                <w:rFonts w:hint="default" w:ascii="Times New Roman" w:hAnsi="Times New Roman" w:eastAsia="宋体" w:cs="Times New Roman"/>
                <w:color w:val="auto"/>
                <w:spacing w:val="0"/>
                <w:position w:val="0"/>
                <w:lang w:eastAsia="zh-CN"/>
              </w:rPr>
              <w:t>，具有0.5mm铅当量的防护能力。医生在手术室内操作时应身穿铅衣、戴铅帽、铅围脖</w:t>
            </w:r>
            <w:r>
              <w:rPr>
                <w:rFonts w:hint="eastAsia" w:cs="Times New Roman"/>
                <w:color w:val="auto"/>
                <w:spacing w:val="0"/>
                <w:position w:val="0"/>
                <w:lang w:eastAsia="zh-CN"/>
              </w:rPr>
              <w:t>、铅</w:t>
            </w:r>
            <w:r>
              <w:rPr>
                <w:rFonts w:hint="eastAsia" w:cs="Times New Roman"/>
                <w:color w:val="auto"/>
                <w:spacing w:val="0"/>
                <w:position w:val="0"/>
                <w:lang w:val="en-US" w:eastAsia="zh-CN"/>
              </w:rPr>
              <w:t>手套</w:t>
            </w:r>
            <w:r>
              <w:rPr>
                <w:rFonts w:hint="default" w:ascii="Times New Roman" w:hAnsi="Times New Roman" w:eastAsia="宋体" w:cs="Times New Roman"/>
                <w:color w:val="auto"/>
                <w:spacing w:val="0"/>
                <w:position w:val="0"/>
                <w:lang w:eastAsia="zh-CN"/>
              </w:rPr>
              <w:t>等，同时使用床侧</w:t>
            </w:r>
            <w:r>
              <w:rPr>
                <w:rFonts w:hint="default" w:ascii="Times New Roman" w:hAnsi="Times New Roman" w:eastAsia="宋体" w:cs="Times New Roman"/>
                <w:color w:val="auto"/>
                <w:spacing w:val="0"/>
                <w:position w:val="0"/>
                <w:lang w:val="en-US" w:eastAsia="zh-CN"/>
              </w:rPr>
              <w:t>铅悬挂防护屏和床侧铅防护帘</w:t>
            </w:r>
            <w:r>
              <w:rPr>
                <w:rFonts w:hint="default" w:ascii="Times New Roman" w:hAnsi="Times New Roman" w:eastAsia="宋体" w:cs="Times New Roman"/>
                <w:color w:val="auto"/>
                <w:spacing w:val="0"/>
                <w:position w:val="0"/>
                <w:lang w:eastAsia="zh-CN"/>
              </w:rPr>
              <w:t>进行防护，这些防护用品均具有0.5mm铅当量，医生工作时实际受到两次防护，防护能力</w:t>
            </w:r>
            <w:r>
              <w:rPr>
                <w:rFonts w:hint="default" w:ascii="Times New Roman" w:hAnsi="Times New Roman" w:eastAsia="宋体" w:cs="Times New Roman"/>
                <w:color w:val="auto"/>
                <w:spacing w:val="0"/>
                <w:position w:val="0"/>
                <w:lang w:val="en-US" w:eastAsia="zh-CN"/>
              </w:rPr>
              <w:t>合计</w:t>
            </w:r>
            <w:r>
              <w:rPr>
                <w:rFonts w:hint="default" w:ascii="Times New Roman" w:hAnsi="Times New Roman" w:eastAsia="宋体" w:cs="Times New Roman"/>
                <w:color w:val="auto"/>
                <w:spacing w:val="0"/>
                <w:position w:val="0"/>
                <w:lang w:eastAsia="zh-CN"/>
              </w:rPr>
              <w:t>相当于1mm铅当量。</w:t>
            </w:r>
            <w:r>
              <w:rPr>
                <w:rFonts w:hint="default" w:ascii="Times New Roman" w:hAnsi="Times New Roman" w:eastAsia="宋体" w:cs="Times New Roman"/>
                <w:color w:val="auto"/>
                <w:spacing w:val="0"/>
                <w:position w:val="0"/>
              </w:rPr>
              <w:t>满足《放射诊断放射防护要求》（GBZ130-2020）中辅助防护设置的要求。</w:t>
            </w:r>
          </w:p>
          <w:p w14:paraId="0EE5D7C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w:t>
            </w:r>
            <w:r>
              <w:rPr>
                <w:rFonts w:hint="default" w:ascii="Times New Roman" w:hAnsi="Times New Roman" w:eastAsia="宋体" w:cs="Times New Roman"/>
                <w:color w:val="auto"/>
                <w:spacing w:val="0"/>
                <w:position w:val="0"/>
                <w:lang w:val="en-US" w:eastAsia="zh-CN"/>
              </w:rPr>
              <w:t>本项目为</w:t>
            </w:r>
            <w:r>
              <w:rPr>
                <w:rFonts w:hint="default" w:ascii="Times New Roman" w:hAnsi="Times New Roman" w:eastAsia="宋体" w:cs="Times New Roman"/>
                <w:color w:val="auto"/>
                <w:spacing w:val="0"/>
                <w:position w:val="0"/>
              </w:rPr>
              <w:t>受检者配备围裙或方巾2套、颈套2套，铅橡胶帽子2个</w:t>
            </w:r>
            <w:r>
              <w:rPr>
                <w:rFonts w:hint="default" w:ascii="Times New Roman" w:hAnsi="Times New Roman" w:eastAsia="宋体" w:cs="Times New Roman"/>
                <w:color w:val="auto"/>
                <w:spacing w:val="0"/>
                <w:position w:val="0"/>
                <w:lang w:eastAsia="zh-CN"/>
              </w:rPr>
              <w:t>，上述防护用品须≥0.5mm铅当量</w:t>
            </w:r>
            <w:r>
              <w:rPr>
                <w:rFonts w:hint="eastAsia" w:cs="Times New Roman"/>
                <w:color w:val="auto"/>
                <w:spacing w:val="0"/>
                <w:position w:val="0"/>
                <w:lang w:eastAsia="zh-CN"/>
              </w:rPr>
              <w:t>，</w:t>
            </w:r>
            <w:r>
              <w:rPr>
                <w:rFonts w:hint="default" w:ascii="Times New Roman" w:hAnsi="Times New Roman" w:eastAsia="宋体" w:cs="Times New Roman"/>
                <w:color w:val="auto"/>
                <w:spacing w:val="0"/>
                <w:position w:val="0"/>
              </w:rPr>
              <w:t>DSA手术室在对病人进行照射时，对病人</w:t>
            </w:r>
            <w:r>
              <w:rPr>
                <w:rFonts w:hint="default" w:ascii="Times New Roman" w:hAnsi="Times New Roman" w:eastAsia="宋体" w:cs="Times New Roman"/>
                <w:color w:val="auto"/>
                <w:spacing w:val="0"/>
                <w:position w:val="0"/>
                <w:lang w:val="en-US" w:eastAsia="zh-CN"/>
              </w:rPr>
              <w:t>受照射</w:t>
            </w:r>
            <w:r>
              <w:rPr>
                <w:rFonts w:hint="default" w:ascii="Times New Roman" w:hAnsi="Times New Roman" w:eastAsia="宋体" w:cs="Times New Roman"/>
                <w:color w:val="auto"/>
                <w:spacing w:val="0"/>
                <w:position w:val="0"/>
              </w:rPr>
              <w:t>以外的部位用铅方巾进行了遮盖，必要时应穿着其他防护用品，尽可能避免病人受到不必要的辐射照射</w:t>
            </w:r>
            <w:r>
              <w:rPr>
                <w:rFonts w:hint="eastAsia" w:cs="Times New Roman"/>
                <w:color w:val="auto"/>
                <w:spacing w:val="0"/>
                <w:position w:val="0"/>
                <w:lang w:eastAsia="zh-CN"/>
              </w:rPr>
              <w:t>，</w:t>
            </w:r>
            <w:r>
              <w:rPr>
                <w:rFonts w:hint="eastAsia" w:cs="Times New Roman"/>
                <w:color w:val="auto"/>
                <w:spacing w:val="0"/>
                <w:position w:val="0"/>
                <w:lang w:val="en-US" w:eastAsia="zh-CN"/>
              </w:rPr>
              <w:t>同时也满足《放射诊断放射防护要求》（GBZ130-2020）中“6.5.4应为儿童的X射线检查配备保护相应组织和器官的防护用品，防护用品和辅助防护设施的铅当量应不小于0.5mmPb”的要求</w:t>
            </w:r>
            <w:r>
              <w:rPr>
                <w:rFonts w:hint="default" w:ascii="Times New Roman" w:hAnsi="Times New Roman" w:eastAsia="宋体" w:cs="Times New Roman"/>
                <w:color w:val="auto"/>
                <w:spacing w:val="0"/>
                <w:position w:val="0"/>
              </w:rPr>
              <w:t>。</w:t>
            </w:r>
          </w:p>
          <w:p w14:paraId="5876465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④</w:t>
            </w:r>
            <w:r>
              <w:rPr>
                <w:rFonts w:hint="default" w:ascii="Times New Roman" w:hAnsi="Times New Roman" w:eastAsia="宋体" w:cs="Times New Roman"/>
                <w:color w:val="auto"/>
                <w:spacing w:val="0"/>
                <w:position w:val="0"/>
                <w:highlight w:val="none"/>
                <w:lang w:val="en-US" w:eastAsia="zh-CN"/>
              </w:rPr>
              <w:t>项目建成后共计60台个人剂量计、2台个人剂量报警仪，1台便携式X-γ辐射监测仪器</w:t>
            </w:r>
            <w:r>
              <w:rPr>
                <w:rFonts w:hint="default" w:ascii="Times New Roman" w:hAnsi="Times New Roman" w:eastAsia="宋体" w:cs="Times New Roman"/>
                <w:color w:val="auto"/>
                <w:spacing w:val="0"/>
                <w:position w:val="0"/>
                <w:lang w:val="en-US" w:eastAsia="zh-CN"/>
              </w:rPr>
              <w:t>。</w:t>
            </w:r>
          </w:p>
          <w:p w14:paraId="22B37459">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3.</w:t>
            </w:r>
            <w:r>
              <w:rPr>
                <w:rFonts w:hint="default" w:ascii="Times New Roman" w:hAnsi="Times New Roman" w:eastAsia="宋体" w:cs="Times New Roman"/>
                <w:b/>
                <w:bCs/>
                <w:color w:val="auto"/>
                <w:spacing w:val="0"/>
                <w:position w:val="0"/>
              </w:rPr>
              <w:t>场所设计安全措施</w:t>
            </w:r>
          </w:p>
          <w:p w14:paraId="143C59C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w:t>
            </w:r>
            <w:r>
              <w:rPr>
                <w:rFonts w:hint="default" w:ascii="Times New Roman" w:hAnsi="Times New Roman" w:eastAsia="宋体" w:cs="Times New Roman"/>
                <w:color w:val="auto"/>
                <w:spacing w:val="0"/>
                <w:position w:val="0"/>
                <w:lang w:eastAsia="zh-CN"/>
              </w:rPr>
              <w:t>DSA机房患者通道防护门、控制室防护门和污物通道</w:t>
            </w:r>
            <w:r>
              <w:rPr>
                <w:rFonts w:hint="default" w:ascii="Times New Roman" w:hAnsi="Times New Roman" w:eastAsia="宋体" w:cs="Times New Roman"/>
                <w:color w:val="auto"/>
                <w:spacing w:val="0"/>
                <w:position w:val="0"/>
                <w:lang w:val="en-US" w:eastAsia="zh-CN"/>
              </w:rPr>
              <w:t>防护门</w:t>
            </w:r>
            <w:r>
              <w:rPr>
                <w:rFonts w:hint="default" w:ascii="Times New Roman" w:hAnsi="Times New Roman" w:eastAsia="宋体" w:cs="Times New Roman"/>
                <w:color w:val="auto"/>
                <w:spacing w:val="0"/>
                <w:position w:val="0"/>
                <w:lang w:eastAsia="zh-CN"/>
              </w:rPr>
              <w:t>上方设置醒目的工作状态指示灯，灯箱上设置有“当心射线”的可视警示语句，同时，工作状态指示灯能与机房门有效关联。当机房门开启时，警示灯熄灭，机房门关闭时，警示灯开启</w:t>
            </w:r>
            <w:r>
              <w:rPr>
                <w:rFonts w:hint="default" w:ascii="Times New Roman" w:hAnsi="Times New Roman" w:eastAsia="宋体" w:cs="Times New Roman"/>
                <w:color w:val="auto"/>
                <w:spacing w:val="0"/>
                <w:position w:val="0"/>
              </w:rPr>
              <w:t>；</w:t>
            </w:r>
          </w:p>
          <w:p w14:paraId="53B8ECF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（2）DSA机房</w:t>
            </w:r>
            <w:r>
              <w:rPr>
                <w:rFonts w:hint="default" w:ascii="Times New Roman" w:hAnsi="Times New Roman" w:eastAsia="宋体" w:cs="Times New Roman"/>
                <w:color w:val="auto"/>
                <w:spacing w:val="0"/>
                <w:position w:val="0"/>
                <w:lang w:val="en-US" w:eastAsia="zh-CN"/>
              </w:rPr>
              <w:t>控制室防护门和患者通道防护门</w:t>
            </w:r>
            <w:r>
              <w:rPr>
                <w:rFonts w:hint="default" w:ascii="Times New Roman" w:hAnsi="Times New Roman" w:eastAsia="宋体" w:cs="Times New Roman"/>
                <w:color w:val="auto"/>
                <w:spacing w:val="0"/>
                <w:position w:val="0"/>
              </w:rPr>
              <w:t>中部</w:t>
            </w:r>
            <w:r>
              <w:rPr>
                <w:rFonts w:hint="default" w:ascii="Times New Roman" w:hAnsi="Times New Roman" w:eastAsia="宋体" w:cs="Times New Roman"/>
                <w:color w:val="auto"/>
                <w:spacing w:val="0"/>
                <w:position w:val="0"/>
                <w:lang w:val="en-US" w:eastAsia="zh-CN"/>
              </w:rPr>
              <w:t>已</w:t>
            </w:r>
            <w:r>
              <w:rPr>
                <w:rFonts w:hint="default" w:ascii="Times New Roman" w:hAnsi="Times New Roman" w:eastAsia="宋体" w:cs="Times New Roman"/>
                <w:color w:val="auto"/>
                <w:spacing w:val="0"/>
                <w:position w:val="0"/>
              </w:rPr>
              <w:t>设置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当心电离辐射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警示标志</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污物通道防护门拟设置“当心电离辐射”警示标志</w:t>
            </w:r>
            <w:r>
              <w:rPr>
                <w:rFonts w:hint="default" w:ascii="Times New Roman" w:hAnsi="Times New Roman" w:eastAsia="宋体" w:cs="Times New Roman"/>
                <w:color w:val="auto"/>
                <w:spacing w:val="0"/>
                <w:position w:val="0"/>
              </w:rPr>
              <w:t>，警示人们注意可能发生的危险。DSA机房</w:t>
            </w:r>
            <w:r>
              <w:rPr>
                <w:rFonts w:hint="default" w:ascii="Times New Roman" w:hAnsi="Times New Roman" w:eastAsia="宋体" w:cs="Times New Roman"/>
                <w:color w:val="auto"/>
                <w:spacing w:val="0"/>
                <w:position w:val="0"/>
                <w:lang w:val="en-US" w:eastAsia="zh-CN"/>
              </w:rPr>
              <w:t>控制室防护门和患者通道防护门</w:t>
            </w:r>
            <w:r>
              <w:rPr>
                <w:rFonts w:hint="default" w:ascii="Times New Roman" w:hAnsi="Times New Roman" w:eastAsia="宋体" w:cs="Times New Roman"/>
                <w:color w:val="auto"/>
                <w:spacing w:val="0"/>
                <w:position w:val="0"/>
              </w:rPr>
              <w:t>上方设置醒目的工作状态指示灯，灯箱上设置如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射线有害、灯亮勿入</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的可视警示语句，提醒无关人员勿在此逗留；</w:t>
            </w:r>
          </w:p>
          <w:p w14:paraId="5A5A19E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（3）DSA介入室患者通道防护门</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控制室</w:t>
            </w:r>
            <w:r>
              <w:rPr>
                <w:rFonts w:hint="default" w:ascii="Times New Roman" w:hAnsi="Times New Roman" w:eastAsia="宋体" w:cs="Times New Roman"/>
                <w:color w:val="auto"/>
                <w:spacing w:val="0"/>
                <w:position w:val="0"/>
              </w:rPr>
              <w:t>防护门设计有闭门装置</w:t>
            </w:r>
            <w:r>
              <w:rPr>
                <w:rFonts w:hint="default" w:ascii="Times New Roman" w:hAnsi="Times New Roman" w:eastAsia="宋体" w:cs="Times New Roman"/>
                <w:color w:val="auto"/>
                <w:spacing w:val="0"/>
                <w:position w:val="0"/>
                <w:lang w:val="en-US" w:eastAsia="zh-CN"/>
              </w:rPr>
              <w:t>及防夹装置，</w:t>
            </w:r>
            <w:r>
              <w:rPr>
                <w:rFonts w:hint="default" w:ascii="Times New Roman" w:hAnsi="Times New Roman" w:eastAsia="宋体" w:cs="Times New Roman"/>
                <w:color w:val="auto"/>
                <w:spacing w:val="0"/>
                <w:position w:val="0"/>
              </w:rPr>
              <w:t>患者通道防护门安装有闭门器，患者进出后自动闭合，开门由医生控制或防护门底侧脚感应开关控制</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可使防护门时刻处于关闭状态，防止射线泄漏到DSA机房外，导致误照射；</w:t>
            </w:r>
          </w:p>
          <w:p w14:paraId="7CDAC14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（4）本项目控制室操作台、DSA</w:t>
            </w:r>
            <w:r>
              <w:rPr>
                <w:rFonts w:hint="default" w:ascii="Times New Roman" w:hAnsi="Times New Roman" w:eastAsia="宋体" w:cs="Times New Roman"/>
                <w:color w:val="auto"/>
                <w:spacing w:val="0"/>
                <w:position w:val="0"/>
                <w:lang w:val="en-US" w:eastAsia="zh-CN"/>
              </w:rPr>
              <w:t>设备</w:t>
            </w:r>
            <w:r>
              <w:rPr>
                <w:rFonts w:hint="default" w:ascii="Times New Roman" w:hAnsi="Times New Roman" w:eastAsia="宋体" w:cs="Times New Roman"/>
                <w:color w:val="auto"/>
                <w:spacing w:val="0"/>
                <w:position w:val="0"/>
              </w:rPr>
              <w:t>侧</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控制室铅门旁，拟分别</w:t>
            </w:r>
            <w:r>
              <w:rPr>
                <w:rFonts w:hint="default" w:ascii="Times New Roman" w:hAnsi="Times New Roman" w:eastAsia="宋体" w:cs="Times New Roman"/>
                <w:color w:val="auto"/>
                <w:spacing w:val="0"/>
                <w:position w:val="0"/>
              </w:rPr>
              <w:t>设置</w:t>
            </w:r>
            <w:r>
              <w:rPr>
                <w:rFonts w:hint="default" w:ascii="Times New Roman" w:hAnsi="Times New Roman" w:eastAsia="宋体" w:cs="Times New Roman"/>
                <w:color w:val="auto"/>
                <w:spacing w:val="0"/>
                <w:position w:val="0"/>
                <w:lang w:val="en-US" w:eastAsia="zh-CN"/>
              </w:rPr>
              <w:t>1个</w:t>
            </w:r>
            <w:r>
              <w:rPr>
                <w:rFonts w:hint="default" w:ascii="Times New Roman" w:hAnsi="Times New Roman" w:eastAsia="宋体" w:cs="Times New Roman"/>
                <w:color w:val="auto"/>
                <w:spacing w:val="0"/>
                <w:position w:val="0"/>
              </w:rPr>
              <w:t>紧急停止按钮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各按钮与X线系统连接</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共3个紧急停止按钮</w:t>
            </w:r>
            <w:r>
              <w:rPr>
                <w:rFonts w:hint="default" w:ascii="Times New Roman" w:hAnsi="Times New Roman" w:eastAsia="宋体" w:cs="Times New Roman"/>
                <w:color w:val="auto"/>
                <w:spacing w:val="0"/>
                <w:position w:val="0"/>
              </w:rPr>
              <w:t>。DSA射线装置系统的X线系统出束过程中，一旦出现异常，按动任紧急停机按钮，均可停止X线系统出束；</w:t>
            </w:r>
          </w:p>
          <w:p w14:paraId="4E796A4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（5）视频监控及对讲系统：建设单位拟在DSA机房安装视频监控及对讲系统，患者进入DSA机房后，操作医师在控制室通过监控视频可实时监控DSA机房内患者状况及机房内情况，通过对讲系统与患者沟通；</w:t>
            </w:r>
          </w:p>
          <w:p w14:paraId="6828EFD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6</w:t>
            </w:r>
            <w:r>
              <w:rPr>
                <w:rFonts w:hint="default" w:ascii="Times New Roman" w:hAnsi="Times New Roman" w:eastAsia="宋体" w:cs="Times New Roman"/>
                <w:color w:val="auto"/>
                <w:spacing w:val="0"/>
                <w:position w:val="0"/>
              </w:rPr>
              <w:t>）在进行介入治疗时，防护门前禁止人员停留</w:t>
            </w:r>
            <w:r>
              <w:rPr>
                <w:rFonts w:hint="default" w:ascii="Times New Roman" w:hAnsi="Times New Roman" w:eastAsia="宋体" w:cs="Times New Roman"/>
                <w:color w:val="auto"/>
                <w:spacing w:val="0"/>
                <w:position w:val="0"/>
                <w:lang w:eastAsia="zh-CN"/>
              </w:rPr>
              <w:t>；</w:t>
            </w:r>
          </w:p>
          <w:p w14:paraId="55424BF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7</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门扇底部采用防护铅胶条处理，密封地面缝隙，机房移动铅门与墙之间重叠30cm（两侧各15cm），高度高于门洞10cm。</w:t>
            </w:r>
          </w:p>
          <w:p w14:paraId="41FDF76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rPr>
              <w:t>本项目DSA介入室拟安装的安全措施示意</w:t>
            </w:r>
            <w:r>
              <w:rPr>
                <w:rFonts w:hint="default" w:ascii="Times New Roman" w:hAnsi="Times New Roman" w:eastAsia="宋体" w:cs="Times New Roman"/>
                <w:color w:val="auto"/>
                <w:spacing w:val="0"/>
                <w:position w:val="0"/>
                <w:highlight w:val="none"/>
              </w:rPr>
              <w:t>见</w:t>
            </w:r>
            <w:r>
              <w:rPr>
                <w:rFonts w:hint="default" w:ascii="Times New Roman" w:hAnsi="Times New Roman" w:eastAsia="宋体" w:cs="Times New Roman"/>
                <w:color w:val="auto"/>
                <w:spacing w:val="0"/>
                <w:position w:val="0"/>
                <w:highlight w:val="none"/>
                <w:lang w:val="en-US" w:eastAsia="zh-CN"/>
              </w:rPr>
              <w:t>附图1</w:t>
            </w:r>
            <w:r>
              <w:rPr>
                <w:rFonts w:hint="eastAsia" w:cs="Times New Roman"/>
                <w:color w:val="auto"/>
                <w:spacing w:val="0"/>
                <w:position w:val="0"/>
                <w:highlight w:val="none"/>
                <w:lang w:val="en-US" w:eastAsia="zh-CN"/>
              </w:rPr>
              <w:t>3</w:t>
            </w:r>
            <w:r>
              <w:rPr>
                <w:rFonts w:hint="default" w:ascii="Times New Roman" w:hAnsi="Times New Roman" w:eastAsia="宋体" w:cs="Times New Roman"/>
                <w:color w:val="auto"/>
                <w:spacing w:val="0"/>
                <w:position w:val="0"/>
                <w:highlight w:val="none"/>
                <w:lang w:val="en-US" w:eastAsia="zh-CN"/>
              </w:rPr>
              <w:t>和图10-</w:t>
            </w:r>
            <w:r>
              <w:rPr>
                <w:rFonts w:hint="eastAsia" w:cs="Times New Roman"/>
                <w:color w:val="auto"/>
                <w:spacing w:val="0"/>
                <w:position w:val="0"/>
                <w:highlight w:val="none"/>
                <w:lang w:val="en-US" w:eastAsia="zh-CN"/>
              </w:rPr>
              <w:t>6</w:t>
            </w:r>
            <w:r>
              <w:rPr>
                <w:rFonts w:hint="default" w:ascii="Times New Roman" w:hAnsi="Times New Roman" w:eastAsia="宋体" w:cs="Times New Roman"/>
                <w:color w:val="auto"/>
                <w:spacing w:val="0"/>
                <w:position w:val="0"/>
                <w:highlight w:val="none"/>
              </w:rPr>
              <w:t>。</w:t>
            </w:r>
          </w:p>
          <w:p w14:paraId="7908EB5C">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eastAsia="zh-CN"/>
              </w:rPr>
              <w:drawing>
                <wp:inline distT="0" distB="0" distL="114300" distR="114300">
                  <wp:extent cx="5567045" cy="3296285"/>
                  <wp:effectExtent l="0" t="0" r="14605" b="18415"/>
                  <wp:docPr id="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3"/>
                          <pic:cNvPicPr>
                            <a:picLocks noChangeAspect="1"/>
                          </pic:cNvPicPr>
                        </pic:nvPicPr>
                        <pic:blipFill>
                          <a:blip r:embed="rId44"/>
                          <a:stretch>
                            <a:fillRect/>
                          </a:stretch>
                        </pic:blipFill>
                        <pic:spPr>
                          <a:xfrm>
                            <a:off x="0" y="0"/>
                            <a:ext cx="5567045" cy="3296285"/>
                          </a:xfrm>
                          <a:prstGeom prst="rect">
                            <a:avLst/>
                          </a:prstGeom>
                          <a:noFill/>
                          <a:ln>
                            <a:noFill/>
                          </a:ln>
                        </pic:spPr>
                      </pic:pic>
                    </a:graphicData>
                  </a:graphic>
                </wp:inline>
              </w:drawing>
            </w:r>
          </w:p>
          <w:p w14:paraId="4103F62E">
            <w:pPr>
              <w:keepNext w:val="0"/>
              <w:keepLines w:val="0"/>
              <w:pageBreakBefore w:val="0"/>
              <w:widowControl w:val="0"/>
              <w:suppressLineNumbers w:val="0"/>
              <w:tabs>
                <w:tab w:val="left" w:pos="8275"/>
              </w:tabs>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图10-</w:t>
            </w:r>
            <w:r>
              <w:rPr>
                <w:rFonts w:hint="eastAsia" w:cs="Times New Roman"/>
                <w:b/>
                <w:bCs/>
                <w:color w:val="auto"/>
                <w:spacing w:val="0"/>
                <w:position w:val="0"/>
                <w:sz w:val="21"/>
                <w:szCs w:val="21"/>
                <w:lang w:val="en-US" w:eastAsia="zh-CN"/>
              </w:rPr>
              <w:t>6</w:t>
            </w:r>
            <w:r>
              <w:rPr>
                <w:rFonts w:hint="default" w:ascii="Times New Roman" w:hAnsi="Times New Roman" w:eastAsia="宋体" w:cs="Times New Roman"/>
                <w:b/>
                <w:bCs/>
                <w:color w:val="auto"/>
                <w:spacing w:val="0"/>
                <w:position w:val="0"/>
                <w:sz w:val="21"/>
                <w:szCs w:val="21"/>
                <w:lang w:val="en-US" w:eastAsia="zh-CN"/>
              </w:rPr>
              <w:t>项目DSA机房辐射安全措施图</w:t>
            </w:r>
          </w:p>
          <w:p w14:paraId="116175B5">
            <w:pPr>
              <w:keepNext w:val="0"/>
              <w:keepLines w:val="0"/>
              <w:suppressLineNumbers w:val="0"/>
              <w:tabs>
                <w:tab w:val="left" w:pos="8275"/>
              </w:tabs>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4.</w:t>
            </w:r>
            <w:r>
              <w:rPr>
                <w:rFonts w:hint="default" w:ascii="Times New Roman" w:hAnsi="Times New Roman" w:eastAsia="宋体" w:cs="Times New Roman"/>
                <w:b/>
                <w:bCs/>
                <w:color w:val="auto"/>
                <w:spacing w:val="0"/>
                <w:position w:val="0"/>
              </w:rPr>
              <w:t>电缆布置</w:t>
            </w:r>
          </w:p>
          <w:p w14:paraId="7CD87B37">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电缆共有2条路线，一个是空中桥架（上方悬挂的DSA显示系统的电缆），一个地面的设备基座和检查床电缆。（1）本项目DSA上方悬挂的C型臂的电缆在机房装饰面板吊顶内设置电缆桥架，电缆桥架穿墙后进入控制室，穿防护墙处采用斜穿的方式，电缆桥架穿墙处设置4mm防护铅板，长度完全覆盖电缆穿墙部位，穿墙孔洞两端外延部分再用4mm厚铅皮包裹，长度为穿墙前后各30cm，穿墙部分间隙用硫酸钡水泥砂浆封堵填实。能够有效防止射线泄漏，穿墙部分不会影响墙体整体的防护性能，拟建。（2）本项目DSA设备主体电缆从设备基座和检查床下方分别设置电缆桥架，设备基座下方楼板开洞（直径150mm×2个），检查床下方楼板开洞（直径120mm×1个），后在四楼天花板吊顶内设置电缆桥架（固着于楼板下方300mm处），设备基座和检查床电缆从楼下吊顶内电缆桥架进入设备间（直径300mm×1个），不从控制室和设备间穿墙。采取了以下专项屏蔽防护措施：①在设备基座和检查床下方的两个楼板开洞处，采用厚度不小于4mm的铅板进行覆盖防护。铅板覆盖范围超过孔洞边缘不小于100mm，并与楼板紧密贴合，确保无缝防护。②电缆桥架穿墙防护：对于在楼下吊顶内敷设的电缆桥架，在穿墙处采用直穿方式。在电缆桥架穿墙部位设置厚度不小于4mm的防护铅板，同时对穿墙段电缆桥架弯管处用厚度不小于4mm的铅皮进行包裹，包裹长度为穿墙前后各30cm，实现双重屏蔽，并与楼板开洞处防护铅板紧密贴合，穿墙部分间隙用硫酸钡水泥砂浆封堵填实。能够有效防止射线泄漏，穿墙部分不会影响墙体整体的防护性能</w:t>
            </w:r>
            <w:r>
              <w:rPr>
                <w:rFonts w:hint="default" w:ascii="Times New Roman" w:hAnsi="Times New Roman" w:eastAsia="宋体" w:cs="Times New Roman"/>
                <w:color w:val="auto"/>
                <w:spacing w:val="0"/>
                <w:position w:val="0"/>
              </w:rPr>
              <w:t>。</w:t>
            </w:r>
          </w:p>
          <w:p w14:paraId="5AE43515">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项目电缆沟的设置充分考虑了地面和穿墙部分的整体防护性能，</w:t>
            </w:r>
            <w:r>
              <w:rPr>
                <w:rFonts w:hint="default" w:ascii="Times New Roman" w:hAnsi="Times New Roman" w:eastAsia="宋体" w:cs="Times New Roman"/>
                <w:color w:val="auto"/>
                <w:spacing w:val="0"/>
                <w:position w:val="0"/>
                <w:lang w:val="en-US" w:eastAsia="zh-CN"/>
              </w:rPr>
              <w:t>电缆沟穿墙部分经铅皮等防护措施处理和多次杂散射后，对机房外的影响较小，</w:t>
            </w:r>
            <w:r>
              <w:rPr>
                <w:rFonts w:hint="default" w:ascii="Times New Roman" w:hAnsi="Times New Roman" w:eastAsia="宋体" w:cs="Times New Roman"/>
                <w:color w:val="auto"/>
                <w:spacing w:val="0"/>
                <w:position w:val="0"/>
              </w:rPr>
              <w:t>采取项目设计的屏蔽防护措施后，能够有效防止射线直接从电缆沟照射出机房。拟采用的屏蔽防护措施满足《放射诊断放射防护要求》（GBZ130-2020）中的屏蔽防护要求。故项目机房电缆沟防护设计方案可行</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电缆</w:t>
            </w:r>
            <w:r>
              <w:rPr>
                <w:rFonts w:hint="default" w:ascii="Times New Roman" w:hAnsi="Times New Roman" w:eastAsia="宋体" w:cs="Times New Roman"/>
                <w:color w:val="auto"/>
                <w:spacing w:val="0"/>
                <w:position w:val="0"/>
                <w:lang w:val="en-US" w:eastAsia="zh-CN"/>
              </w:rPr>
              <w:t>沟</w:t>
            </w:r>
            <w:r>
              <w:rPr>
                <w:rFonts w:hint="default" w:ascii="Times New Roman" w:hAnsi="Times New Roman" w:eastAsia="宋体" w:cs="Times New Roman"/>
                <w:color w:val="auto"/>
                <w:spacing w:val="0"/>
                <w:position w:val="0"/>
              </w:rPr>
              <w:t>穿墙示意图见图10-</w:t>
            </w:r>
            <w:r>
              <w:rPr>
                <w:rFonts w:hint="eastAsia" w:cs="Times New Roman"/>
                <w:color w:val="auto"/>
                <w:spacing w:val="0"/>
                <w:position w:val="0"/>
                <w:lang w:val="en-US" w:eastAsia="zh-CN"/>
              </w:rPr>
              <w:t>7</w:t>
            </w:r>
            <w:r>
              <w:rPr>
                <w:rFonts w:hint="default" w:ascii="Times New Roman" w:hAnsi="Times New Roman" w:eastAsia="宋体" w:cs="Times New Roman"/>
                <w:color w:val="auto"/>
                <w:spacing w:val="0"/>
                <w:position w:val="0"/>
                <w:lang w:val="en-US" w:eastAsia="zh-CN"/>
              </w:rPr>
              <w:t>和图10-</w:t>
            </w:r>
            <w:r>
              <w:rPr>
                <w:rFonts w:hint="eastAsia" w:cs="Times New Roman"/>
                <w:color w:val="auto"/>
                <w:spacing w:val="0"/>
                <w:position w:val="0"/>
                <w:lang w:val="en-US" w:eastAsia="zh-CN"/>
              </w:rPr>
              <w:t>8</w:t>
            </w:r>
            <w:r>
              <w:rPr>
                <w:rFonts w:hint="default" w:ascii="Times New Roman" w:hAnsi="Times New Roman" w:eastAsia="宋体" w:cs="Times New Roman"/>
                <w:color w:val="auto"/>
                <w:spacing w:val="0"/>
                <w:position w:val="0"/>
              </w:rPr>
              <w:t>。</w:t>
            </w:r>
          </w:p>
          <w:p w14:paraId="1EB685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lang w:val="en-US" w:eastAsia="zh-CN"/>
              </w:rPr>
              <w:drawing>
                <wp:inline distT="0" distB="0" distL="114300" distR="114300">
                  <wp:extent cx="2811145" cy="2299335"/>
                  <wp:effectExtent l="0" t="0" r="8255" b="5715"/>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45"/>
                          <a:stretch>
                            <a:fillRect/>
                          </a:stretch>
                        </pic:blipFill>
                        <pic:spPr>
                          <a:xfrm>
                            <a:off x="0" y="0"/>
                            <a:ext cx="2811145" cy="2299335"/>
                          </a:xfrm>
                          <a:prstGeom prst="rect">
                            <a:avLst/>
                          </a:prstGeom>
                          <a:noFill/>
                          <a:ln>
                            <a:noFill/>
                          </a:ln>
                        </pic:spPr>
                      </pic:pic>
                    </a:graphicData>
                  </a:graphic>
                </wp:inline>
              </w:drawing>
            </w:r>
            <w:r>
              <w:rPr>
                <w:rFonts w:hint="eastAsia" w:cs="Times New Roman"/>
                <w:color w:val="auto"/>
                <w:lang w:val="en-US" w:eastAsia="zh-CN"/>
              </w:rPr>
              <w:t xml:space="preserve"> </w:t>
            </w:r>
            <w:r>
              <w:rPr>
                <w:rFonts w:hint="default" w:ascii="Times New Roman" w:hAnsi="Times New Roman" w:eastAsia="宋体" w:cs="Times New Roman"/>
                <w:color w:val="auto"/>
                <w:lang w:val="en-US" w:eastAsia="zh-CN"/>
              </w:rPr>
              <w:drawing>
                <wp:inline distT="0" distB="0" distL="114300" distR="114300">
                  <wp:extent cx="2781300" cy="2303780"/>
                  <wp:effectExtent l="0" t="0" r="0" b="1270"/>
                  <wp:docPr id="3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
                          <pic:cNvPicPr>
                            <a:picLocks noChangeAspect="1"/>
                          </pic:cNvPicPr>
                        </pic:nvPicPr>
                        <pic:blipFill>
                          <a:blip r:embed="rId46"/>
                          <a:stretch>
                            <a:fillRect/>
                          </a:stretch>
                        </pic:blipFill>
                        <pic:spPr>
                          <a:xfrm>
                            <a:off x="0" y="0"/>
                            <a:ext cx="2781300" cy="2303780"/>
                          </a:xfrm>
                          <a:prstGeom prst="rect">
                            <a:avLst/>
                          </a:prstGeom>
                          <a:noFill/>
                          <a:ln>
                            <a:noFill/>
                          </a:ln>
                        </pic:spPr>
                      </pic:pic>
                    </a:graphicData>
                  </a:graphic>
                </wp:inline>
              </w:drawing>
            </w:r>
            <w:r>
              <w:rPr>
                <w:rFonts w:hint="default" w:ascii="Times New Roman" w:hAnsi="Times New Roman" w:eastAsia="宋体" w:cs="Times New Roman"/>
                <w:color w:val="auto"/>
                <w:lang w:val="en-US" w:eastAsia="zh-CN"/>
              </w:rPr>
              <w:t xml:space="preserve"> </w:t>
            </w:r>
            <w:bookmarkStart w:id="50" w:name="_Toc736"/>
          </w:p>
          <w:p w14:paraId="7BC4A02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0"/>
                <w:position w:val="0"/>
                <w:sz w:val="21"/>
                <w:szCs w:val="21"/>
                <w:lang w:eastAsia="zh-CN"/>
              </w:rPr>
            </w:pPr>
            <w:r>
              <w:rPr>
                <w:rFonts w:hint="default" w:ascii="Times New Roman" w:hAnsi="Times New Roman" w:eastAsia="宋体" w:cs="Times New Roman"/>
                <w:b/>
                <w:bCs/>
                <w:color w:val="auto"/>
                <w:spacing w:val="0"/>
                <w:position w:val="0"/>
                <w:sz w:val="21"/>
                <w:szCs w:val="21"/>
                <w:lang w:eastAsia="zh-CN"/>
              </w:rPr>
              <w:t>图10-</w:t>
            </w:r>
            <w:r>
              <w:rPr>
                <w:rFonts w:hint="eastAsia" w:cs="Times New Roman"/>
                <w:b/>
                <w:bCs/>
                <w:color w:val="auto"/>
                <w:spacing w:val="0"/>
                <w:position w:val="0"/>
                <w:sz w:val="21"/>
                <w:szCs w:val="21"/>
                <w:lang w:val="en-US" w:eastAsia="zh-CN"/>
              </w:rPr>
              <w:t>7</w:t>
            </w:r>
            <w:r>
              <w:rPr>
                <w:rFonts w:hint="default" w:ascii="Times New Roman" w:hAnsi="Times New Roman" w:eastAsia="宋体" w:cs="Times New Roman"/>
                <w:b/>
                <w:bCs/>
                <w:color w:val="auto"/>
                <w:spacing w:val="0"/>
                <w:position w:val="0"/>
                <w:sz w:val="21"/>
                <w:szCs w:val="21"/>
                <w:lang w:val="en-US" w:eastAsia="zh-CN"/>
              </w:rPr>
              <w:t xml:space="preserve"> </w:t>
            </w:r>
            <w:r>
              <w:rPr>
                <w:rFonts w:hint="default" w:ascii="Times New Roman" w:hAnsi="Times New Roman" w:eastAsia="宋体" w:cs="Times New Roman"/>
                <w:b/>
                <w:bCs/>
                <w:color w:val="auto"/>
                <w:spacing w:val="0"/>
                <w:position w:val="0"/>
                <w:sz w:val="21"/>
                <w:szCs w:val="21"/>
                <w:lang w:eastAsia="zh-CN"/>
              </w:rPr>
              <w:t xml:space="preserve"> DSA介入室电缆沟</w:t>
            </w:r>
            <w:r>
              <w:rPr>
                <w:rFonts w:hint="default" w:ascii="Times New Roman" w:hAnsi="Times New Roman" w:eastAsia="宋体" w:cs="Times New Roman"/>
                <w:b/>
                <w:bCs/>
                <w:color w:val="auto"/>
                <w:spacing w:val="0"/>
                <w:position w:val="0"/>
                <w:sz w:val="21"/>
                <w:szCs w:val="21"/>
                <w:lang w:val="en-US" w:eastAsia="zh-CN"/>
              </w:rPr>
              <w:t>走向图</w:t>
            </w:r>
            <w:bookmarkEnd w:id="50"/>
          </w:p>
          <w:p w14:paraId="1FAAA393">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pacing w:val="0"/>
                <w:position w:val="0"/>
                <w:sz w:val="21"/>
                <w:szCs w:val="21"/>
                <w:lang w:val="en-US" w:eastAsia="zh-CN"/>
              </w:rPr>
            </w:pPr>
            <w:bookmarkStart w:id="51" w:name="_Toc5824"/>
            <w:bookmarkStart w:id="52" w:name="_Toc14416"/>
            <w:r>
              <w:rPr>
                <w:rFonts w:hint="default" w:ascii="Times New Roman" w:hAnsi="Times New Roman" w:eastAsia="宋体" w:cs="Times New Roman"/>
                <w:b/>
                <w:bCs/>
                <w:color w:val="auto"/>
                <w:spacing w:val="0"/>
                <w:position w:val="0"/>
                <w:sz w:val="21"/>
                <w:szCs w:val="21"/>
                <w:lang w:val="en-US" w:eastAsia="zh-CN"/>
              </w:rPr>
              <w:drawing>
                <wp:inline distT="0" distB="0" distL="114300" distR="114300">
                  <wp:extent cx="2750185" cy="3152140"/>
                  <wp:effectExtent l="0" t="0" r="12065" b="10160"/>
                  <wp:docPr id="3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pic:cNvPicPr>
                            <a:picLocks noChangeAspect="1"/>
                          </pic:cNvPicPr>
                        </pic:nvPicPr>
                        <pic:blipFill>
                          <a:blip r:embed="rId47"/>
                          <a:stretch>
                            <a:fillRect/>
                          </a:stretch>
                        </pic:blipFill>
                        <pic:spPr>
                          <a:xfrm>
                            <a:off x="0" y="0"/>
                            <a:ext cx="2750185" cy="3152140"/>
                          </a:xfrm>
                          <a:prstGeom prst="rect">
                            <a:avLst/>
                          </a:prstGeom>
                          <a:noFill/>
                          <a:ln>
                            <a:noFill/>
                          </a:ln>
                        </pic:spPr>
                      </pic:pic>
                    </a:graphicData>
                  </a:graphic>
                </wp:inline>
              </w:drawing>
            </w:r>
            <w:r>
              <w:rPr>
                <w:rFonts w:hint="default" w:ascii="Times New Roman" w:hAnsi="Times New Roman" w:eastAsia="宋体" w:cs="Times New Roman"/>
                <w:b/>
                <w:bCs/>
                <w:color w:val="auto"/>
                <w:spacing w:val="0"/>
                <w:position w:val="0"/>
                <w:sz w:val="21"/>
                <w:szCs w:val="21"/>
                <w:lang w:val="en-US" w:eastAsia="zh-CN"/>
              </w:rPr>
              <w:t xml:space="preserve"> </w:t>
            </w:r>
            <w:r>
              <w:rPr>
                <w:rFonts w:hint="default" w:ascii="Times New Roman" w:hAnsi="Times New Roman" w:eastAsia="宋体" w:cs="Times New Roman"/>
                <w:b/>
                <w:bCs/>
                <w:color w:val="auto"/>
                <w:spacing w:val="0"/>
                <w:position w:val="0"/>
                <w:sz w:val="21"/>
                <w:szCs w:val="21"/>
                <w:lang w:val="en-US" w:eastAsia="zh-CN"/>
              </w:rPr>
              <w:drawing>
                <wp:inline distT="0" distB="0" distL="114300" distR="114300">
                  <wp:extent cx="2743200" cy="3140710"/>
                  <wp:effectExtent l="0" t="0" r="0" b="2540"/>
                  <wp:docPr id="3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7"/>
                          <pic:cNvPicPr>
                            <a:picLocks noChangeAspect="1"/>
                          </pic:cNvPicPr>
                        </pic:nvPicPr>
                        <pic:blipFill>
                          <a:blip r:embed="rId48"/>
                          <a:stretch>
                            <a:fillRect/>
                          </a:stretch>
                        </pic:blipFill>
                        <pic:spPr>
                          <a:xfrm>
                            <a:off x="0" y="0"/>
                            <a:ext cx="2743200" cy="3140710"/>
                          </a:xfrm>
                          <a:prstGeom prst="rect">
                            <a:avLst/>
                          </a:prstGeom>
                          <a:noFill/>
                          <a:ln>
                            <a:noFill/>
                          </a:ln>
                        </pic:spPr>
                      </pic:pic>
                    </a:graphicData>
                  </a:graphic>
                </wp:inline>
              </w:drawing>
            </w:r>
          </w:p>
          <w:p w14:paraId="70404372">
            <w:pPr>
              <w:keepNext w:val="0"/>
              <w:keepLines w:val="0"/>
              <w:suppressLineNumbers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图10-</w:t>
            </w:r>
            <w:r>
              <w:rPr>
                <w:rFonts w:hint="eastAsia" w:cs="Times New Roman"/>
                <w:b/>
                <w:bCs/>
                <w:color w:val="auto"/>
                <w:spacing w:val="0"/>
                <w:position w:val="0"/>
                <w:sz w:val="21"/>
                <w:szCs w:val="21"/>
                <w:lang w:val="en-US" w:eastAsia="zh-CN"/>
              </w:rPr>
              <w:t>8</w:t>
            </w:r>
            <w:r>
              <w:rPr>
                <w:rFonts w:hint="default" w:ascii="Times New Roman" w:hAnsi="Times New Roman" w:eastAsia="宋体" w:cs="Times New Roman"/>
                <w:b/>
                <w:bCs/>
                <w:color w:val="auto"/>
                <w:spacing w:val="0"/>
                <w:position w:val="0"/>
                <w:sz w:val="21"/>
                <w:szCs w:val="21"/>
                <w:lang w:val="en-US" w:eastAsia="zh-CN"/>
              </w:rPr>
              <w:t xml:space="preserve"> </w:t>
            </w:r>
            <w:r>
              <w:rPr>
                <w:rFonts w:hint="default" w:ascii="Times New Roman" w:hAnsi="Times New Roman" w:eastAsia="宋体" w:cs="Times New Roman"/>
                <w:b/>
                <w:bCs/>
                <w:color w:val="auto"/>
                <w:spacing w:val="0"/>
                <w:position w:val="0"/>
                <w:sz w:val="21"/>
                <w:szCs w:val="21"/>
              </w:rPr>
              <w:t xml:space="preserve"> DSA介入室电缆沟穿墙示意图</w:t>
            </w:r>
            <w:bookmarkEnd w:id="51"/>
          </w:p>
          <w:bookmarkEnd w:id="52"/>
          <w:p w14:paraId="73F92D03">
            <w:pPr>
              <w:keepNext w:val="0"/>
              <w:keepLines w:val="0"/>
              <w:numPr>
                <w:ilvl w:val="0"/>
                <w:numId w:val="11"/>
              </w:numPr>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通风管设置</w:t>
            </w:r>
          </w:p>
          <w:p w14:paraId="3656085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DSA 机房排送风管道从北侧屏蔽墙斜向45°穿墙出机房进入设备间，穿墙部位距地面均为3m，风管用3mm厚铅皮包裹，包裹长度为穿墙前后各30cm，穿墙部分间隙用硫酸钡水泥砂浆封堵填实，风管法兰接口、弯管用3mm厚铅皮搭接，由于通排风管道在穿墙时均是整体包裹，穿墙位置不在主射束方向，</w:t>
            </w:r>
            <w:r>
              <w:rPr>
                <w:rFonts w:hint="default" w:ascii="Times New Roman" w:hAnsi="Times New Roman" w:eastAsia="宋体" w:cs="Times New Roman"/>
                <w:color w:val="auto"/>
                <w:spacing w:val="0"/>
                <w:position w:val="0"/>
              </w:rPr>
              <w:t>因此经过铅皮等防护措施处理后</w:t>
            </w:r>
            <w:r>
              <w:rPr>
                <w:rFonts w:hint="default" w:ascii="Times New Roman" w:hAnsi="Times New Roman" w:eastAsia="宋体" w:cs="Times New Roman"/>
                <w:color w:val="auto"/>
                <w:spacing w:val="0"/>
                <w:position w:val="0"/>
                <w:lang w:val="en-US" w:eastAsia="zh-CN"/>
              </w:rPr>
              <w:t>，能够有效防止射线直接从风管照射出机房，因此穿墙部分不影响墙体整体的防护性能和机房外的辐射水平。风管穿墙部分经铅皮等防护措施处理和多次杂散射后，对机房外的影响较小。项目所用混凝土密度不小于2.35g/c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，硫酸钡砂浆密度不小于3.2g/cm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w:t>
            </w:r>
          </w:p>
          <w:p w14:paraId="659A3B8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综合分析，项目DSA手术室能够保持机房内良好的通风；同时采取辐射防护措施后，通排风管道穿墙和风管的设置不会影响机房屏蔽效果，</w:t>
            </w:r>
            <w:r>
              <w:rPr>
                <w:rFonts w:hint="default" w:ascii="Times New Roman" w:hAnsi="Times New Roman" w:eastAsia="宋体" w:cs="Times New Roman"/>
                <w:color w:val="auto"/>
                <w:spacing w:val="0"/>
                <w:position w:val="0"/>
                <w:lang w:val="en-US" w:eastAsia="zh-CN"/>
              </w:rPr>
              <w:t>风管从机房北侧屏蔽墙穿出机房，经机房装饰面板吊顶区域引至住院楼5楼中央空调机房，经5楼中央空调统一通过住院楼排风竖井排放，</w:t>
            </w:r>
            <w:r>
              <w:rPr>
                <w:rFonts w:hint="default" w:ascii="Times New Roman" w:hAnsi="Times New Roman" w:eastAsia="宋体" w:cs="Times New Roman"/>
                <w:color w:val="auto"/>
                <w:spacing w:val="0"/>
                <w:position w:val="0"/>
              </w:rPr>
              <w:t>为非人员活动密集区，对周围环境影响甚微；故本项目采用的通排风方案满足《放射诊断放射防护要求》（GBZ130-2020）中的屏蔽防护要求。通排风管道穿墙示意图见图10-</w:t>
            </w:r>
            <w:r>
              <w:rPr>
                <w:rFonts w:hint="eastAsia" w:cs="Times New Roman"/>
                <w:color w:val="auto"/>
                <w:spacing w:val="0"/>
                <w:position w:val="0"/>
                <w:lang w:val="en-US" w:eastAsia="zh-CN"/>
              </w:rPr>
              <w:t>9</w:t>
            </w:r>
            <w:r>
              <w:rPr>
                <w:rFonts w:hint="default" w:ascii="Times New Roman" w:hAnsi="Times New Roman" w:eastAsia="宋体" w:cs="Times New Roman"/>
                <w:color w:val="auto"/>
                <w:spacing w:val="0"/>
                <w:position w:val="0"/>
                <w:lang w:val="en-US" w:eastAsia="zh-CN"/>
              </w:rPr>
              <w:t>和图10-</w:t>
            </w:r>
            <w:r>
              <w:rPr>
                <w:rFonts w:hint="eastAsia" w:cs="Times New Roman"/>
                <w:color w:val="auto"/>
                <w:spacing w:val="0"/>
                <w:position w:val="0"/>
                <w:lang w:val="en-US" w:eastAsia="zh-CN"/>
              </w:rPr>
              <w:t>10</w:t>
            </w:r>
            <w:r>
              <w:rPr>
                <w:rFonts w:hint="default" w:ascii="Times New Roman" w:hAnsi="Times New Roman" w:eastAsia="宋体" w:cs="Times New Roman"/>
                <w:color w:val="auto"/>
                <w:spacing w:val="0"/>
                <w:position w:val="0"/>
              </w:rPr>
              <w:t>。</w:t>
            </w:r>
          </w:p>
          <w:p w14:paraId="08A5C323">
            <w:pPr>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rPr>
              <w:drawing>
                <wp:inline distT="0" distB="0" distL="114300" distR="114300">
                  <wp:extent cx="4096385" cy="3820795"/>
                  <wp:effectExtent l="0" t="0" r="18415" b="8255"/>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49"/>
                          <a:stretch>
                            <a:fillRect/>
                          </a:stretch>
                        </pic:blipFill>
                        <pic:spPr>
                          <a:xfrm>
                            <a:off x="0" y="0"/>
                            <a:ext cx="4096385" cy="3820795"/>
                          </a:xfrm>
                          <a:prstGeom prst="rect">
                            <a:avLst/>
                          </a:prstGeom>
                          <a:noFill/>
                          <a:ln>
                            <a:noFill/>
                          </a:ln>
                        </pic:spPr>
                      </pic:pic>
                    </a:graphicData>
                  </a:graphic>
                </wp:inline>
              </w:drawing>
            </w:r>
          </w:p>
          <w:p w14:paraId="2DC42BD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图10-</w:t>
            </w:r>
            <w:r>
              <w:rPr>
                <w:rFonts w:hint="eastAsia" w:cs="Times New Roman"/>
                <w:b/>
                <w:bCs/>
                <w:color w:val="auto"/>
                <w:spacing w:val="0"/>
                <w:position w:val="0"/>
                <w:sz w:val="21"/>
                <w:szCs w:val="21"/>
                <w:lang w:val="en-US" w:eastAsia="zh-CN"/>
              </w:rPr>
              <w:t>9</w:t>
            </w:r>
            <w:r>
              <w:rPr>
                <w:rFonts w:hint="default" w:ascii="Times New Roman" w:hAnsi="Times New Roman" w:eastAsia="宋体" w:cs="Times New Roman"/>
                <w:b/>
                <w:bCs/>
                <w:color w:val="auto"/>
                <w:spacing w:val="0"/>
                <w:position w:val="0"/>
                <w:sz w:val="21"/>
                <w:szCs w:val="21"/>
                <w:lang w:val="en-US" w:eastAsia="zh-CN"/>
              </w:rPr>
              <w:t xml:space="preserve"> 通风管示意图</w:t>
            </w:r>
          </w:p>
          <w:p w14:paraId="4F151F1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lang w:val="en-US"/>
              </w:rPr>
            </w:pPr>
            <w:r>
              <w:rPr>
                <w:rFonts w:hint="default" w:ascii="Times New Roman" w:hAnsi="Times New Roman" w:eastAsia="宋体" w:cs="Times New Roman"/>
                <w:color w:val="auto"/>
                <w:spacing w:val="0"/>
                <w:position w:val="0"/>
                <w:lang w:val="en-US"/>
              </w:rPr>
              <w:drawing>
                <wp:inline distT="0" distB="0" distL="114300" distR="114300">
                  <wp:extent cx="3937635" cy="2376805"/>
                  <wp:effectExtent l="0" t="0" r="5715" b="4445"/>
                  <wp:docPr id="41" name="图片 27" descr="提取自环境影响评价报告全文本-昆明市妇幼保健院呈贡分院新增一台数字减影血管造影机（DSA）核技术利用项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7" descr="提取自环境影响评价报告全文本-昆明市妇幼保健院呈贡分院新增一台数字减影血管造影机（DSA）核技术利用项目"/>
                          <pic:cNvPicPr>
                            <a:picLocks noChangeAspect="1"/>
                          </pic:cNvPicPr>
                        </pic:nvPicPr>
                        <pic:blipFill>
                          <a:blip r:embed="rId50"/>
                          <a:stretch>
                            <a:fillRect/>
                          </a:stretch>
                        </pic:blipFill>
                        <pic:spPr>
                          <a:xfrm>
                            <a:off x="0" y="0"/>
                            <a:ext cx="3937635" cy="2376805"/>
                          </a:xfrm>
                          <a:prstGeom prst="rect">
                            <a:avLst/>
                          </a:prstGeom>
                          <a:noFill/>
                          <a:ln>
                            <a:noFill/>
                          </a:ln>
                        </pic:spPr>
                      </pic:pic>
                    </a:graphicData>
                  </a:graphic>
                </wp:inline>
              </w:drawing>
            </w:r>
          </w:p>
          <w:p w14:paraId="0F0E17EF">
            <w:pPr>
              <w:keepNext w:val="0"/>
              <w:keepLines w:val="0"/>
              <w:widowControl w:val="0"/>
              <w:suppressLineNumbers w:val="0"/>
              <w:spacing w:before="0" w:beforeAutospacing="0" w:after="0" w:afterAutospacing="0" w:line="360" w:lineRule="auto"/>
              <w:ind w:left="0" w:right="0" w:firstLine="422" w:firstLineChars="20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kern w:val="2"/>
                <w:position w:val="0"/>
                <w:sz w:val="21"/>
                <w:szCs w:val="21"/>
                <w:lang w:val="en-US" w:eastAsia="zh-CN" w:bidi="ar"/>
              </w:rPr>
              <w:t>图10-</w:t>
            </w:r>
            <w:r>
              <w:rPr>
                <w:rFonts w:hint="eastAsia" w:cs="Times New Roman"/>
                <w:b/>
                <w:bCs/>
                <w:color w:val="auto"/>
                <w:spacing w:val="0"/>
                <w:kern w:val="2"/>
                <w:position w:val="0"/>
                <w:sz w:val="21"/>
                <w:szCs w:val="21"/>
                <w:lang w:val="en-US" w:eastAsia="zh-CN" w:bidi="ar"/>
              </w:rPr>
              <w:t>10</w:t>
            </w:r>
            <w:r>
              <w:rPr>
                <w:rFonts w:hint="default" w:ascii="Times New Roman" w:hAnsi="Times New Roman" w:eastAsia="宋体" w:cs="Times New Roman"/>
                <w:b/>
                <w:bCs/>
                <w:color w:val="auto"/>
                <w:spacing w:val="0"/>
                <w:kern w:val="2"/>
                <w:position w:val="0"/>
                <w:sz w:val="21"/>
                <w:szCs w:val="21"/>
                <w:lang w:val="en-US" w:eastAsia="zh-CN" w:bidi="ar"/>
              </w:rPr>
              <w:t xml:space="preserve"> 通风管穿墙屏蔽补偿示意图</w:t>
            </w:r>
          </w:p>
          <w:p w14:paraId="3011FC18">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6.</w:t>
            </w:r>
            <w:r>
              <w:rPr>
                <w:rFonts w:hint="default" w:ascii="Times New Roman" w:hAnsi="Times New Roman" w:eastAsia="宋体" w:cs="Times New Roman"/>
                <w:b/>
                <w:bCs/>
                <w:color w:val="auto"/>
                <w:spacing w:val="0"/>
                <w:position w:val="0"/>
              </w:rPr>
              <w:t>个人剂量监测管理</w:t>
            </w:r>
          </w:p>
          <w:p w14:paraId="3D021FE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应按照国家规定配备个人防护用品和个人剂量监测仪器，同时配备必要的监测仪器对工作场所和周围环境进行辐射监测。个人剂量仪器应有足够的可靠性、灵敏度和准确度，在辐射水平较高或者可能突然升高的地方工作时，工作人员应使用个人剂量报警仪。项目运行过程中，每年应</w:t>
            </w:r>
            <w:r>
              <w:rPr>
                <w:rFonts w:hint="default" w:ascii="Times New Roman" w:hAnsi="Times New Roman" w:eastAsia="宋体" w:cs="Times New Roman"/>
                <w:color w:val="auto"/>
                <w:spacing w:val="0"/>
                <w:position w:val="0"/>
                <w:lang w:val="en-US" w:eastAsia="zh-CN"/>
              </w:rPr>
              <w:t>委托</w:t>
            </w:r>
            <w:r>
              <w:rPr>
                <w:rFonts w:hint="default" w:ascii="Times New Roman" w:hAnsi="Times New Roman" w:eastAsia="宋体" w:cs="Times New Roman"/>
                <w:color w:val="auto"/>
                <w:spacing w:val="0"/>
                <w:position w:val="0"/>
              </w:rPr>
              <w:t>具有资质的监测单位对工作场所辐射情况进行监测，判断射线装置是否处于有效屏蔽状态，防止意外发生。</w:t>
            </w:r>
          </w:p>
          <w:p w14:paraId="16E827F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position w:val="0"/>
                <w:highlight w:val="none"/>
              </w:rPr>
              <w:t>本项目DSA投入运行后，使用科室</w:t>
            </w:r>
            <w:r>
              <w:rPr>
                <w:rFonts w:hint="default" w:ascii="Times New Roman" w:hAnsi="Times New Roman" w:eastAsia="宋体" w:cs="Times New Roman"/>
                <w:color w:val="auto"/>
                <w:spacing w:val="0"/>
                <w:position w:val="0"/>
                <w:highlight w:val="none"/>
                <w:lang w:val="en-US" w:eastAsia="zh-CN"/>
              </w:rPr>
              <w:t>为肝胆科、介入科、心内</w:t>
            </w:r>
            <w:r>
              <w:rPr>
                <w:rFonts w:hint="default" w:ascii="Times New Roman" w:hAnsi="Times New Roman" w:eastAsia="宋体" w:cs="Times New Roman"/>
                <w:color w:val="auto"/>
                <w:spacing w:val="0"/>
                <w:position w:val="0"/>
                <w:highlight w:val="none"/>
                <w:lang w:eastAsia="zh-CN"/>
              </w:rPr>
              <w:t>科，</w:t>
            </w:r>
            <w:r>
              <w:rPr>
                <w:rFonts w:hint="default" w:ascii="Times New Roman" w:hAnsi="Times New Roman" w:eastAsia="宋体" w:cs="Times New Roman"/>
                <w:color w:val="auto"/>
                <w:spacing w:val="0"/>
                <w:position w:val="0"/>
                <w:highlight w:val="none"/>
                <w:lang w:val="en-US" w:eastAsia="zh-CN"/>
              </w:rPr>
              <w:t>各科室均</w:t>
            </w:r>
            <w:r>
              <w:rPr>
                <w:rFonts w:hint="default" w:ascii="Times New Roman" w:hAnsi="Times New Roman" w:eastAsia="宋体" w:cs="Times New Roman"/>
                <w:color w:val="auto"/>
                <w:spacing w:val="0"/>
                <w:position w:val="0"/>
                <w:highlight w:val="none"/>
              </w:rPr>
              <w:t>从原有</w:t>
            </w:r>
            <w:r>
              <w:rPr>
                <w:rFonts w:hint="default" w:ascii="Times New Roman" w:hAnsi="Times New Roman" w:eastAsia="宋体" w:cs="Times New Roman"/>
                <w:color w:val="auto"/>
                <w:spacing w:val="0"/>
                <w:position w:val="0"/>
                <w:highlight w:val="none"/>
                <w:lang w:val="en-US" w:eastAsia="zh-CN"/>
              </w:rPr>
              <w:t>辐射工作</w:t>
            </w:r>
            <w:r>
              <w:rPr>
                <w:rFonts w:hint="default" w:ascii="Times New Roman" w:hAnsi="Times New Roman" w:eastAsia="宋体" w:cs="Times New Roman"/>
                <w:color w:val="auto"/>
                <w:spacing w:val="0"/>
                <w:position w:val="0"/>
                <w:highlight w:val="none"/>
              </w:rPr>
              <w:t>人员中调配</w:t>
            </w:r>
            <w:r>
              <w:rPr>
                <w:rFonts w:hint="default" w:ascii="Times New Roman" w:hAnsi="Times New Roman" w:eastAsia="宋体" w:cs="Times New Roman"/>
                <w:color w:val="auto"/>
                <w:spacing w:val="0"/>
                <w:position w:val="0"/>
                <w:highlight w:val="none"/>
                <w:lang w:val="en-US" w:eastAsia="zh-CN"/>
              </w:rPr>
              <w:t>操作技师、介入手术医生和护士用于本项目手术操作，调配后同时参与各科室其他辐射工作，不参与其他科室辐射工作，不新增辐射工作人员</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个人剂量计专人佩戴，定期送检，建立个人剂量档案。</w:t>
            </w:r>
            <w:r>
              <w:rPr>
                <w:rFonts w:hint="default" w:ascii="Times New Roman" w:hAnsi="Times New Roman" w:eastAsia="宋体" w:cs="Times New Roman"/>
                <w:color w:val="auto"/>
                <w:spacing w:val="0"/>
                <w:position w:val="0"/>
                <w:highlight w:val="none"/>
                <w:lang w:val="en-US" w:eastAsia="zh-CN"/>
              </w:rPr>
              <w:t>同时医院为本项目新增2台个人剂量报警仪和1台X-γ辐射监测仪器，共配置60台个人剂量计。</w:t>
            </w:r>
          </w:p>
          <w:p w14:paraId="728F500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医生个人剂量</w:t>
            </w:r>
            <w:r>
              <w:rPr>
                <w:rFonts w:hint="default" w:ascii="Times New Roman" w:hAnsi="Times New Roman" w:eastAsia="宋体" w:cs="Times New Roman"/>
                <w:color w:val="auto"/>
                <w:spacing w:val="0"/>
                <w:position w:val="0"/>
                <w:lang w:val="en-US" w:eastAsia="zh-CN"/>
              </w:rPr>
              <w:t>计</w:t>
            </w:r>
            <w:r>
              <w:rPr>
                <w:rFonts w:hint="default" w:ascii="Times New Roman" w:hAnsi="Times New Roman" w:eastAsia="宋体" w:cs="Times New Roman"/>
                <w:color w:val="auto"/>
                <w:spacing w:val="0"/>
                <w:position w:val="0"/>
              </w:rPr>
              <w:t>不超过90天送检一次，检测委托有资质的单位进行，每次检测数据存档，建立辐射工作人员个人剂量档案。</w:t>
            </w:r>
          </w:p>
          <w:p w14:paraId="630CC870">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7.</w:t>
            </w:r>
            <w:r>
              <w:rPr>
                <w:rFonts w:hint="default" w:ascii="Times New Roman" w:hAnsi="Times New Roman" w:eastAsia="宋体" w:cs="Times New Roman"/>
                <w:b/>
                <w:bCs/>
                <w:color w:val="auto"/>
                <w:spacing w:val="0"/>
                <w:position w:val="0"/>
              </w:rPr>
              <w:t>医疗照射防护的最优化制度</w:t>
            </w:r>
          </w:p>
          <w:p w14:paraId="0B91E2D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按照《电离辐射防护与辐射源安全基本标准》（GB18871-2002）中关于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医疗防护最优化</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的要求，环评要求建设方制定医疗照射防护最优化制度，从医用放射设备要求、操作要求和医疗照射的治疗保证三个方面加强防护最优化。医疗</w:t>
            </w:r>
            <w:r>
              <w:rPr>
                <w:rFonts w:hint="default" w:ascii="Times New Roman" w:hAnsi="Times New Roman" w:eastAsia="宋体" w:cs="Times New Roman"/>
                <w:color w:val="auto"/>
                <w:spacing w:val="0"/>
                <w:position w:val="0"/>
                <w:lang w:eastAsia="zh-CN"/>
              </w:rPr>
              <w:t>放射</w:t>
            </w:r>
            <w:r>
              <w:rPr>
                <w:rFonts w:hint="default" w:ascii="Times New Roman" w:hAnsi="Times New Roman" w:eastAsia="宋体" w:cs="Times New Roman"/>
                <w:color w:val="auto"/>
                <w:spacing w:val="0"/>
                <w:position w:val="0"/>
              </w:rPr>
              <w:t>设备严格落实医用放射设备的要求：操作方面，做到使用合格设备，合理控制剂量，加强应急准备，严格执行放射诊断、放射治疗的操作要求。医疗照射的质量保证，严格落实医疗照射质量保证大纲的要求，加强临床剂量学工作，校准和给准辐射剂量。</w:t>
            </w:r>
          </w:p>
          <w:p w14:paraId="6CCA1B4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①设备要求：应当将医疗照射所使用的系统设计成可及时发现系统内单个部件的故障，以使对患者的任何非计划医疗照射降至最小，并有利于尽可能避免或</w:t>
            </w:r>
            <w:r>
              <w:rPr>
                <w:rFonts w:hint="default" w:ascii="Times New Roman" w:hAnsi="Times New Roman" w:eastAsia="宋体" w:cs="Times New Roman"/>
                <w:color w:val="auto"/>
                <w:spacing w:val="0"/>
                <w:position w:val="0"/>
                <w:lang w:eastAsia="zh-CN"/>
              </w:rPr>
              <w:t>减少</w:t>
            </w:r>
            <w:r>
              <w:rPr>
                <w:rFonts w:hint="default" w:ascii="Times New Roman" w:hAnsi="Times New Roman" w:eastAsia="宋体" w:cs="Times New Roman"/>
                <w:color w:val="auto"/>
                <w:spacing w:val="0"/>
                <w:position w:val="0"/>
              </w:rPr>
              <w:t>人为失误。</w:t>
            </w:r>
          </w:p>
          <w:p w14:paraId="4E1E396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操作要求：应辨明各种可能引起非计划医疗照射的设备和人为失误；旋转操作过程中尽量减少对医务人员的直射照射；应制定对特殊人群（如孕妇或可能怀孕妇女）的放射治疗计划；将放射治疗可能产生的危险通知患者。</w:t>
            </w:r>
          </w:p>
          <w:p w14:paraId="04BDD3B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医疗照射的质量保证：根据标准所规定的质量标准要求和其他有关医疗照射质量保证的标准制定一个全面的医疗照射质量保证大纲，制定这种大纲时应邀请诸如放射物理等有关领域的合格专家参加；放射性治疗临床剂量测定应形成文件制度，记录患者每次治疗的剂量。</w:t>
            </w:r>
          </w:p>
          <w:p w14:paraId="5F25F2EF">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8.</w:t>
            </w:r>
            <w:r>
              <w:rPr>
                <w:rFonts w:hint="default" w:ascii="Times New Roman" w:hAnsi="Times New Roman" w:eastAsia="宋体" w:cs="Times New Roman"/>
                <w:b/>
                <w:bCs/>
                <w:color w:val="auto"/>
                <w:spacing w:val="0"/>
                <w:position w:val="0"/>
              </w:rPr>
              <w:t>时间防护</w:t>
            </w:r>
          </w:p>
          <w:p w14:paraId="1440382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在满足诊疗要求的前提下，在每次使用射线装置进行诊疗之前，根据诊疗要求和病人实际情况制定最优化的诊疗方案，选择合理可行的射线照射参数，减少照射时间。</w:t>
            </w:r>
          </w:p>
          <w:p w14:paraId="5D09DF7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手术医生穿戴铅防护用品、佩戴个人剂量计和携带个人剂量报警仪进入射线装置DSA介入室进行手术，产生紧急情况时，医生按下诊疗床上的紧急停机按钮或控制室人员按下控制室紧急停机按钮，停止X射线出束，不定期用便携式辐射监测仪对射线装置机房周围进行监测，发现异常，及时处理，减少对外围人员的照射。</w:t>
            </w:r>
          </w:p>
          <w:p w14:paraId="303660EA">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9.</w:t>
            </w:r>
            <w:r>
              <w:rPr>
                <w:rFonts w:hint="default" w:ascii="Times New Roman" w:hAnsi="Times New Roman" w:eastAsia="宋体" w:cs="Times New Roman"/>
                <w:b/>
                <w:bCs/>
                <w:color w:val="auto"/>
                <w:spacing w:val="0"/>
                <w:position w:val="0"/>
              </w:rPr>
              <w:t>辐射安全管理措施</w:t>
            </w:r>
          </w:p>
          <w:p w14:paraId="654C905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医院成立了放射防护安全管理委员会，制定了辐射事故应急管理制度及方案、辐射防护和安全保卫、监测方案、辐射工作人员个人剂量管理、辐射工作人员培训等制度。</w:t>
            </w:r>
          </w:p>
          <w:p w14:paraId="3373DEAB">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10.</w:t>
            </w:r>
            <w:r>
              <w:rPr>
                <w:rFonts w:hint="default" w:ascii="Times New Roman" w:hAnsi="Times New Roman" w:eastAsia="宋体" w:cs="Times New Roman"/>
                <w:b/>
                <w:bCs/>
                <w:color w:val="auto"/>
                <w:spacing w:val="0"/>
                <w:position w:val="0"/>
              </w:rPr>
              <w:t>其他措施</w:t>
            </w:r>
          </w:p>
          <w:p w14:paraId="36E5EE0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①加强DSA机房附近通道的管理要求，严禁非手术相关人员进入手术区域，减少人员在DSA设备出束使用时在机房周围停留。</w:t>
            </w:r>
          </w:p>
          <w:p w14:paraId="42A8B7D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②DSA室设有观察窗和语音提示系统，便于操作人员实时了解机房内的情况。</w:t>
            </w:r>
          </w:p>
          <w:p w14:paraId="2521203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③制定完善相关规章制度及事故应急预案，尽可能</w:t>
            </w:r>
            <w:r>
              <w:rPr>
                <w:rFonts w:hint="default" w:ascii="Times New Roman" w:hAnsi="Times New Roman" w:eastAsia="宋体" w:cs="Times New Roman"/>
                <w:color w:val="auto"/>
                <w:spacing w:val="0"/>
                <w:position w:val="0"/>
                <w:lang w:eastAsia="zh-CN"/>
              </w:rPr>
              <w:t>地</w:t>
            </w:r>
            <w:r>
              <w:rPr>
                <w:rFonts w:hint="default" w:ascii="Times New Roman" w:hAnsi="Times New Roman" w:eastAsia="宋体" w:cs="Times New Roman"/>
                <w:color w:val="auto"/>
                <w:spacing w:val="0"/>
                <w:position w:val="0"/>
              </w:rPr>
              <w:t>降低事故情况下对环境的污染。</w:t>
            </w:r>
          </w:p>
          <w:p w14:paraId="4E585EA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④操作规程、岗位职责和辐射应急预案等相关制度应张贴于辐射工作场所醒目处。</w:t>
            </w:r>
          </w:p>
          <w:p w14:paraId="67EF017C">
            <w:pPr>
              <w:keepNext w:val="0"/>
              <w:keepLines w:val="0"/>
              <w:numPr>
                <w:ilvl w:val="0"/>
                <w:numId w:val="12"/>
              </w:numPr>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与《放射诊断放射防护要求》（GBZ130-2020）符合性分析</w:t>
            </w:r>
          </w:p>
          <w:p w14:paraId="5E7B21EC">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本项目与《放射诊断放射防护要求》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GBZ130-2020</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符合性分析，详见下表。</w:t>
            </w:r>
          </w:p>
          <w:p w14:paraId="77F56553">
            <w:pPr>
              <w:keepNext w:val="0"/>
              <w:keepLines w:val="0"/>
              <w:numPr>
                <w:ilvl w:val="0"/>
                <w:numId w:val="0"/>
              </w:numPr>
              <w:suppressLineNumbers w:val="0"/>
              <w:spacing w:before="0" w:beforeAutospacing="0" w:after="0" w:afterAutospacing="0"/>
              <w:ind w:left="0" w:right="0" w:rightChars="0"/>
              <w:jc w:val="center"/>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表10-</w:t>
            </w:r>
            <w:r>
              <w:rPr>
                <w:rFonts w:hint="default" w:ascii="Times New Roman" w:hAnsi="Times New Roman" w:eastAsia="宋体" w:cs="Times New Roman"/>
                <w:b/>
                <w:bCs/>
                <w:color w:val="auto"/>
                <w:spacing w:val="0"/>
                <w:position w:val="0"/>
                <w:sz w:val="21"/>
                <w:szCs w:val="21"/>
                <w:lang w:val="en-US" w:eastAsia="zh-CN"/>
              </w:rPr>
              <w:t>5</w:t>
            </w:r>
            <w:r>
              <w:rPr>
                <w:rFonts w:hint="default" w:ascii="Times New Roman" w:hAnsi="Times New Roman" w:eastAsia="宋体" w:cs="Times New Roman"/>
                <w:b/>
                <w:bCs/>
                <w:color w:val="auto"/>
                <w:spacing w:val="0"/>
                <w:position w:val="0"/>
                <w:sz w:val="21"/>
                <w:szCs w:val="21"/>
              </w:rPr>
              <w:t>与《放射诊断放射防护要求》</w:t>
            </w:r>
            <w:r>
              <w:rPr>
                <w:rFonts w:hint="default" w:ascii="Times New Roman" w:hAnsi="Times New Roman" w:eastAsia="宋体" w:cs="Times New Roman"/>
                <w:b/>
                <w:bCs/>
                <w:color w:val="auto"/>
                <w:spacing w:val="0"/>
                <w:position w:val="0"/>
                <w:sz w:val="21"/>
                <w:szCs w:val="21"/>
                <w:lang w:eastAsia="zh-CN"/>
              </w:rPr>
              <w:t>（</w:t>
            </w:r>
            <w:r>
              <w:rPr>
                <w:rFonts w:hint="default" w:ascii="Times New Roman" w:hAnsi="Times New Roman" w:eastAsia="宋体" w:cs="Times New Roman"/>
                <w:b/>
                <w:bCs/>
                <w:color w:val="auto"/>
                <w:spacing w:val="0"/>
                <w:position w:val="0"/>
                <w:sz w:val="21"/>
                <w:szCs w:val="21"/>
              </w:rPr>
              <w:t>GBZ130-2020</w:t>
            </w:r>
            <w:r>
              <w:rPr>
                <w:rFonts w:hint="default" w:ascii="Times New Roman" w:hAnsi="Times New Roman" w:eastAsia="宋体" w:cs="Times New Roman"/>
                <w:b/>
                <w:bCs/>
                <w:color w:val="auto"/>
                <w:spacing w:val="0"/>
                <w:position w:val="0"/>
                <w:sz w:val="21"/>
                <w:szCs w:val="21"/>
                <w:lang w:eastAsia="zh-CN"/>
              </w:rPr>
              <w:t>）</w:t>
            </w:r>
            <w:r>
              <w:rPr>
                <w:rFonts w:hint="default" w:ascii="Times New Roman" w:hAnsi="Times New Roman" w:eastAsia="宋体" w:cs="Times New Roman"/>
                <w:b/>
                <w:bCs/>
                <w:color w:val="auto"/>
                <w:spacing w:val="0"/>
                <w:position w:val="0"/>
                <w:sz w:val="21"/>
                <w:szCs w:val="21"/>
              </w:rPr>
              <w:t>符合性分析</w:t>
            </w:r>
          </w:p>
          <w:tbl>
            <w:tblPr>
              <w:tblStyle w:val="53"/>
              <w:tblW w:w="8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39"/>
              <w:gridCol w:w="3147"/>
              <w:gridCol w:w="4785"/>
              <w:gridCol w:w="529"/>
            </w:tblGrid>
            <w:tr w14:paraId="2B97A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72B6AA8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3147" w:type="dxa"/>
                  <w:noWrap w:val="0"/>
                  <w:vAlign w:val="center"/>
                </w:tcPr>
                <w:p w14:paraId="286DD01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《放射诊断放射防护要求》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GBZ130-2020</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要求</w:t>
                  </w:r>
                </w:p>
              </w:tc>
              <w:tc>
                <w:tcPr>
                  <w:tcW w:w="4785" w:type="dxa"/>
                  <w:noWrap w:val="0"/>
                  <w:vAlign w:val="center"/>
                </w:tcPr>
                <w:p w14:paraId="00BB62E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本项目设置情况</w:t>
                  </w:r>
                </w:p>
              </w:tc>
              <w:tc>
                <w:tcPr>
                  <w:tcW w:w="529" w:type="dxa"/>
                  <w:noWrap w:val="0"/>
                  <w:vAlign w:val="center"/>
                </w:tcPr>
                <w:p w14:paraId="3522F97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是否符合</w:t>
                  </w:r>
                </w:p>
              </w:tc>
            </w:tr>
            <w:tr w14:paraId="6E537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2F94BCFE">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7422673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6.1.1应合理设置X射线设备、机房的门、窗和管线口位置，应尽量避免有用线束直接照射门、窗、管线口和工作人员操作位。</w:t>
                  </w:r>
                </w:p>
              </w:tc>
              <w:tc>
                <w:tcPr>
                  <w:tcW w:w="4785" w:type="dxa"/>
                  <w:noWrap w:val="0"/>
                  <w:vAlign w:val="center"/>
                </w:tcPr>
                <w:p w14:paraId="2C33DC5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本项目DSA的曝光方向为由下往上，有用线束未直接照射门、观察窗、管线口及工作人员操作位，且本项目门、观察窗、电缆口、通排风管处均设计了相应的防护措施，最低铅当量为</w:t>
                  </w:r>
                  <w:r>
                    <w:rPr>
                      <w:rFonts w:hint="default" w:ascii="Times New Roman" w:hAnsi="Times New Roman" w:eastAsia="宋体" w:cs="Times New Roman"/>
                      <w:color w:val="auto"/>
                      <w:spacing w:val="0"/>
                      <w:position w:val="0"/>
                      <w:lang w:val="en-US" w:eastAsia="zh-CN"/>
                    </w:rPr>
                    <w:t>3.58</w:t>
                  </w:r>
                  <w:r>
                    <w:rPr>
                      <w:rFonts w:hint="default" w:ascii="Times New Roman" w:hAnsi="Times New Roman" w:eastAsia="宋体" w:cs="Times New Roman"/>
                      <w:color w:val="auto"/>
                      <w:spacing w:val="0"/>
                      <w:position w:val="0"/>
                    </w:rPr>
                    <w:t>mm</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不低于《放射诊断放射防护要求》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GBZ130-2020</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中规定的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介入X射线设备机房屏蔽防护铅当量厚度不小于2mm铅当量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要求。</w:t>
                  </w:r>
                </w:p>
              </w:tc>
              <w:tc>
                <w:tcPr>
                  <w:tcW w:w="529" w:type="dxa"/>
                  <w:noWrap w:val="0"/>
                  <w:vAlign w:val="center"/>
                </w:tcPr>
                <w:p w14:paraId="5186823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0F3BA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433FE918">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46BDC45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6.1.2X射线设备机房</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照射室</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的设置应充分考虑邻室</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含楼上和楼下</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及周围场所的人员防护与安全。</w:t>
                  </w:r>
                </w:p>
              </w:tc>
              <w:tc>
                <w:tcPr>
                  <w:tcW w:w="4785" w:type="dxa"/>
                  <w:noWrap w:val="0"/>
                  <w:vAlign w:val="center"/>
                </w:tcPr>
                <w:p w14:paraId="24AB1C1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拟新增的DSA设备位于</w:t>
                  </w:r>
                  <w:r>
                    <w:rPr>
                      <w:rFonts w:hint="default" w:ascii="Times New Roman" w:hAnsi="Times New Roman" w:eastAsia="宋体" w:cs="Times New Roman"/>
                      <w:color w:val="auto"/>
                      <w:spacing w:val="0"/>
                      <w:position w:val="0"/>
                      <w:lang w:val="en-US" w:eastAsia="zh-CN"/>
                    </w:rPr>
                    <w:t>住院楼5楼</w:t>
                  </w:r>
                  <w:r>
                    <w:rPr>
                      <w:rFonts w:hint="default" w:ascii="Times New Roman" w:hAnsi="Times New Roman" w:eastAsia="宋体" w:cs="Times New Roman"/>
                      <w:color w:val="auto"/>
                      <w:spacing w:val="0"/>
                      <w:position w:val="0"/>
                    </w:rPr>
                    <w:t>，机房四周墙体、地面及顶面均设计有相应的屏蔽防护措施，屏蔽参数的设计已充分考虑邻室</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含楼上楼下</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及周围场所的人员防护与安全。</w:t>
                  </w:r>
                </w:p>
              </w:tc>
              <w:tc>
                <w:tcPr>
                  <w:tcW w:w="529" w:type="dxa"/>
                  <w:noWrap w:val="0"/>
                  <w:vAlign w:val="center"/>
                </w:tcPr>
                <w:p w14:paraId="56A0B0E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209F6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2256D86B">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7F38CA3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6.1.3每台固定使用的X射线设备应设有单独的机房，机房应满足使用设备的布局要求；</w:t>
                  </w:r>
                </w:p>
              </w:tc>
              <w:tc>
                <w:tcPr>
                  <w:tcW w:w="4785" w:type="dxa"/>
                  <w:noWrap w:val="0"/>
                  <w:vAlign w:val="center"/>
                </w:tcPr>
                <w:p w14:paraId="2732C57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拟</w:t>
                  </w:r>
                  <w:r>
                    <w:rPr>
                      <w:rFonts w:hint="default" w:ascii="Times New Roman" w:hAnsi="Times New Roman" w:eastAsia="宋体" w:cs="Times New Roman"/>
                      <w:color w:val="auto"/>
                      <w:spacing w:val="0"/>
                      <w:position w:val="0"/>
                      <w:lang w:val="en-US" w:eastAsia="zh-CN"/>
                    </w:rPr>
                    <w:t>配置</w:t>
                  </w:r>
                  <w:r>
                    <w:rPr>
                      <w:rFonts w:hint="default" w:ascii="Times New Roman" w:hAnsi="Times New Roman" w:eastAsia="宋体" w:cs="Times New Roman"/>
                      <w:color w:val="auto"/>
                      <w:spacing w:val="0"/>
                      <w:position w:val="0"/>
                    </w:rPr>
                    <w:t>的DSA具备单独的机房，机房满足使用设备的布局要求。</w:t>
                  </w:r>
                </w:p>
              </w:tc>
              <w:tc>
                <w:tcPr>
                  <w:tcW w:w="529" w:type="dxa"/>
                  <w:noWrap w:val="0"/>
                  <w:vAlign w:val="center"/>
                </w:tcPr>
                <w:p w14:paraId="7B96E9A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1B7BB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1CEE9C9D">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05B9BBD7">
                  <w:pPr>
                    <w:pStyle w:val="8"/>
                    <w:bidi w:val="0"/>
                    <w:jc w:val="center"/>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6.1.5除床旁摄影设备、便携式X射线设备和车载式诊断X射线设备外，对新建、改建和扩建项目和技术改造、技术引进项目的X射线设备机房，其最小有效使用面积、最小单边长度应符合表2的规定</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单管头X射线设备</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含C形壁，乳腺CBCT</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机房内最小使用面积不小于20m²</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机房内最小单边长度不小于3.5m</w:t>
                  </w:r>
                  <w:r>
                    <w:rPr>
                      <w:rFonts w:hint="default" w:ascii="Times New Roman" w:hAnsi="Times New Roman" w:eastAsia="宋体" w:cs="Times New Roman"/>
                      <w:color w:val="auto"/>
                      <w:spacing w:val="0"/>
                      <w:position w:val="0"/>
                      <w:lang w:eastAsia="zh-CN"/>
                    </w:rPr>
                    <w:t>”</w:t>
                  </w:r>
                </w:p>
              </w:tc>
              <w:tc>
                <w:tcPr>
                  <w:tcW w:w="4785" w:type="dxa"/>
                  <w:noWrap w:val="0"/>
                  <w:vAlign w:val="center"/>
                </w:tcPr>
                <w:p w14:paraId="50B8CE4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sz w:val="21"/>
                      <w:szCs w:val="21"/>
                      <w:lang w:val="en-US" w:eastAsia="zh-CN"/>
                    </w:rPr>
                    <w:t>本项目建成后的DSA介入室</w:t>
                  </w:r>
                  <w:r>
                    <w:rPr>
                      <w:rFonts w:hint="default" w:ascii="Times New Roman" w:hAnsi="Times New Roman" w:eastAsia="宋体" w:cs="Times New Roman"/>
                      <w:color w:val="auto"/>
                      <w:spacing w:val="0"/>
                      <w:position w:val="0"/>
                      <w:sz w:val="21"/>
                      <w:szCs w:val="21"/>
                      <w:highlight w:val="none"/>
                      <w:lang w:val="en-US" w:eastAsia="zh-CN"/>
                    </w:rPr>
                    <w:t>北面长约8m，南面长约1.5m+0.55m+2.1m+1.15m+</w:t>
                  </w:r>
                  <w:r>
                    <w:rPr>
                      <w:rFonts w:hint="eastAsia" w:cs="Times New Roman"/>
                      <w:color w:val="auto"/>
                      <w:spacing w:val="0"/>
                      <w:position w:val="0"/>
                      <w:sz w:val="21"/>
                      <w:szCs w:val="21"/>
                      <w:highlight w:val="none"/>
                      <w:lang w:val="en-US" w:eastAsia="zh-CN"/>
                    </w:rPr>
                    <w:t>4.39m（合计9.69m）</w:t>
                  </w:r>
                  <w:r>
                    <w:rPr>
                      <w:rFonts w:hint="default" w:ascii="Times New Roman" w:hAnsi="Times New Roman" w:eastAsia="宋体" w:cs="Times New Roman"/>
                      <w:color w:val="auto"/>
                      <w:spacing w:val="0"/>
                      <w:position w:val="0"/>
                      <w:sz w:val="21"/>
                      <w:szCs w:val="21"/>
                      <w:highlight w:val="none"/>
                      <w:lang w:val="en-US" w:eastAsia="zh-CN"/>
                    </w:rPr>
                    <w:t>，西面长约6m，东面长约7.15m，有效面积约为48.21m</w:t>
                  </w:r>
                  <w:r>
                    <w:rPr>
                      <w:rFonts w:hint="default" w:ascii="Times New Roman" w:hAnsi="Times New Roman" w:eastAsia="宋体" w:cs="Times New Roman"/>
                      <w:color w:val="auto"/>
                      <w:spacing w:val="0"/>
                      <w:position w:val="0"/>
                      <w:sz w:val="21"/>
                      <w:szCs w:val="21"/>
                      <w:highlight w:val="none"/>
                      <w:vertAlign w:val="superscript"/>
                      <w:lang w:val="en-US" w:eastAsia="zh-CN"/>
                    </w:rPr>
                    <w:t>2</w:t>
                  </w:r>
                  <w:r>
                    <w:rPr>
                      <w:rFonts w:hint="default" w:ascii="Times New Roman" w:hAnsi="Times New Roman" w:eastAsia="宋体" w:cs="Times New Roman"/>
                      <w:color w:val="auto"/>
                      <w:spacing w:val="0"/>
                      <w:position w:val="0"/>
                      <w:sz w:val="21"/>
                      <w:szCs w:val="21"/>
                    </w:rPr>
                    <w:t>。</w:t>
                  </w:r>
                  <w:r>
                    <w:rPr>
                      <w:rFonts w:hint="default" w:ascii="Times New Roman" w:hAnsi="Times New Roman" w:eastAsia="宋体" w:cs="Times New Roman"/>
                      <w:color w:val="auto"/>
                      <w:spacing w:val="0"/>
                      <w:position w:val="0"/>
                      <w:sz w:val="21"/>
                      <w:szCs w:val="21"/>
                      <w:lang w:val="en-US" w:eastAsia="zh-CN"/>
                    </w:rPr>
                    <w:t>满足最小有效使用面积、最小单边长度要求</w:t>
                  </w:r>
                </w:p>
              </w:tc>
              <w:tc>
                <w:tcPr>
                  <w:tcW w:w="529" w:type="dxa"/>
                  <w:noWrap w:val="0"/>
                  <w:vAlign w:val="center"/>
                </w:tcPr>
                <w:p w14:paraId="2CDB5D6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0907F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8" w:hRule="atLeast"/>
                <w:jc w:val="center"/>
              </w:trPr>
              <w:tc>
                <w:tcPr>
                  <w:tcW w:w="339" w:type="dxa"/>
                  <w:noWrap w:val="0"/>
                  <w:vAlign w:val="center"/>
                </w:tcPr>
                <w:p w14:paraId="62FDC622">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21A23893">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6.2.1不同类型X射线设备</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不含床旁摄影设备和便携式X射线设备</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机房的屏蔽防护应不低于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表3不同类型X射线设备机房的屏蔽防护铅当量厚度要求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的规定</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℃形臂X射线设备机房有用线束方向铅当量和非有用线束方向铅当量均不得小于2mmPb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w:t>
                  </w:r>
                </w:p>
              </w:tc>
              <w:tc>
                <w:tcPr>
                  <w:tcW w:w="4785" w:type="dxa"/>
                  <w:noWrap w:val="0"/>
                  <w:vAlign w:val="center"/>
                </w:tcPr>
                <w:p w14:paraId="1C1EC2C3">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w:t>
                  </w:r>
                  <w:r>
                    <w:rPr>
                      <w:rFonts w:hint="default" w:ascii="Times New Roman" w:hAnsi="Times New Roman" w:eastAsia="宋体" w:cs="Times New Roman"/>
                      <w:color w:val="auto"/>
                      <w:spacing w:val="0"/>
                      <w:position w:val="0"/>
                      <w:lang w:val="en-US" w:eastAsia="zh-CN"/>
                    </w:rPr>
                    <w:t>机房东墙、南墙、北墙，留有剪力墙部分：300mm钢筋混凝土剪力墙+涂刷20mm硫酸钡防护涂料进行屏蔽防护，折合铅当量：6.18mm</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在无剪力墙空区采用轻钢龙骨骨架，内衬4mmpb防护铅板进行屏蔽防护，铅当量为4mmpb；西墙采用轻钢龙骨骨架，内衬4mmpb防护铅板进行屏蔽防护，铅当量为4mmpb；地面综合铅当量为5.16mm铅当量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顶面综合铅当量为5.44mm铅当量</w:t>
                  </w:r>
                  <w:r>
                    <w:rPr>
                      <w:rFonts w:hint="default" w:ascii="Times New Roman" w:hAnsi="Times New Roman" w:eastAsia="宋体" w:cs="Times New Roman"/>
                      <w:color w:val="auto"/>
                      <w:spacing w:val="0"/>
                      <w:position w:val="0"/>
                    </w:rPr>
                    <w:t>，护门均采用内衬</w:t>
                  </w:r>
                  <w:r>
                    <w:rPr>
                      <w:rFonts w:hint="default" w:ascii="Times New Roman" w:hAnsi="Times New Roman" w:eastAsia="宋体" w:cs="Times New Roman"/>
                      <w:color w:val="auto"/>
                      <w:spacing w:val="0"/>
                      <w:position w:val="0"/>
                      <w:lang w:val="en-US" w:eastAsia="zh-CN"/>
                    </w:rPr>
                    <w:t>4.0mm</w:t>
                  </w:r>
                  <w:r>
                    <w:rPr>
                      <w:rFonts w:hint="default" w:ascii="Times New Roman" w:hAnsi="Times New Roman" w:eastAsia="宋体" w:cs="Times New Roman"/>
                      <w:color w:val="auto"/>
                      <w:spacing w:val="0"/>
                      <w:position w:val="0"/>
                    </w:rPr>
                    <w:t>铅板不锈钢面板，折合</w:t>
                  </w:r>
                  <w:r>
                    <w:rPr>
                      <w:rFonts w:hint="default" w:ascii="Times New Roman" w:hAnsi="Times New Roman" w:eastAsia="宋体" w:cs="Times New Roman"/>
                      <w:color w:val="auto"/>
                      <w:spacing w:val="0"/>
                      <w:position w:val="0"/>
                      <w:lang w:val="en-US" w:eastAsia="zh-CN"/>
                    </w:rPr>
                    <w:t>4.0mm</w:t>
                  </w:r>
                  <w:r>
                    <w:rPr>
                      <w:rFonts w:hint="default" w:ascii="Times New Roman" w:hAnsi="Times New Roman" w:eastAsia="宋体" w:cs="Times New Roman"/>
                      <w:color w:val="auto"/>
                      <w:spacing w:val="0"/>
                      <w:position w:val="0"/>
                    </w:rPr>
                    <w:t>铅当量防护水平</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机房观察窗为4.0mmPb铅当量的防护高铅光学玻璃</w:t>
                  </w:r>
                  <w:r>
                    <w:rPr>
                      <w:rFonts w:hint="default" w:ascii="Times New Roman" w:hAnsi="Times New Roman" w:eastAsia="宋体" w:cs="Times New Roman"/>
                      <w:color w:val="auto"/>
                      <w:spacing w:val="0"/>
                      <w:position w:val="0"/>
                      <w:lang w:eastAsia="zh-CN"/>
                    </w:rPr>
                    <w:t>，具有约4.0mm铅当量防护水平</w:t>
                  </w:r>
                  <w:r>
                    <w:rPr>
                      <w:rFonts w:hint="default" w:ascii="Times New Roman" w:hAnsi="Times New Roman" w:eastAsia="宋体" w:cs="Times New Roman"/>
                      <w:color w:val="auto"/>
                      <w:spacing w:val="0"/>
                      <w:position w:val="0"/>
                    </w:rPr>
                    <w:t>。综上所述，DSA设备机房屏蔽措施均满足标准2mmPb的要求。</w:t>
                  </w:r>
                </w:p>
              </w:tc>
              <w:tc>
                <w:tcPr>
                  <w:tcW w:w="529" w:type="dxa"/>
                  <w:noWrap w:val="0"/>
                  <w:vAlign w:val="center"/>
                </w:tcPr>
                <w:p w14:paraId="36B99C9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4E3AB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6BC3A1F8">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17CE091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6.4.1机房应设有观察窗或摄像监控装置，其设置的位置应便于观察到受检者状态及防护门开闭情况。</w:t>
                  </w:r>
                </w:p>
              </w:tc>
              <w:tc>
                <w:tcPr>
                  <w:tcW w:w="4785" w:type="dxa"/>
                  <w:noWrap w:val="0"/>
                  <w:vAlign w:val="center"/>
                </w:tcPr>
                <w:p w14:paraId="67B1FF8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机房设有观察窗及摄像监控系统，其设置的位置便于</w:t>
                  </w:r>
                  <w:r>
                    <w:rPr>
                      <w:rFonts w:hint="default" w:ascii="Times New Roman" w:hAnsi="Times New Roman" w:eastAsia="宋体" w:cs="Times New Roman"/>
                      <w:color w:val="auto"/>
                      <w:spacing w:val="0"/>
                      <w:position w:val="0"/>
                      <w:lang w:eastAsia="zh-CN"/>
                    </w:rPr>
                    <w:t>观察</w:t>
                  </w:r>
                  <w:r>
                    <w:rPr>
                      <w:rFonts w:hint="default" w:ascii="Times New Roman" w:hAnsi="Times New Roman" w:eastAsia="宋体" w:cs="Times New Roman"/>
                      <w:color w:val="auto"/>
                      <w:spacing w:val="0"/>
                      <w:position w:val="0"/>
                    </w:rPr>
                    <w:t>受检者状态及防护门开闭情况</w:t>
                  </w:r>
                </w:p>
              </w:tc>
              <w:tc>
                <w:tcPr>
                  <w:tcW w:w="529" w:type="dxa"/>
                  <w:noWrap w:val="0"/>
                  <w:vAlign w:val="center"/>
                </w:tcPr>
                <w:p w14:paraId="665A1CA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750F5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2D401D7C">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573575B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6.4.2机房内不应堆放与该设备诊断工作无关的杂物。</w:t>
                  </w:r>
                </w:p>
              </w:tc>
              <w:tc>
                <w:tcPr>
                  <w:tcW w:w="4785" w:type="dxa"/>
                  <w:noWrap w:val="0"/>
                  <w:vAlign w:val="center"/>
                </w:tcPr>
                <w:p w14:paraId="116B192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机房内不堆放与该设备诊断工作无关的杂物。</w:t>
                  </w:r>
                </w:p>
              </w:tc>
              <w:tc>
                <w:tcPr>
                  <w:tcW w:w="529" w:type="dxa"/>
                  <w:noWrap w:val="0"/>
                  <w:vAlign w:val="center"/>
                </w:tcPr>
                <w:p w14:paraId="15842063">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05007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4580F86D">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5B326853">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6.4.3机房应设置动力通风装置，并保持良好的通风。</w:t>
                  </w:r>
                </w:p>
              </w:tc>
              <w:tc>
                <w:tcPr>
                  <w:tcW w:w="4785" w:type="dxa"/>
                  <w:noWrap w:val="0"/>
                  <w:vAlign w:val="center"/>
                </w:tcPr>
                <w:p w14:paraId="779EC8F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sz w:val="21"/>
                      <w:szCs w:val="21"/>
                      <w:highlight w:val="none"/>
                    </w:rPr>
                    <w:t>机房采用</w:t>
                  </w:r>
                  <w:r>
                    <w:rPr>
                      <w:rFonts w:hint="default" w:ascii="Times New Roman" w:hAnsi="Times New Roman" w:eastAsia="宋体" w:cs="Times New Roman"/>
                      <w:color w:val="auto"/>
                      <w:spacing w:val="0"/>
                      <w:position w:val="0"/>
                      <w:sz w:val="21"/>
                      <w:szCs w:val="21"/>
                      <w:highlight w:val="none"/>
                      <w:lang w:val="en-US" w:eastAsia="zh-CN"/>
                    </w:rPr>
                    <w:t>净化空调</w:t>
                  </w:r>
                  <w:r>
                    <w:rPr>
                      <w:rFonts w:hint="default" w:ascii="Times New Roman" w:hAnsi="Times New Roman" w:eastAsia="宋体" w:cs="Times New Roman"/>
                      <w:color w:val="auto"/>
                      <w:spacing w:val="0"/>
                      <w:position w:val="0"/>
                      <w:sz w:val="21"/>
                      <w:szCs w:val="21"/>
                      <w:highlight w:val="none"/>
                    </w:rPr>
                    <w:t>换气，机组风量12</w:t>
                  </w:r>
                  <w:r>
                    <w:rPr>
                      <w:rFonts w:hint="default" w:ascii="Times New Roman" w:hAnsi="Times New Roman" w:eastAsia="宋体" w:cs="Times New Roman"/>
                      <w:color w:val="auto"/>
                      <w:spacing w:val="0"/>
                      <w:position w:val="0"/>
                      <w:sz w:val="21"/>
                      <w:szCs w:val="21"/>
                      <w:highlight w:val="none"/>
                      <w:lang w:val="en-US" w:eastAsia="zh-CN"/>
                    </w:rPr>
                    <w:t>0</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新风量1400m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回风</w:t>
                  </w:r>
                  <w:r>
                    <w:rPr>
                      <w:rFonts w:hint="default" w:ascii="Times New Roman" w:hAnsi="Times New Roman" w:eastAsia="宋体" w:cs="Times New Roman"/>
                      <w:color w:val="auto"/>
                      <w:spacing w:val="0"/>
                      <w:position w:val="0"/>
                      <w:sz w:val="21"/>
                      <w:szCs w:val="21"/>
                      <w:highlight w:val="none"/>
                      <w:lang w:val="en-US" w:eastAsia="zh-CN"/>
                    </w:rPr>
                    <w:t>风量</w:t>
                  </w:r>
                  <w:r>
                    <w:rPr>
                      <w:rFonts w:hint="default" w:ascii="Times New Roman" w:hAnsi="Times New Roman" w:eastAsia="宋体" w:cs="Times New Roman"/>
                      <w:color w:val="auto"/>
                      <w:spacing w:val="0"/>
                      <w:position w:val="0"/>
                      <w:sz w:val="21"/>
                      <w:szCs w:val="21"/>
                      <w:highlight w:val="none"/>
                    </w:rPr>
                    <w:t>10600m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排</w:t>
                  </w:r>
                  <w:r>
                    <w:rPr>
                      <w:rFonts w:hint="default" w:ascii="Times New Roman" w:hAnsi="Times New Roman" w:eastAsia="宋体" w:cs="Times New Roman"/>
                      <w:color w:val="auto"/>
                      <w:spacing w:val="0"/>
                      <w:position w:val="0"/>
                      <w:sz w:val="21"/>
                      <w:szCs w:val="21"/>
                      <w:highlight w:val="none"/>
                    </w:rPr>
                    <w:t>风量</w:t>
                  </w:r>
                  <w:r>
                    <w:rPr>
                      <w:rFonts w:hint="default" w:ascii="Times New Roman" w:hAnsi="Times New Roman" w:eastAsia="宋体" w:cs="Times New Roman"/>
                      <w:color w:val="auto"/>
                      <w:spacing w:val="0"/>
                      <w:position w:val="0"/>
                      <w:sz w:val="21"/>
                      <w:szCs w:val="21"/>
                      <w:highlight w:val="none"/>
                      <w:lang w:eastAsia="zh-CN"/>
                    </w:rPr>
                    <w:t>为</w:t>
                  </w:r>
                  <w:r>
                    <w:rPr>
                      <w:rFonts w:hint="default" w:ascii="Times New Roman" w:hAnsi="Times New Roman" w:eastAsia="宋体" w:cs="Times New Roman"/>
                      <w:color w:val="auto"/>
                      <w:spacing w:val="0"/>
                      <w:position w:val="0"/>
                      <w:sz w:val="21"/>
                      <w:szCs w:val="21"/>
                      <w:highlight w:val="none"/>
                      <w:lang w:val="en-US" w:eastAsia="zh-CN"/>
                    </w:rPr>
                    <w:t>5</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val="en-US" w:eastAsia="zh-CN"/>
                    </w:rPr>
                    <w:t>设备间</w:t>
                  </w:r>
                  <w:r>
                    <w:rPr>
                      <w:rFonts w:hint="default" w:ascii="Times New Roman" w:hAnsi="Times New Roman" w:eastAsia="宋体" w:cs="Times New Roman"/>
                      <w:color w:val="auto"/>
                      <w:spacing w:val="0"/>
                      <w:position w:val="0"/>
                      <w:sz w:val="21"/>
                      <w:szCs w:val="21"/>
                      <w:highlight w:val="none"/>
                    </w:rPr>
                    <w:t>安装1台</w:t>
                  </w:r>
                  <w:r>
                    <w:rPr>
                      <w:rFonts w:hint="default" w:ascii="Times New Roman" w:hAnsi="Times New Roman" w:eastAsia="宋体" w:cs="Times New Roman"/>
                      <w:color w:val="auto"/>
                      <w:spacing w:val="0"/>
                      <w:position w:val="0"/>
                      <w:sz w:val="21"/>
                      <w:szCs w:val="21"/>
                      <w:highlight w:val="none"/>
                      <w:lang w:val="en-US" w:eastAsia="zh-CN"/>
                    </w:rPr>
                    <w:t>精密空调</w:t>
                  </w:r>
                  <w:r>
                    <w:rPr>
                      <w:rFonts w:hint="default" w:ascii="Times New Roman" w:hAnsi="Times New Roman" w:eastAsia="宋体" w:cs="Times New Roman"/>
                      <w:color w:val="auto"/>
                      <w:spacing w:val="0"/>
                      <w:position w:val="0"/>
                      <w:sz w:val="21"/>
                      <w:szCs w:val="21"/>
                      <w:highlight w:val="none"/>
                    </w:rPr>
                    <w:t>，项目DSA手术室内采用</w:t>
                  </w:r>
                  <w:r>
                    <w:rPr>
                      <w:rFonts w:hint="default" w:ascii="Times New Roman" w:hAnsi="Times New Roman" w:eastAsia="宋体" w:cs="Times New Roman"/>
                      <w:color w:val="auto"/>
                      <w:spacing w:val="0"/>
                      <w:position w:val="0"/>
                      <w:sz w:val="21"/>
                      <w:szCs w:val="21"/>
                      <w:highlight w:val="none"/>
                      <w:lang w:val="en-US" w:eastAsia="zh-CN"/>
                    </w:rPr>
                    <w:t>顶部送风，侧吸</w:t>
                  </w:r>
                  <w:r>
                    <w:rPr>
                      <w:rFonts w:hint="default" w:ascii="Times New Roman" w:hAnsi="Times New Roman" w:eastAsia="宋体" w:cs="Times New Roman"/>
                      <w:color w:val="auto"/>
                      <w:spacing w:val="0"/>
                      <w:position w:val="0"/>
                      <w:sz w:val="21"/>
                      <w:szCs w:val="21"/>
                      <w:highlight w:val="none"/>
                    </w:rPr>
                    <w:t>的</w:t>
                  </w:r>
                  <w:r>
                    <w:rPr>
                      <w:rFonts w:hint="default" w:ascii="Times New Roman" w:hAnsi="Times New Roman" w:eastAsia="宋体" w:cs="Times New Roman"/>
                      <w:color w:val="auto"/>
                      <w:spacing w:val="0"/>
                      <w:position w:val="0"/>
                      <w:sz w:val="21"/>
                      <w:szCs w:val="21"/>
                      <w:highlight w:val="none"/>
                      <w:lang w:val="en-US" w:eastAsia="zh-CN"/>
                    </w:rPr>
                    <w:t>排风</w:t>
                  </w:r>
                  <w:r>
                    <w:rPr>
                      <w:rFonts w:hint="default" w:ascii="Times New Roman" w:hAnsi="Times New Roman" w:eastAsia="宋体" w:cs="Times New Roman"/>
                      <w:color w:val="auto"/>
                      <w:spacing w:val="0"/>
                      <w:position w:val="0"/>
                      <w:sz w:val="21"/>
                      <w:szCs w:val="21"/>
                      <w:highlight w:val="none"/>
                    </w:rPr>
                    <w:t>系统，</w:t>
                  </w:r>
                  <w:r>
                    <w:rPr>
                      <w:rFonts w:hint="default" w:ascii="Times New Roman" w:hAnsi="Times New Roman" w:eastAsia="宋体" w:cs="Times New Roman"/>
                      <w:color w:val="auto"/>
                      <w:spacing w:val="0"/>
                      <w:position w:val="0"/>
                      <w:sz w:val="21"/>
                      <w:szCs w:val="21"/>
                      <w:highlight w:val="none"/>
                      <w:lang w:val="en-US" w:eastAsia="zh-CN"/>
                    </w:rPr>
                    <w:t>排风口离地约30cm</w:t>
                  </w:r>
                </w:p>
              </w:tc>
              <w:tc>
                <w:tcPr>
                  <w:tcW w:w="529" w:type="dxa"/>
                  <w:noWrap w:val="0"/>
                  <w:vAlign w:val="center"/>
                </w:tcPr>
                <w:p w14:paraId="0855EEC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4883B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5FBBE2F5">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7C5DF72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6.4.4机房门外应有电离辐射警告标志；机房门上方应有醒目的工作状态指示灯，灯箱上应设置如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射线有害、灯亮勿入</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的可视警示语句；候诊区应设置放射防护注意事项告知栏。</w:t>
                  </w:r>
                </w:p>
              </w:tc>
              <w:tc>
                <w:tcPr>
                  <w:tcW w:w="4785" w:type="dxa"/>
                  <w:noWrap w:val="0"/>
                  <w:vAlign w:val="center"/>
                </w:tcPr>
                <w:p w14:paraId="189F981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DSA机房</w:t>
                  </w:r>
                  <w:r>
                    <w:rPr>
                      <w:rFonts w:hint="default" w:ascii="Times New Roman" w:hAnsi="Times New Roman" w:eastAsia="宋体" w:cs="Times New Roman"/>
                      <w:color w:val="auto"/>
                      <w:spacing w:val="0"/>
                      <w:position w:val="0"/>
                      <w:lang w:val="en-US" w:eastAsia="zh-CN"/>
                    </w:rPr>
                    <w:t>控制室防护门和患者通道防护门</w:t>
                  </w:r>
                  <w:r>
                    <w:rPr>
                      <w:rFonts w:hint="default" w:ascii="Times New Roman" w:hAnsi="Times New Roman" w:eastAsia="宋体" w:cs="Times New Roman"/>
                      <w:color w:val="auto"/>
                      <w:spacing w:val="0"/>
                      <w:position w:val="0"/>
                    </w:rPr>
                    <w:t>中部</w:t>
                  </w:r>
                  <w:r>
                    <w:rPr>
                      <w:rFonts w:hint="default" w:ascii="Times New Roman" w:hAnsi="Times New Roman" w:eastAsia="宋体" w:cs="Times New Roman"/>
                      <w:color w:val="auto"/>
                      <w:spacing w:val="0"/>
                      <w:position w:val="0"/>
                      <w:lang w:val="en-US" w:eastAsia="zh-CN"/>
                    </w:rPr>
                    <w:t>已</w:t>
                  </w:r>
                  <w:r>
                    <w:rPr>
                      <w:rFonts w:hint="default" w:ascii="Times New Roman" w:hAnsi="Times New Roman" w:eastAsia="宋体" w:cs="Times New Roman"/>
                      <w:color w:val="auto"/>
                      <w:spacing w:val="0"/>
                      <w:position w:val="0"/>
                    </w:rPr>
                    <w:t>设置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当心电离辐射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警示标志</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污物通道防护门拟设置“当心电离辐射”警示标志</w:t>
                  </w:r>
                  <w:r>
                    <w:rPr>
                      <w:rFonts w:hint="default" w:ascii="Times New Roman" w:hAnsi="Times New Roman" w:eastAsia="宋体" w:cs="Times New Roman"/>
                      <w:color w:val="auto"/>
                      <w:spacing w:val="0"/>
                      <w:position w:val="0"/>
                    </w:rPr>
                    <w:t>；DSA机房</w:t>
                  </w:r>
                  <w:r>
                    <w:rPr>
                      <w:rFonts w:hint="default" w:ascii="Times New Roman" w:hAnsi="Times New Roman" w:eastAsia="宋体" w:cs="Times New Roman"/>
                      <w:color w:val="auto"/>
                      <w:spacing w:val="0"/>
                      <w:position w:val="0"/>
                      <w:lang w:val="en-US" w:eastAsia="zh-CN"/>
                    </w:rPr>
                    <w:t>控制室防护门和患者通道防护门</w:t>
                  </w:r>
                  <w:r>
                    <w:rPr>
                      <w:rFonts w:hint="default" w:ascii="Times New Roman" w:hAnsi="Times New Roman" w:eastAsia="宋体" w:cs="Times New Roman"/>
                      <w:color w:val="auto"/>
                      <w:spacing w:val="0"/>
                      <w:position w:val="0"/>
                    </w:rPr>
                    <w:t>上方设置醒目的工作状态指示灯，灯箱上设置如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射线有害、灯亮勿入</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的可视警示语句，</w:t>
                  </w:r>
                  <w:r>
                    <w:rPr>
                      <w:rFonts w:hint="default" w:ascii="Times New Roman" w:hAnsi="Times New Roman" w:eastAsia="宋体" w:cs="Times New Roman"/>
                      <w:color w:val="auto"/>
                      <w:spacing w:val="0"/>
                      <w:position w:val="0"/>
                      <w:lang w:val="en-US" w:eastAsia="zh-CN"/>
                    </w:rPr>
                    <w:t>缓冲区拟设置放射警示标识和放射防护标识标牌，做到</w:t>
                  </w:r>
                  <w:r>
                    <w:rPr>
                      <w:rFonts w:hint="default" w:ascii="Times New Roman" w:hAnsi="Times New Roman" w:eastAsia="宋体" w:cs="Times New Roman"/>
                      <w:color w:val="auto"/>
                      <w:spacing w:val="0"/>
                      <w:position w:val="0"/>
                    </w:rPr>
                    <w:t>注意事项告知</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防止</w:t>
                  </w:r>
                  <w:r>
                    <w:rPr>
                      <w:rFonts w:hint="default" w:ascii="Times New Roman" w:hAnsi="Times New Roman" w:eastAsia="宋体" w:cs="Times New Roman"/>
                      <w:color w:val="auto"/>
                      <w:spacing w:val="0"/>
                      <w:position w:val="0"/>
                    </w:rPr>
                    <w:t>误照射。</w:t>
                  </w:r>
                </w:p>
              </w:tc>
              <w:tc>
                <w:tcPr>
                  <w:tcW w:w="529" w:type="dxa"/>
                  <w:noWrap w:val="0"/>
                  <w:vAlign w:val="center"/>
                </w:tcPr>
                <w:p w14:paraId="63D1177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397D9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5DC0C381">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7E28BC1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6.4.5平开机房门应有自动闭门装置；推拉式机房门应设有曝光时关闭机房门的管理措施；工作状态指示灯能与机房门有效关联。</w:t>
                  </w:r>
                </w:p>
              </w:tc>
              <w:tc>
                <w:tcPr>
                  <w:tcW w:w="4785" w:type="dxa"/>
                  <w:noWrap w:val="0"/>
                  <w:vAlign w:val="center"/>
                </w:tcPr>
                <w:p w14:paraId="67D36900">
                  <w:pPr>
                    <w:pStyle w:val="8"/>
                    <w:bidi w:val="0"/>
                    <w:jc w:val="center"/>
                    <w:rPr>
                      <w:rFonts w:hint="default" w:ascii="Times New Roman" w:hAnsi="Times New Roman" w:eastAsia="宋体" w:cs="Times New Roman"/>
                      <w:color w:val="auto"/>
                      <w:spacing w:val="0"/>
                      <w:position w:val="0"/>
                      <w:lang w:val="en-US"/>
                    </w:rPr>
                  </w:pPr>
                  <w:r>
                    <w:rPr>
                      <w:rFonts w:hint="default" w:ascii="Times New Roman" w:hAnsi="Times New Roman" w:eastAsia="宋体" w:cs="Times New Roman"/>
                      <w:color w:val="auto"/>
                      <w:spacing w:val="0"/>
                      <w:position w:val="0"/>
                    </w:rPr>
                    <w:t>DSA介入室患者通道防护门</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控制室</w:t>
                  </w:r>
                  <w:r>
                    <w:rPr>
                      <w:rFonts w:hint="default" w:ascii="Times New Roman" w:hAnsi="Times New Roman" w:eastAsia="宋体" w:cs="Times New Roman"/>
                      <w:color w:val="auto"/>
                      <w:spacing w:val="0"/>
                      <w:position w:val="0"/>
                    </w:rPr>
                    <w:t>防护门</w:t>
                  </w:r>
                  <w:r>
                    <w:rPr>
                      <w:rFonts w:hint="default" w:ascii="Times New Roman" w:hAnsi="Times New Roman" w:eastAsia="宋体" w:cs="Times New Roman"/>
                      <w:color w:val="auto"/>
                      <w:spacing w:val="0"/>
                      <w:position w:val="0"/>
                      <w:lang w:eastAsia="zh-CN"/>
                    </w:rPr>
                    <w:t>为平开机房门，</w:t>
                  </w:r>
                  <w:r>
                    <w:rPr>
                      <w:rFonts w:hint="default" w:ascii="Times New Roman" w:hAnsi="Times New Roman" w:eastAsia="宋体" w:cs="Times New Roman"/>
                      <w:color w:val="auto"/>
                      <w:spacing w:val="0"/>
                      <w:position w:val="0"/>
                    </w:rPr>
                    <w:t>设计有</w:t>
                  </w:r>
                  <w:r>
                    <w:rPr>
                      <w:rFonts w:hint="default" w:ascii="Times New Roman" w:hAnsi="Times New Roman" w:eastAsia="宋体" w:cs="Times New Roman"/>
                      <w:color w:val="auto"/>
                      <w:spacing w:val="0"/>
                      <w:position w:val="0"/>
                      <w:lang w:val="en-US" w:eastAsia="zh-CN"/>
                    </w:rPr>
                    <w:t>自动</w:t>
                  </w:r>
                  <w:r>
                    <w:rPr>
                      <w:rFonts w:hint="default" w:ascii="Times New Roman" w:hAnsi="Times New Roman" w:eastAsia="宋体" w:cs="Times New Roman"/>
                      <w:color w:val="auto"/>
                      <w:spacing w:val="0"/>
                      <w:position w:val="0"/>
                    </w:rPr>
                    <w:t>闭门装置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闭门装置：患者通道防护门安装有闭门器，患者进出后自动闭合，开门由医生控制或防护门底侧脚感应开关控制</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可使防护门时刻处于关闭状态，防止射线泄漏到DSA机房外。</w:t>
                  </w:r>
                  <w:r>
                    <w:rPr>
                      <w:rFonts w:hint="default" w:ascii="Times New Roman" w:hAnsi="Times New Roman" w:eastAsia="宋体" w:cs="Times New Roman"/>
                      <w:color w:val="auto"/>
                      <w:spacing w:val="0"/>
                      <w:position w:val="0"/>
                      <w:lang w:val="en-US" w:eastAsia="zh-CN"/>
                    </w:rPr>
                    <w:t>污物通道防护门为推拉式机房门，机房设置有监控装置，曝光时将检查机房门关闭措施，若铅门未完全关闭则不进行曝光出束。DSA介入室患者通道防护门、控制室防护门</w:t>
                  </w:r>
                  <w:r>
                    <w:rPr>
                      <w:rFonts w:hint="eastAsia" w:cs="Times New Roman"/>
                      <w:color w:val="auto"/>
                      <w:spacing w:val="0"/>
                      <w:position w:val="0"/>
                      <w:lang w:val="en-US" w:eastAsia="zh-CN"/>
                    </w:rPr>
                    <w:t>、污物通道防护门</w:t>
                  </w:r>
                  <w:r>
                    <w:rPr>
                      <w:rFonts w:hint="default" w:ascii="Times New Roman" w:hAnsi="Times New Roman" w:eastAsia="宋体" w:cs="Times New Roman"/>
                      <w:color w:val="auto"/>
                      <w:spacing w:val="0"/>
                      <w:position w:val="0"/>
                      <w:lang w:val="en-US" w:eastAsia="zh-CN"/>
                    </w:rPr>
                    <w:t>设置有门灯联锁装置，当机房门开启时，警示灯熄灭，机房门关闭时，警示灯开启。</w:t>
                  </w:r>
                </w:p>
              </w:tc>
              <w:tc>
                <w:tcPr>
                  <w:tcW w:w="529" w:type="dxa"/>
                  <w:noWrap w:val="0"/>
                  <w:vAlign w:val="center"/>
                </w:tcPr>
                <w:p w14:paraId="00C5E27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09CA6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49BA291F">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3053769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6.4.6电动推拉门宜设置防夹装置。</w:t>
                  </w:r>
                </w:p>
              </w:tc>
              <w:tc>
                <w:tcPr>
                  <w:tcW w:w="4785" w:type="dxa"/>
                  <w:noWrap w:val="0"/>
                  <w:vAlign w:val="center"/>
                </w:tcPr>
                <w:p w14:paraId="4E10E08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DSA介入室患者通道防护门</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控制室</w:t>
                  </w:r>
                  <w:r>
                    <w:rPr>
                      <w:rFonts w:hint="default" w:ascii="Times New Roman" w:hAnsi="Times New Roman" w:eastAsia="宋体" w:cs="Times New Roman"/>
                      <w:color w:val="auto"/>
                      <w:spacing w:val="0"/>
                      <w:position w:val="0"/>
                    </w:rPr>
                    <w:t>防护门</w:t>
                  </w:r>
                  <w:r>
                    <w:rPr>
                      <w:rFonts w:hint="default" w:ascii="Times New Roman" w:hAnsi="Times New Roman" w:eastAsia="宋体" w:cs="Times New Roman"/>
                      <w:color w:val="auto"/>
                      <w:spacing w:val="0"/>
                      <w:position w:val="0"/>
                      <w:lang w:eastAsia="zh-CN"/>
                    </w:rPr>
                    <w:t>为平开机房门，</w:t>
                  </w:r>
                  <w:r>
                    <w:rPr>
                      <w:rFonts w:hint="default" w:ascii="Times New Roman" w:hAnsi="Times New Roman" w:eastAsia="宋体" w:cs="Times New Roman"/>
                      <w:color w:val="auto"/>
                      <w:spacing w:val="0"/>
                      <w:position w:val="0"/>
                    </w:rPr>
                    <w:t>设置了防夹装置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污物通道防护门为手动</w:t>
                  </w:r>
                  <w:r>
                    <w:rPr>
                      <w:rFonts w:hint="default" w:ascii="Times New Roman" w:hAnsi="Times New Roman" w:eastAsia="宋体" w:cs="Times New Roman"/>
                      <w:color w:val="auto"/>
                      <w:spacing w:val="0"/>
                      <w:position w:val="0"/>
                      <w:lang w:eastAsia="zh-CN"/>
                    </w:rPr>
                    <w:t>推拉式机房门，</w:t>
                  </w:r>
                  <w:r>
                    <w:rPr>
                      <w:rFonts w:hint="default" w:ascii="Times New Roman" w:hAnsi="Times New Roman" w:eastAsia="宋体" w:cs="Times New Roman"/>
                      <w:color w:val="auto"/>
                      <w:spacing w:val="0"/>
                      <w:position w:val="0"/>
                      <w:lang w:val="en-US" w:eastAsia="zh-CN"/>
                    </w:rPr>
                    <w:t>使用过程中将注意防夹</w:t>
                  </w:r>
                  <w:r>
                    <w:rPr>
                      <w:rFonts w:hint="default" w:ascii="Times New Roman" w:hAnsi="Times New Roman" w:eastAsia="宋体" w:cs="Times New Roman"/>
                      <w:color w:val="auto"/>
                      <w:spacing w:val="0"/>
                      <w:position w:val="0"/>
                    </w:rPr>
                    <w:t>。</w:t>
                  </w:r>
                </w:p>
              </w:tc>
              <w:tc>
                <w:tcPr>
                  <w:tcW w:w="529" w:type="dxa"/>
                  <w:noWrap w:val="0"/>
                  <w:vAlign w:val="center"/>
                </w:tcPr>
                <w:p w14:paraId="33F7557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1EB31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113C8318">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361DC75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6.4.7受检者不应在机房内候诊；非特殊情况，检查过程中陪检者不应滞留在机房内。</w:t>
                  </w:r>
                </w:p>
              </w:tc>
              <w:tc>
                <w:tcPr>
                  <w:tcW w:w="4785" w:type="dxa"/>
                  <w:noWrap w:val="0"/>
                  <w:vAlign w:val="center"/>
                </w:tcPr>
                <w:p w14:paraId="054F45B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本项目设置有缓冲区，</w:t>
                  </w:r>
                  <w:r>
                    <w:rPr>
                      <w:rFonts w:hint="default" w:ascii="Times New Roman" w:hAnsi="Times New Roman" w:eastAsia="宋体" w:cs="Times New Roman"/>
                      <w:color w:val="auto"/>
                      <w:spacing w:val="0"/>
                      <w:position w:val="0"/>
                    </w:rPr>
                    <w:t>手术前，患者做好手术准备，由医护人员</w:t>
                  </w:r>
                  <w:r>
                    <w:rPr>
                      <w:rFonts w:hint="default" w:ascii="Times New Roman" w:hAnsi="Times New Roman" w:eastAsia="宋体" w:cs="Times New Roman"/>
                      <w:color w:val="auto"/>
                      <w:spacing w:val="0"/>
                      <w:position w:val="0"/>
                      <w:lang w:val="en-US" w:eastAsia="zh-CN"/>
                    </w:rPr>
                    <w:t>通过缓冲区</w:t>
                  </w:r>
                  <w:r>
                    <w:rPr>
                      <w:rFonts w:hint="default" w:ascii="Times New Roman" w:hAnsi="Times New Roman" w:eastAsia="宋体" w:cs="Times New Roman"/>
                      <w:color w:val="auto"/>
                      <w:spacing w:val="0"/>
                      <w:position w:val="0"/>
                    </w:rPr>
                    <w:t>推至DSA机房内手术，无陪护人员。</w:t>
                  </w:r>
                </w:p>
              </w:tc>
              <w:tc>
                <w:tcPr>
                  <w:tcW w:w="529" w:type="dxa"/>
                  <w:noWrap w:val="0"/>
                  <w:vAlign w:val="center"/>
                </w:tcPr>
                <w:p w14:paraId="1470173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7DE27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23254536">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37B8BCA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6.4.10机房出入门宜处于散射辐射相对低的位置。</w:t>
                  </w:r>
                </w:p>
              </w:tc>
              <w:tc>
                <w:tcPr>
                  <w:tcW w:w="4785" w:type="dxa"/>
                  <w:noWrap w:val="0"/>
                  <w:vAlign w:val="center"/>
                </w:tcPr>
                <w:p w14:paraId="7F6849C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本项目机房出入门</w:t>
                  </w:r>
                  <w:r>
                    <w:rPr>
                      <w:rFonts w:hint="default" w:ascii="Times New Roman" w:hAnsi="Times New Roman" w:eastAsia="宋体" w:cs="Times New Roman"/>
                      <w:color w:val="auto"/>
                      <w:spacing w:val="0"/>
                      <w:position w:val="0"/>
                      <w:lang w:val="en-US" w:eastAsia="zh-CN"/>
                    </w:rPr>
                    <w:t>不在主射属出束方向，位于机房</w:t>
                  </w:r>
                  <w:r>
                    <w:rPr>
                      <w:rFonts w:hint="default" w:ascii="Times New Roman" w:hAnsi="Times New Roman" w:eastAsia="宋体" w:cs="Times New Roman"/>
                      <w:color w:val="auto"/>
                      <w:spacing w:val="0"/>
                      <w:position w:val="0"/>
                    </w:rPr>
                    <w:t>处于散射辐射相对较低位置。</w:t>
                  </w:r>
                </w:p>
              </w:tc>
              <w:tc>
                <w:tcPr>
                  <w:tcW w:w="529" w:type="dxa"/>
                  <w:noWrap w:val="0"/>
                  <w:vAlign w:val="center"/>
                </w:tcPr>
                <w:p w14:paraId="32E7595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6E602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386DD984">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1E82FE2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6.5.1每台X射线设备根据工作内容，现场应配备不少于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表4个人防护用品和辅助防护设施配置要求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基本种类要求的工作人员、受检者防护用品与辅助防护设施，其数量应满足开展工作需要，对陪检者应至少配备铅橡胶防护衣。</w:t>
                  </w:r>
                </w:p>
              </w:tc>
              <w:tc>
                <w:tcPr>
                  <w:tcW w:w="4785" w:type="dxa"/>
                  <w:noWrap w:val="0"/>
                  <w:vAlign w:val="center"/>
                </w:tcPr>
                <w:p w14:paraId="75570903">
                  <w:pPr>
                    <w:pStyle w:val="8"/>
                    <w:bidi w:val="0"/>
                    <w:jc w:val="center"/>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w:t>
                  </w:r>
                  <w:r>
                    <w:rPr>
                      <w:rFonts w:hint="default" w:ascii="Times New Roman" w:hAnsi="Times New Roman" w:eastAsia="宋体" w:cs="Times New Roman"/>
                      <w:color w:val="auto"/>
                      <w:spacing w:val="0"/>
                      <w:position w:val="0"/>
                    </w:rPr>
                    <w:t>DSA设备机房</w:t>
                  </w:r>
                  <w:r>
                    <w:rPr>
                      <w:rFonts w:hint="default" w:ascii="Times New Roman" w:hAnsi="Times New Roman" w:eastAsia="宋体" w:cs="Times New Roman"/>
                      <w:color w:val="auto"/>
                      <w:spacing w:val="0"/>
                      <w:position w:val="0"/>
                      <w:lang w:eastAsia="zh-CN"/>
                    </w:rPr>
                    <w:t>拟分</w:t>
                  </w:r>
                  <w:r>
                    <w:rPr>
                      <w:rFonts w:hint="default" w:ascii="Times New Roman" w:hAnsi="Times New Roman" w:eastAsia="宋体" w:cs="Times New Roman"/>
                      <w:color w:val="auto"/>
                      <w:spacing w:val="0"/>
                      <w:position w:val="0"/>
                    </w:rPr>
                    <w:t>别配备防护用品：</w:t>
                  </w:r>
                  <w:r>
                    <w:rPr>
                      <w:rFonts w:hint="default" w:ascii="Times New Roman" w:hAnsi="Times New Roman" w:eastAsia="宋体" w:cs="Times New Roman"/>
                      <w:color w:val="auto"/>
                      <w:spacing w:val="0"/>
                      <w:position w:val="0"/>
                      <w:highlight w:val="none"/>
                    </w:rPr>
                    <w:t>①工作人员：</w:t>
                  </w:r>
                  <w:r>
                    <w:rPr>
                      <w:rFonts w:hint="default" w:ascii="Times New Roman" w:hAnsi="Times New Roman" w:eastAsia="宋体" w:cs="Times New Roman"/>
                      <w:color w:val="auto"/>
                      <w:spacing w:val="0"/>
                      <w:position w:val="0"/>
                      <w:highlight w:val="none"/>
                      <w:lang w:eastAsia="zh-CN"/>
                    </w:rPr>
                    <w:t>铅橡胶帽子</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eastAsia="zh-CN"/>
                    </w:rPr>
                    <w:t>铅橡胶围</w:t>
                  </w:r>
                  <w:r>
                    <w:rPr>
                      <w:rFonts w:hint="default" w:ascii="Times New Roman" w:hAnsi="Times New Roman" w:eastAsia="宋体" w:cs="Times New Roman"/>
                      <w:color w:val="auto"/>
                      <w:spacing w:val="0"/>
                      <w:position w:val="0"/>
                      <w:lang w:eastAsia="zh-CN"/>
                    </w:rPr>
                    <w:t>裙</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eastAsia="zh-CN"/>
                    </w:rPr>
                    <w:t>铅防护眼镜</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eastAsia="zh-CN"/>
                    </w:rPr>
                    <w:t>铅橡胶颈套、</w:t>
                  </w:r>
                  <w:r>
                    <w:rPr>
                      <w:rFonts w:hint="default" w:ascii="Times New Roman" w:hAnsi="Times New Roman" w:eastAsia="宋体" w:cs="Times New Roman"/>
                      <w:color w:val="auto"/>
                      <w:spacing w:val="0"/>
                      <w:position w:val="0"/>
                      <w:lang w:val="en-US" w:eastAsia="zh-CN"/>
                    </w:rPr>
                    <w:t>介入防护手套等10</w:t>
                  </w:r>
                  <w:r>
                    <w:rPr>
                      <w:rFonts w:hint="default" w:ascii="Times New Roman" w:hAnsi="Times New Roman" w:eastAsia="宋体" w:cs="Times New Roman"/>
                      <w:color w:val="auto"/>
                      <w:spacing w:val="0"/>
                      <w:position w:val="0"/>
                    </w:rPr>
                    <w:t>套；②受检者：配备0.5mmPb围裙或方巾2套、颈套2套，铅帽2个；③辅助防护设施：拟配备</w:t>
                  </w:r>
                  <w:r>
                    <w:rPr>
                      <w:rFonts w:hint="default" w:ascii="Times New Roman" w:hAnsi="Times New Roman" w:eastAsia="宋体" w:cs="Times New Roman"/>
                      <w:color w:val="auto"/>
                      <w:spacing w:val="0"/>
                      <w:position w:val="0"/>
                      <w:lang w:val="en-US" w:eastAsia="zh-CN"/>
                    </w:rPr>
                    <w:t>铅悬挂防护屏和床侧铅防护帘</w:t>
                  </w:r>
                  <w:r>
                    <w:rPr>
                      <w:rFonts w:hint="default" w:ascii="Times New Roman" w:hAnsi="Times New Roman" w:eastAsia="宋体" w:cs="Times New Roman"/>
                      <w:color w:val="auto"/>
                      <w:spacing w:val="0"/>
                      <w:position w:val="0"/>
                    </w:rPr>
                    <w:t>各1个</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铅当量均为0.5mmPb</w:t>
                  </w:r>
                </w:p>
              </w:tc>
              <w:tc>
                <w:tcPr>
                  <w:tcW w:w="529" w:type="dxa"/>
                  <w:noWrap w:val="0"/>
                  <w:vAlign w:val="center"/>
                </w:tcPr>
                <w:p w14:paraId="3AA4B6D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0266F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70B745B5">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35D0BF0C">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6.5.3除介入防护手套外，防护用品和辅助防护设施的铅当量应不小于0.25mmPb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介入防护手套铅当量应不小于0.025mmPb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甲状腺、性腺防护用品铅当量应不小于0.5mmPb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移动铅防护屏风铅当量应不小于2mmPb。</w:t>
                  </w:r>
                </w:p>
              </w:tc>
              <w:tc>
                <w:tcPr>
                  <w:tcW w:w="4785" w:type="dxa"/>
                  <w:noWrap w:val="0"/>
                  <w:vAlign w:val="center"/>
                </w:tcPr>
                <w:p w14:paraId="3064EDE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医院为医护工作人员配备相关防护用品，除介入防护手套外，防护用品和辅助防护设施的铅当量均为0.5mm</w:t>
                  </w:r>
                  <w:r>
                    <w:rPr>
                      <w:rFonts w:hint="default" w:ascii="Times New Roman" w:hAnsi="Times New Roman" w:eastAsia="宋体" w:cs="Times New Roman"/>
                      <w:color w:val="auto"/>
                      <w:spacing w:val="0"/>
                      <w:position w:val="0"/>
                      <w:lang w:val="en-US" w:eastAsia="zh-CN"/>
                    </w:rPr>
                    <w:t>Pb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保证医护人员手术期间的防护需求；医院为受检者配备相关防护用品，包括0.5mmPb的铅防护围裙</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方形</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或方巾和铅围脖、铅帽；</w:t>
                  </w:r>
                  <w:r>
                    <w:rPr>
                      <w:rFonts w:hint="default" w:ascii="Times New Roman" w:hAnsi="Times New Roman" w:eastAsia="宋体" w:cs="Times New Roman"/>
                      <w:color w:val="auto"/>
                      <w:spacing w:val="0"/>
                      <w:position w:val="0"/>
                      <w:lang w:val="en-US" w:eastAsia="zh-CN"/>
                    </w:rPr>
                    <w:t>本项目设置0.5mmPb铅悬挂防护屏和床侧铅防护帘各一套</w:t>
                  </w:r>
                  <w:r>
                    <w:rPr>
                      <w:rFonts w:hint="eastAsia" w:cs="Times New Roman"/>
                      <w:color w:val="auto"/>
                      <w:spacing w:val="0"/>
                      <w:position w:val="0"/>
                      <w:lang w:val="en-US" w:eastAsia="zh-CN"/>
                    </w:rPr>
                    <w:t>，本项目不设置移动铅防护屏风</w:t>
                  </w:r>
                  <w:r>
                    <w:rPr>
                      <w:rFonts w:hint="default" w:ascii="Times New Roman" w:hAnsi="Times New Roman" w:eastAsia="宋体" w:cs="Times New Roman"/>
                      <w:color w:val="auto"/>
                      <w:spacing w:val="0"/>
                      <w:position w:val="0"/>
                    </w:rPr>
                    <w:t>。</w:t>
                  </w:r>
                </w:p>
              </w:tc>
              <w:tc>
                <w:tcPr>
                  <w:tcW w:w="529" w:type="dxa"/>
                  <w:noWrap w:val="0"/>
                  <w:vAlign w:val="center"/>
                </w:tcPr>
                <w:p w14:paraId="62143A9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r w14:paraId="55CAC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39" w:type="dxa"/>
                  <w:noWrap w:val="0"/>
                  <w:vAlign w:val="center"/>
                </w:tcPr>
                <w:p w14:paraId="01A1D2E5">
                  <w:pPr>
                    <w:pStyle w:val="8"/>
                    <w:numPr>
                      <w:ilvl w:val="0"/>
                      <w:numId w:val="13"/>
                    </w:numPr>
                    <w:bidi w:val="0"/>
                    <w:ind w:left="425" w:leftChars="0" w:hanging="425" w:firstLineChars="0"/>
                    <w:jc w:val="center"/>
                    <w:rPr>
                      <w:rFonts w:hint="default" w:ascii="Times New Roman" w:hAnsi="Times New Roman" w:eastAsia="宋体" w:cs="Times New Roman"/>
                      <w:color w:val="auto"/>
                      <w:spacing w:val="0"/>
                      <w:position w:val="0"/>
                    </w:rPr>
                  </w:pPr>
                </w:p>
              </w:tc>
              <w:tc>
                <w:tcPr>
                  <w:tcW w:w="3147" w:type="dxa"/>
                  <w:noWrap w:val="0"/>
                  <w:vAlign w:val="center"/>
                </w:tcPr>
                <w:p w14:paraId="029747C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6.5.5个人防护用品不使用时，应妥善存放，不应折叠放置，以防止断裂。</w:t>
                  </w:r>
                </w:p>
              </w:tc>
              <w:tc>
                <w:tcPr>
                  <w:tcW w:w="4785" w:type="dxa"/>
                  <w:noWrap w:val="0"/>
                  <w:vAlign w:val="center"/>
                </w:tcPr>
                <w:p w14:paraId="175BA3F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本项目配套设置了防护库，专门用于存放本项目拟使用的铅防护围裙（方形）或方巾和铅围脖、铅帽等铅防护设备，</w:t>
                  </w:r>
                  <w:r>
                    <w:rPr>
                      <w:rFonts w:hint="default" w:ascii="Times New Roman" w:hAnsi="Times New Roman" w:eastAsia="宋体" w:cs="Times New Roman"/>
                      <w:color w:val="auto"/>
                      <w:spacing w:val="0"/>
                      <w:position w:val="0"/>
                    </w:rPr>
                    <w:t>DSA设备设置了专门的铅衣架，个人防护用品不使用时，均存放至铅衣架，不折叠放置。</w:t>
                  </w:r>
                </w:p>
              </w:tc>
              <w:tc>
                <w:tcPr>
                  <w:tcW w:w="529" w:type="dxa"/>
                  <w:noWrap w:val="0"/>
                  <w:vAlign w:val="center"/>
                </w:tcPr>
                <w:p w14:paraId="648E107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符合</w:t>
                  </w:r>
                </w:p>
              </w:tc>
            </w:tr>
          </w:tbl>
          <w:p w14:paraId="7F1F7266">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综上可知，</w:t>
            </w:r>
            <w:r>
              <w:rPr>
                <w:rFonts w:hint="default" w:ascii="Times New Roman" w:hAnsi="Times New Roman" w:eastAsia="宋体" w:cs="Times New Roman"/>
                <w:color w:val="auto"/>
                <w:spacing w:val="0"/>
                <w:position w:val="0"/>
                <w:lang w:val="en-US" w:eastAsia="zh-CN"/>
              </w:rPr>
              <w:t>本项目</w:t>
            </w:r>
            <w:r>
              <w:rPr>
                <w:rFonts w:hint="default" w:ascii="Times New Roman" w:hAnsi="Times New Roman" w:eastAsia="宋体" w:cs="Times New Roman"/>
                <w:color w:val="auto"/>
                <w:spacing w:val="0"/>
                <w:position w:val="0"/>
              </w:rPr>
              <w:t xml:space="preserve">拟新增的DSA机房工作场所设计安全与防护布置符合《放射诊断放射防护要求》 </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GBZ130-2020</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的相关要求</w:t>
            </w:r>
            <w:r>
              <w:rPr>
                <w:rFonts w:hint="default" w:ascii="Times New Roman" w:hAnsi="Times New Roman" w:eastAsia="宋体" w:cs="Times New Roman"/>
                <w:color w:val="auto"/>
                <w:spacing w:val="0"/>
                <w:position w:val="0"/>
                <w:lang w:eastAsia="zh-CN"/>
              </w:rPr>
              <w:t>。</w:t>
            </w:r>
          </w:p>
          <w:p w14:paraId="2DEA0FAC">
            <w:pPr>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val="en-US" w:eastAsia="zh-CN"/>
              </w:rPr>
              <w:t>12.</w:t>
            </w:r>
            <w:r>
              <w:rPr>
                <w:rFonts w:hint="default" w:ascii="Times New Roman" w:hAnsi="Times New Roman" w:eastAsia="宋体" w:cs="Times New Roman"/>
                <w:b/>
                <w:bCs/>
                <w:color w:val="auto"/>
                <w:spacing w:val="0"/>
                <w:position w:val="0"/>
              </w:rPr>
              <w:t>辐射安全措施合理性</w:t>
            </w:r>
          </w:p>
          <w:p w14:paraId="7E8ECF32">
            <w:pPr>
              <w:keepNext w:val="0"/>
              <w:keepLines w:val="0"/>
              <w:suppressLineNumbers w:val="0"/>
              <w:bidi w:val="0"/>
              <w:spacing w:before="0" w:beforeAutospacing="0" w:after="0" w:afterAutospacing="0"/>
              <w:ind w:left="0" w:right="0"/>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color w:val="auto"/>
                <w:spacing w:val="0"/>
                <w:position w:val="0"/>
              </w:rPr>
              <w:t>本项目DSA设备机房四周墙体、顶面、地面、防护铅门以及观察窗分别采取了防护措施，屏蔽厚度铅当量</w:t>
            </w:r>
            <w:r>
              <w:rPr>
                <w:rFonts w:hint="default" w:ascii="Times New Roman" w:hAnsi="Times New Roman" w:eastAsia="宋体" w:cs="Times New Roman"/>
                <w:color w:val="auto"/>
                <w:spacing w:val="0"/>
                <w:position w:val="0"/>
                <w:lang w:val="en-US" w:eastAsia="zh-CN"/>
              </w:rPr>
              <w:t>最小为3.58</w:t>
            </w:r>
            <w:r>
              <w:rPr>
                <w:rFonts w:hint="default" w:ascii="Times New Roman" w:hAnsi="Times New Roman" w:eastAsia="宋体" w:cs="Times New Roman"/>
                <w:color w:val="auto"/>
                <w:spacing w:val="0"/>
                <w:position w:val="0"/>
              </w:rPr>
              <w:t>mmPb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超过《放射诊断放射防护要求》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GBZ130-2020</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中规定的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介入X 射线设备机房屏蔽防护铅当量厚度不小于2mm铅当量</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要求，建设单位本着以人为本的原则，加强了对机房的防护，尽量减少对本项目工作人员及周围公众的影响；此外建设单位拟分别在DSA机房设置紧急停机按钮、门灯联锁装置、电离辐射警示标志，并为工作人员及病人配置防护用品</w:t>
            </w:r>
            <w:r>
              <w:rPr>
                <w:rFonts w:hint="default" w:ascii="Times New Roman" w:hAnsi="Times New Roman" w:eastAsia="宋体" w:cs="Times New Roman"/>
                <w:color w:val="auto"/>
                <w:spacing w:val="0"/>
                <w:position w:val="0"/>
                <w:lang w:eastAsia="zh-CN"/>
              </w:rPr>
              <w:t>，在</w:t>
            </w:r>
            <w:r>
              <w:rPr>
                <w:rFonts w:hint="default" w:ascii="Times New Roman" w:hAnsi="Times New Roman" w:eastAsia="宋体" w:cs="Times New Roman"/>
                <w:color w:val="auto"/>
                <w:spacing w:val="0"/>
                <w:position w:val="0"/>
              </w:rPr>
              <w:t>项目运行期间，加强工作人员的培训和管理，采取以上措施后，本项目DSA工作时产生的X射线对机房外环境影响较小，因此本项目采取的辐射安全措施合理。</w:t>
            </w:r>
          </w:p>
        </w:tc>
      </w:tr>
      <w:tr w14:paraId="0F89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78" w:type="dxa"/>
            <w:noWrap w:val="0"/>
            <w:vAlign w:val="top"/>
          </w:tcPr>
          <w:p w14:paraId="24994035">
            <w:pPr>
              <w:keepNext w:val="0"/>
              <w:keepLines w:val="0"/>
              <w:suppressLineNumbers w:val="0"/>
              <w:spacing w:before="0" w:beforeAutospacing="0" w:after="0" w:afterAutospacing="0" w:line="336" w:lineRule="auto"/>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10.2三废的治理</w:t>
            </w:r>
          </w:p>
          <w:p w14:paraId="3FB83B61">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废气治理措施</w:t>
            </w:r>
          </w:p>
          <w:p w14:paraId="5D730C1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本项目DSA曝光过程中会产生臭氧、氮氧化物，根据设计单位提供资料，本项目射线装置机房采用</w:t>
            </w:r>
            <w:r>
              <w:rPr>
                <w:rFonts w:hint="default" w:ascii="Times New Roman" w:hAnsi="Times New Roman" w:eastAsia="宋体" w:cs="Times New Roman"/>
                <w:color w:val="auto"/>
                <w:spacing w:val="0"/>
                <w:position w:val="0"/>
                <w:lang w:val="en-US" w:eastAsia="zh-CN"/>
              </w:rPr>
              <w:t>净化空调</w:t>
            </w:r>
            <w:r>
              <w:rPr>
                <w:rFonts w:hint="default" w:ascii="Times New Roman" w:hAnsi="Times New Roman" w:eastAsia="宋体" w:cs="Times New Roman"/>
                <w:color w:val="auto"/>
                <w:spacing w:val="0"/>
                <w:position w:val="0"/>
              </w:rPr>
              <w:t>换气进行通排风，</w:t>
            </w:r>
            <w:r>
              <w:rPr>
                <w:rFonts w:hint="default" w:ascii="Times New Roman" w:hAnsi="Times New Roman" w:eastAsia="宋体" w:cs="Times New Roman"/>
                <w:color w:val="auto"/>
                <w:spacing w:val="0"/>
                <w:position w:val="0"/>
                <w:lang w:val="en-US" w:eastAsia="zh-CN"/>
              </w:rPr>
              <w:t>废气经净化空调排风机引至住院楼5楼中央空调机房，经5楼中央空调统一通过住院楼排风竖井排放，空调外机位于5楼专门设计的空调机房内，避开了人群集中区域。</w:t>
            </w:r>
            <w:r>
              <w:rPr>
                <w:rFonts w:hint="default" w:ascii="Times New Roman" w:hAnsi="Times New Roman" w:eastAsia="宋体" w:cs="Times New Roman"/>
                <w:color w:val="auto"/>
                <w:spacing w:val="0"/>
                <w:position w:val="0"/>
              </w:rPr>
              <w:t>采取连续通风换气后，防止机房空气中臭氧和氮氧化物等有害气体累积。</w:t>
            </w:r>
          </w:p>
          <w:p w14:paraId="6719205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通风管道采取相应的屏蔽措施，采用弯管及局部铅皮包裹处理，本项目射线装置曝光时间很短，臭氧和氮氧化物的产生量很少，外排后通过稀释扩散对环境影响较小。</w:t>
            </w:r>
          </w:p>
          <w:p w14:paraId="3D140865">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废水治理措施</w:t>
            </w:r>
          </w:p>
          <w:p w14:paraId="746ABC2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本项目DSA采用数字成像，无废显、定影液产生，</w:t>
            </w:r>
            <w:r>
              <w:rPr>
                <w:rFonts w:hint="default" w:ascii="Times New Roman" w:hAnsi="Times New Roman" w:eastAsia="宋体" w:cs="Times New Roman"/>
                <w:color w:val="auto"/>
                <w:spacing w:val="0"/>
                <w:position w:val="0"/>
                <w:lang w:val="en-US" w:eastAsia="zh-CN"/>
              </w:rPr>
              <w:t>本项目产生工作人员生活污水及手术过程中产生的医疗废水，</w:t>
            </w:r>
            <w:r>
              <w:rPr>
                <w:rFonts w:hint="default" w:ascii="Times New Roman" w:hAnsi="Times New Roman" w:eastAsia="宋体" w:cs="Times New Roman"/>
                <w:color w:val="auto"/>
                <w:spacing w:val="0"/>
                <w:position w:val="0"/>
                <w:lang w:eastAsia="zh-CN"/>
              </w:rPr>
              <w:t>辐射工作人员从医院现有人员中调配，</w:t>
            </w:r>
            <w:r>
              <w:rPr>
                <w:rFonts w:hint="default" w:ascii="Times New Roman" w:hAnsi="Times New Roman" w:eastAsia="宋体" w:cs="Times New Roman"/>
                <w:color w:val="auto"/>
                <w:spacing w:val="0"/>
                <w:position w:val="0"/>
                <w:lang w:val="en-US" w:eastAsia="zh-CN"/>
              </w:rPr>
              <w:t>因此不</w:t>
            </w:r>
            <w:r>
              <w:rPr>
                <w:rFonts w:hint="default" w:ascii="Times New Roman" w:hAnsi="Times New Roman" w:eastAsia="宋体" w:cs="Times New Roman"/>
                <w:color w:val="auto"/>
                <w:spacing w:val="0"/>
                <w:position w:val="0"/>
                <w:lang w:eastAsia="zh-CN"/>
              </w:rPr>
              <w:t>新增</w:t>
            </w:r>
            <w:r>
              <w:rPr>
                <w:rFonts w:hint="default" w:ascii="Times New Roman" w:hAnsi="Times New Roman" w:eastAsia="宋体" w:cs="Times New Roman"/>
                <w:color w:val="auto"/>
                <w:spacing w:val="0"/>
                <w:position w:val="0"/>
                <w:lang w:val="en-US" w:eastAsia="zh-CN"/>
              </w:rPr>
              <w:t>医疗人员</w:t>
            </w:r>
            <w:r>
              <w:rPr>
                <w:rFonts w:hint="default" w:ascii="Times New Roman" w:hAnsi="Times New Roman" w:eastAsia="宋体" w:cs="Times New Roman"/>
                <w:color w:val="auto"/>
                <w:spacing w:val="0"/>
                <w:position w:val="0"/>
                <w:lang w:eastAsia="zh-CN"/>
              </w:rPr>
              <w:t>生活污水</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本项目产生的废水经过处理后，排放浓度满足《医疗机构水污染物排放标准》（GB 18466-2005，含2026年修改单）表2预处理标准和《污水排入城镇下水道水质标准》（GB/T31962-2015）表1A等级标准，同时本项目已建污水处理设施有余量能够接纳本项目产生的废水，</w:t>
            </w:r>
            <w:r>
              <w:rPr>
                <w:rFonts w:hint="default" w:ascii="Times New Roman" w:hAnsi="Times New Roman" w:eastAsia="宋体" w:cs="Times New Roman"/>
                <w:color w:val="auto"/>
                <w:spacing w:val="0"/>
                <w:position w:val="0"/>
                <w:lang w:val="zh-CN"/>
              </w:rPr>
              <w:t>因此本项目产生的少量</w:t>
            </w:r>
            <w:r>
              <w:rPr>
                <w:rFonts w:hint="default" w:ascii="Times New Roman" w:hAnsi="Times New Roman" w:eastAsia="宋体" w:cs="Times New Roman"/>
                <w:color w:val="auto"/>
                <w:spacing w:val="0"/>
                <w:position w:val="0"/>
                <w:lang w:val="en-US" w:eastAsia="zh-CN"/>
              </w:rPr>
              <w:t>能够</w:t>
            </w:r>
            <w:r>
              <w:rPr>
                <w:rFonts w:hint="default" w:ascii="Times New Roman" w:hAnsi="Times New Roman" w:eastAsia="宋体" w:cs="Times New Roman"/>
                <w:color w:val="auto"/>
                <w:spacing w:val="0"/>
                <w:position w:val="0"/>
                <w:lang w:val="zh-CN"/>
              </w:rPr>
              <w:t>依托现有污水处理设施处理。</w:t>
            </w:r>
            <w:r>
              <w:rPr>
                <w:rFonts w:hint="default" w:ascii="Times New Roman" w:hAnsi="Times New Roman" w:eastAsia="宋体" w:cs="Times New Roman"/>
                <w:color w:val="auto"/>
                <w:spacing w:val="0"/>
                <w:position w:val="0"/>
              </w:rPr>
              <w:t>本项目医疗废水</w:t>
            </w:r>
            <w:r>
              <w:rPr>
                <w:rFonts w:hint="default" w:ascii="Times New Roman" w:hAnsi="Times New Roman" w:eastAsia="宋体" w:cs="Times New Roman"/>
                <w:color w:val="auto"/>
                <w:spacing w:val="0"/>
                <w:position w:val="0"/>
                <w:lang w:val="en-US" w:eastAsia="zh-CN"/>
              </w:rPr>
              <w:t>进入化粪池进行预处理后统一排入污水处理站统一处理，经处理达标后排至市政污水管网最终进入曲靖市污水处理厂</w:t>
            </w:r>
            <w:r>
              <w:rPr>
                <w:rFonts w:hint="default" w:ascii="Times New Roman" w:hAnsi="Times New Roman" w:eastAsia="宋体" w:cs="Times New Roman"/>
                <w:color w:val="auto"/>
                <w:spacing w:val="0"/>
                <w:position w:val="0"/>
              </w:rPr>
              <w:t>。</w:t>
            </w:r>
          </w:p>
          <w:p w14:paraId="4594B488">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3.</w:t>
            </w:r>
            <w:r>
              <w:rPr>
                <w:rFonts w:hint="default" w:ascii="Times New Roman" w:hAnsi="Times New Roman" w:eastAsia="宋体" w:cs="Times New Roman"/>
                <w:b/>
                <w:bCs/>
                <w:color w:val="auto"/>
                <w:spacing w:val="0"/>
                <w:position w:val="0"/>
              </w:rPr>
              <w:t>固体废弃物治理措施</w:t>
            </w:r>
          </w:p>
          <w:p w14:paraId="59EE783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本项目DSA采用数字成像，无废胶片产生；</w:t>
            </w:r>
            <w:r>
              <w:rPr>
                <w:rFonts w:hint="default" w:ascii="Times New Roman" w:hAnsi="Times New Roman" w:eastAsia="宋体" w:cs="Times New Roman"/>
                <w:color w:val="auto"/>
                <w:spacing w:val="0"/>
                <w:position w:val="0"/>
                <w:highlight w:val="none"/>
                <w:lang w:val="en-US" w:eastAsia="zh-CN"/>
              </w:rPr>
              <w:t>造影剂使用完后，造影剂瓶同</w:t>
            </w:r>
            <w:r>
              <w:rPr>
                <w:rFonts w:hint="default" w:ascii="Times New Roman" w:hAnsi="Times New Roman" w:eastAsia="宋体" w:cs="Times New Roman"/>
                <w:color w:val="auto"/>
                <w:spacing w:val="0"/>
                <w:position w:val="0"/>
                <w:highlight w:val="none"/>
              </w:rPr>
              <w:t>手术过程中产生的棉签、纱布、手套、器具</w:t>
            </w:r>
            <w:r>
              <w:rPr>
                <w:rFonts w:hint="default" w:ascii="Times New Roman" w:hAnsi="Times New Roman" w:eastAsia="宋体" w:cs="Times New Roman"/>
                <w:color w:val="auto"/>
                <w:spacing w:val="0"/>
                <w:position w:val="0"/>
                <w:highlight w:val="none"/>
                <w:lang w:eastAsia="zh-CN"/>
              </w:rPr>
              <w:t>等</w:t>
            </w:r>
            <w:r>
              <w:rPr>
                <w:rFonts w:hint="default" w:ascii="Times New Roman" w:hAnsi="Times New Roman" w:eastAsia="宋体" w:cs="Times New Roman"/>
                <w:color w:val="auto"/>
                <w:spacing w:val="0"/>
                <w:position w:val="0"/>
                <w:highlight w:val="none"/>
              </w:rPr>
              <w:t>医疗废物暂时收集于DSA介入室的医疗废物垃圾桶内，手术结束后运送至医院</w:t>
            </w:r>
            <w:r>
              <w:rPr>
                <w:rFonts w:hint="default" w:ascii="Times New Roman" w:hAnsi="Times New Roman" w:eastAsia="宋体" w:cs="Times New Roman"/>
                <w:color w:val="auto"/>
                <w:spacing w:val="0"/>
                <w:position w:val="0"/>
                <w:highlight w:val="none"/>
                <w:lang w:val="en-US" w:eastAsia="zh-CN"/>
              </w:rPr>
              <w:t>的医疗废物暂存间</w:t>
            </w:r>
            <w:r>
              <w:rPr>
                <w:rFonts w:hint="default" w:ascii="Times New Roman" w:hAnsi="Times New Roman" w:eastAsia="宋体" w:cs="Times New Roman"/>
                <w:color w:val="auto"/>
                <w:spacing w:val="0"/>
                <w:position w:val="0"/>
                <w:highlight w:val="none"/>
              </w:rPr>
              <w:t>内暂存</w:t>
            </w:r>
            <w:r>
              <w:rPr>
                <w:rFonts w:hint="default" w:ascii="Times New Roman" w:hAnsi="Times New Roman" w:eastAsia="宋体" w:cs="Times New Roman"/>
                <w:color w:val="auto"/>
                <w:spacing w:val="0"/>
                <w:position w:val="0"/>
              </w:rPr>
              <w:t>，后委托有资质的医疗废物处置单位进行处置；工作人员工作中产生的少量办公垃圾，通过普通垃圾桶收集后，运送至医院垃圾</w:t>
            </w:r>
            <w:r>
              <w:rPr>
                <w:rFonts w:hint="default" w:ascii="Times New Roman" w:hAnsi="Times New Roman" w:eastAsia="宋体" w:cs="Times New Roman"/>
                <w:color w:val="auto"/>
                <w:spacing w:val="0"/>
                <w:position w:val="0"/>
                <w:lang w:val="en-US" w:eastAsia="zh-CN"/>
              </w:rPr>
              <w:t>收集房</w:t>
            </w:r>
            <w:r>
              <w:rPr>
                <w:rFonts w:hint="default" w:ascii="Times New Roman" w:hAnsi="Times New Roman" w:eastAsia="宋体" w:cs="Times New Roman"/>
                <w:color w:val="auto"/>
                <w:spacing w:val="0"/>
                <w:position w:val="0"/>
              </w:rPr>
              <w:t>暂存，后交由环卫部门统一处理。</w:t>
            </w:r>
          </w:p>
          <w:p w14:paraId="5C81EBD5">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4.</w:t>
            </w:r>
            <w:r>
              <w:rPr>
                <w:rFonts w:hint="default" w:ascii="Times New Roman" w:hAnsi="Times New Roman" w:eastAsia="宋体" w:cs="Times New Roman"/>
                <w:b/>
                <w:bCs/>
                <w:color w:val="auto"/>
                <w:spacing w:val="0"/>
                <w:position w:val="0"/>
              </w:rPr>
              <w:t>噪声治理措施</w:t>
            </w:r>
          </w:p>
          <w:p w14:paraId="6C2E5EF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本项目DSA机房设置独立净化空调机组，通排风系统运行时会产生噪声</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本项目</w:t>
            </w:r>
            <w:r>
              <w:rPr>
                <w:rFonts w:hint="default" w:ascii="Times New Roman" w:hAnsi="Times New Roman" w:eastAsia="宋体" w:cs="Times New Roman"/>
                <w:color w:val="auto"/>
                <w:spacing w:val="0"/>
                <w:position w:val="0"/>
              </w:rPr>
              <w:t>排气风机选用低噪音类型设备，噪声值&lt;5</w:t>
            </w:r>
            <w:r>
              <w:rPr>
                <w:rFonts w:hint="default" w:ascii="Times New Roman" w:hAnsi="Times New Roman" w:eastAsia="宋体" w:cs="Times New Roman"/>
                <w:color w:val="auto"/>
                <w:spacing w:val="0"/>
                <w:position w:val="0"/>
                <w:lang w:val="en-US" w:eastAsia="zh-CN"/>
              </w:rPr>
              <w:t>5</w:t>
            </w:r>
            <w:r>
              <w:rPr>
                <w:rFonts w:hint="default" w:ascii="Times New Roman" w:hAnsi="Times New Roman" w:eastAsia="宋体" w:cs="Times New Roman"/>
                <w:color w:val="auto"/>
                <w:spacing w:val="0"/>
                <w:position w:val="0"/>
              </w:rPr>
              <w:t>dB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A</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，排风、新风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送风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管道上设置有消声器，外机支架上面使用减振器降噪处理，通过降噪措施降噪后，经过墙体阻隔和距离衰减后，对周围环境影响不大。</w:t>
            </w:r>
          </w:p>
          <w:p w14:paraId="091CCDC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综上所述，本项目针对DSA运行过</w:t>
            </w:r>
            <w:r>
              <w:rPr>
                <w:rFonts w:hint="default" w:ascii="Times New Roman" w:hAnsi="Times New Roman" w:eastAsia="宋体" w:cs="Times New Roman"/>
                <w:color w:val="auto"/>
                <w:spacing w:val="0"/>
                <w:position w:val="0"/>
                <w:lang w:eastAsia="zh-CN"/>
              </w:rPr>
              <w:t>程中</w:t>
            </w:r>
            <w:r>
              <w:rPr>
                <w:rFonts w:hint="default" w:ascii="Times New Roman" w:hAnsi="Times New Roman" w:eastAsia="宋体" w:cs="Times New Roman"/>
                <w:color w:val="auto"/>
                <w:spacing w:val="0"/>
                <w:position w:val="0"/>
              </w:rPr>
              <w:t>产生的各项污染物采取了有效的污染防治措施，能够满足环保要求。</w:t>
            </w:r>
          </w:p>
          <w:p w14:paraId="31FEAB8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本项目主要污染物的产生及主要环保措施见表10-</w:t>
            </w:r>
            <w:r>
              <w:rPr>
                <w:rFonts w:hint="default" w:ascii="Times New Roman" w:hAnsi="Times New Roman" w:eastAsia="宋体" w:cs="Times New Roman"/>
                <w:color w:val="auto"/>
                <w:spacing w:val="0"/>
                <w:position w:val="0"/>
                <w:lang w:val="en-US" w:eastAsia="zh-CN"/>
              </w:rPr>
              <w:t>6</w:t>
            </w:r>
            <w:r>
              <w:rPr>
                <w:rFonts w:hint="default" w:ascii="Times New Roman" w:hAnsi="Times New Roman" w:eastAsia="宋体" w:cs="Times New Roman"/>
                <w:color w:val="auto"/>
                <w:spacing w:val="0"/>
                <w:position w:val="0"/>
              </w:rPr>
              <w:t>。</w:t>
            </w:r>
          </w:p>
          <w:p w14:paraId="70B3B6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18"/>
              </w:rPr>
            </w:pPr>
            <w:r>
              <w:rPr>
                <w:rFonts w:hint="default" w:ascii="Times New Roman" w:hAnsi="Times New Roman" w:eastAsia="宋体" w:cs="Times New Roman"/>
                <w:b/>
                <w:color w:val="auto"/>
                <w:spacing w:val="0"/>
                <w:position w:val="0"/>
                <w:sz w:val="21"/>
                <w:szCs w:val="18"/>
              </w:rPr>
              <w:t>表10-</w:t>
            </w:r>
            <w:r>
              <w:rPr>
                <w:rFonts w:hint="default" w:ascii="Times New Roman" w:hAnsi="Times New Roman" w:eastAsia="宋体" w:cs="Times New Roman"/>
                <w:b/>
                <w:color w:val="auto"/>
                <w:spacing w:val="0"/>
                <w:position w:val="0"/>
                <w:sz w:val="21"/>
                <w:szCs w:val="18"/>
                <w:lang w:val="en-US" w:eastAsia="zh-CN"/>
              </w:rPr>
              <w:t>6</w:t>
            </w:r>
            <w:r>
              <w:rPr>
                <w:rFonts w:hint="default" w:ascii="Times New Roman" w:hAnsi="Times New Roman" w:eastAsia="宋体" w:cs="Times New Roman"/>
                <w:b/>
                <w:color w:val="auto"/>
                <w:spacing w:val="0"/>
                <w:position w:val="0"/>
                <w:sz w:val="21"/>
                <w:szCs w:val="18"/>
              </w:rPr>
              <w:t>项目主要污染物的产生及主要环保措施</w:t>
            </w:r>
          </w:p>
          <w:tbl>
            <w:tblPr>
              <w:tblStyle w:val="20"/>
              <w:tblW w:w="498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37"/>
              <w:gridCol w:w="850"/>
              <w:gridCol w:w="843"/>
              <w:gridCol w:w="2205"/>
              <w:gridCol w:w="4389"/>
            </w:tblGrid>
            <w:tr w14:paraId="137D9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56" w:type="pct"/>
                  <w:tcBorders>
                    <w:tl2br w:val="nil"/>
                    <w:tr2bl w:val="nil"/>
                  </w:tcBorders>
                  <w:noWrap w:val="0"/>
                  <w:vAlign w:val="center"/>
                </w:tcPr>
                <w:p w14:paraId="7ABA700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内容</w:t>
                  </w:r>
                </w:p>
              </w:tc>
              <w:tc>
                <w:tcPr>
                  <w:tcW w:w="476" w:type="pct"/>
                  <w:tcBorders>
                    <w:tl2br w:val="nil"/>
                    <w:tr2bl w:val="nil"/>
                  </w:tcBorders>
                  <w:noWrap w:val="0"/>
                  <w:vAlign w:val="center"/>
                </w:tcPr>
                <w:p w14:paraId="6114A5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排放源</w:t>
                  </w:r>
                </w:p>
              </w:tc>
              <w:tc>
                <w:tcPr>
                  <w:tcW w:w="472" w:type="pct"/>
                  <w:tcBorders>
                    <w:tl2br w:val="nil"/>
                    <w:tr2bl w:val="nil"/>
                  </w:tcBorders>
                  <w:noWrap w:val="0"/>
                  <w:vAlign w:val="center"/>
                </w:tcPr>
                <w:p w14:paraId="554ED3B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污染物</w:t>
                  </w:r>
                </w:p>
              </w:tc>
              <w:tc>
                <w:tcPr>
                  <w:tcW w:w="1235" w:type="pct"/>
                  <w:tcBorders>
                    <w:tl2br w:val="nil"/>
                    <w:tr2bl w:val="nil"/>
                  </w:tcBorders>
                  <w:noWrap w:val="0"/>
                  <w:vAlign w:val="center"/>
                </w:tcPr>
                <w:p w14:paraId="2E45BE6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处理方案</w:t>
                  </w:r>
                </w:p>
              </w:tc>
              <w:tc>
                <w:tcPr>
                  <w:tcW w:w="2458" w:type="pct"/>
                  <w:tcBorders>
                    <w:tl2br w:val="nil"/>
                    <w:tr2bl w:val="nil"/>
                  </w:tcBorders>
                  <w:noWrap w:val="0"/>
                  <w:vAlign w:val="center"/>
                </w:tcPr>
                <w:p w14:paraId="0DE1FC3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pacing w:val="0"/>
                      <w:position w:val="0"/>
                      <w:sz w:val="21"/>
                      <w:szCs w:val="21"/>
                    </w:rPr>
                  </w:pPr>
                  <w:r>
                    <w:rPr>
                      <w:rFonts w:hint="default" w:ascii="Times New Roman" w:hAnsi="Times New Roman" w:eastAsia="宋体" w:cs="Times New Roman"/>
                      <w:b/>
                      <w:color w:val="auto"/>
                      <w:spacing w:val="0"/>
                      <w:position w:val="0"/>
                      <w:sz w:val="21"/>
                      <w:szCs w:val="21"/>
                    </w:rPr>
                    <w:t>排放要求</w:t>
                  </w:r>
                </w:p>
              </w:tc>
            </w:tr>
            <w:tr w14:paraId="7FDE8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56" w:type="pct"/>
                  <w:vMerge w:val="restart"/>
                  <w:tcBorders>
                    <w:tl2br w:val="nil"/>
                    <w:tr2bl w:val="nil"/>
                  </w:tcBorders>
                  <w:noWrap w:val="0"/>
                  <w:vAlign w:val="center"/>
                </w:tcPr>
                <w:p w14:paraId="7D12BB4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DSA运行期</w:t>
                  </w:r>
                </w:p>
              </w:tc>
              <w:tc>
                <w:tcPr>
                  <w:tcW w:w="476" w:type="pct"/>
                  <w:tcBorders>
                    <w:tl2br w:val="nil"/>
                    <w:tr2bl w:val="nil"/>
                  </w:tcBorders>
                  <w:noWrap w:val="0"/>
                  <w:vAlign w:val="center"/>
                </w:tcPr>
                <w:p w14:paraId="734CBCD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DSA射线管</w:t>
                  </w:r>
                </w:p>
              </w:tc>
              <w:tc>
                <w:tcPr>
                  <w:tcW w:w="472" w:type="pct"/>
                  <w:tcBorders>
                    <w:tl2br w:val="nil"/>
                    <w:tr2bl w:val="nil"/>
                  </w:tcBorders>
                  <w:noWrap w:val="0"/>
                  <w:vAlign w:val="center"/>
                </w:tcPr>
                <w:p w14:paraId="6E139F0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X射线</w:t>
                  </w:r>
                </w:p>
              </w:tc>
              <w:tc>
                <w:tcPr>
                  <w:tcW w:w="1235" w:type="pct"/>
                  <w:tcBorders>
                    <w:tl2br w:val="nil"/>
                    <w:tr2bl w:val="nil"/>
                  </w:tcBorders>
                  <w:noWrap w:val="0"/>
                  <w:vAlign w:val="center"/>
                </w:tcPr>
                <w:p w14:paraId="257F904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设备自屏蔽，屋顶墙体</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lang w:val="en-US" w:eastAsia="zh-CN"/>
                    </w:rPr>
                    <w:t>顶面</w:t>
                  </w:r>
                  <w:r>
                    <w:rPr>
                      <w:rFonts w:hint="default" w:ascii="Times New Roman" w:hAnsi="Times New Roman" w:eastAsia="宋体" w:cs="Times New Roman"/>
                      <w:color w:val="auto"/>
                      <w:spacing w:val="0"/>
                      <w:position w:val="0"/>
                      <w:sz w:val="21"/>
                      <w:szCs w:val="21"/>
                    </w:rPr>
                    <w:t>屏蔽等屏蔽措施，佩戴个人防护用品及个人剂量检测仪、制定规章制度严格管理等</w:t>
                  </w:r>
                </w:p>
              </w:tc>
              <w:tc>
                <w:tcPr>
                  <w:tcW w:w="2458" w:type="pct"/>
                  <w:tcBorders>
                    <w:tl2br w:val="nil"/>
                    <w:tr2bl w:val="nil"/>
                  </w:tcBorders>
                  <w:noWrap w:val="0"/>
                  <w:vAlign w:val="center"/>
                </w:tcPr>
                <w:p w14:paraId="174BF2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达到《放射诊断放射防护要求》（GBZ130-2020）第6.3.1条的机房的辐射屏蔽防护，周围剂量当量率控制目标值应不大于2.5μSv/h的规定要求；DSA手术室医务人员年有效剂量低于5mSv/a的管理限值；机房附近其他公众年有效剂量低于0.25mSv/a的管理限值</w:t>
                  </w:r>
                </w:p>
              </w:tc>
            </w:tr>
            <w:tr w14:paraId="2CECD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56" w:type="pct"/>
                  <w:vMerge w:val="continue"/>
                  <w:tcBorders>
                    <w:tl2br w:val="nil"/>
                    <w:tr2bl w:val="nil"/>
                  </w:tcBorders>
                  <w:noWrap w:val="0"/>
                  <w:vAlign w:val="center"/>
                </w:tcPr>
                <w:p w14:paraId="3E9B7A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p>
              </w:tc>
              <w:tc>
                <w:tcPr>
                  <w:tcW w:w="476" w:type="pct"/>
                  <w:tcBorders>
                    <w:tl2br w:val="nil"/>
                    <w:tr2bl w:val="nil"/>
                  </w:tcBorders>
                  <w:noWrap w:val="0"/>
                  <w:vAlign w:val="center"/>
                </w:tcPr>
                <w:p w14:paraId="72ACF3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废气</w:t>
                  </w:r>
                </w:p>
              </w:tc>
              <w:tc>
                <w:tcPr>
                  <w:tcW w:w="472" w:type="pct"/>
                  <w:tcBorders>
                    <w:tl2br w:val="nil"/>
                    <w:tr2bl w:val="nil"/>
                  </w:tcBorders>
                  <w:noWrap w:val="0"/>
                  <w:vAlign w:val="center"/>
                </w:tcPr>
                <w:p w14:paraId="7A01C0E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vertAlign w:val="subscript"/>
                    </w:rPr>
                  </w:pPr>
                  <w:r>
                    <w:rPr>
                      <w:rFonts w:hint="default" w:ascii="Times New Roman" w:hAnsi="Times New Roman" w:eastAsia="宋体" w:cs="Times New Roman"/>
                      <w:color w:val="auto"/>
                      <w:spacing w:val="0"/>
                      <w:position w:val="0"/>
                      <w:sz w:val="21"/>
                      <w:szCs w:val="21"/>
                    </w:rPr>
                    <w:t>O</w:t>
                  </w:r>
                  <w:r>
                    <w:rPr>
                      <w:rFonts w:hint="default" w:ascii="Times New Roman" w:hAnsi="Times New Roman" w:eastAsia="宋体" w:cs="Times New Roman"/>
                      <w:color w:val="auto"/>
                      <w:spacing w:val="0"/>
                      <w:position w:val="0"/>
                      <w:sz w:val="21"/>
                      <w:szCs w:val="21"/>
                      <w:vertAlign w:val="subscript"/>
                    </w:rPr>
                    <w:t>3</w:t>
                  </w:r>
                  <w:r>
                    <w:rPr>
                      <w:rFonts w:hint="default" w:ascii="Times New Roman" w:hAnsi="Times New Roman" w:eastAsia="宋体" w:cs="Times New Roman"/>
                      <w:color w:val="auto"/>
                      <w:spacing w:val="0"/>
                      <w:position w:val="0"/>
                      <w:sz w:val="21"/>
                      <w:szCs w:val="21"/>
                    </w:rPr>
                    <w:t>、NO</w:t>
                  </w:r>
                  <w:r>
                    <w:rPr>
                      <w:rFonts w:hint="default" w:ascii="Times New Roman" w:hAnsi="Times New Roman" w:eastAsia="宋体" w:cs="Times New Roman"/>
                      <w:color w:val="auto"/>
                      <w:spacing w:val="0"/>
                      <w:position w:val="0"/>
                      <w:sz w:val="21"/>
                      <w:szCs w:val="21"/>
                      <w:vertAlign w:val="subscript"/>
                    </w:rPr>
                    <w:t>x</w:t>
                  </w:r>
                </w:p>
              </w:tc>
              <w:tc>
                <w:tcPr>
                  <w:tcW w:w="1235" w:type="pct"/>
                  <w:tcBorders>
                    <w:tl2br w:val="nil"/>
                    <w:tr2bl w:val="nil"/>
                  </w:tcBorders>
                  <w:noWrap w:val="0"/>
                  <w:vAlign w:val="center"/>
                </w:tcPr>
                <w:p w14:paraId="09EED3A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通风换气系统</w:t>
                  </w:r>
                </w:p>
              </w:tc>
              <w:tc>
                <w:tcPr>
                  <w:tcW w:w="2458" w:type="pct"/>
                  <w:tcBorders>
                    <w:tl2br w:val="nil"/>
                    <w:tr2bl w:val="nil"/>
                  </w:tcBorders>
                  <w:noWrap w:val="0"/>
                  <w:vAlign w:val="center"/>
                </w:tcPr>
                <w:p w14:paraId="7DE584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微量</w:t>
                  </w:r>
                </w:p>
              </w:tc>
            </w:tr>
            <w:tr w14:paraId="1C292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56" w:type="pct"/>
                  <w:vMerge w:val="continue"/>
                  <w:tcBorders>
                    <w:tl2br w:val="nil"/>
                    <w:tr2bl w:val="nil"/>
                  </w:tcBorders>
                  <w:noWrap w:val="0"/>
                  <w:vAlign w:val="center"/>
                </w:tcPr>
                <w:p w14:paraId="0E9459B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p>
              </w:tc>
              <w:tc>
                <w:tcPr>
                  <w:tcW w:w="476" w:type="pct"/>
                  <w:tcBorders>
                    <w:tl2br w:val="nil"/>
                    <w:tr2bl w:val="nil"/>
                  </w:tcBorders>
                  <w:noWrap w:val="0"/>
                  <w:vAlign w:val="center"/>
                </w:tcPr>
                <w:p w14:paraId="57DF59F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医务人员、病人</w:t>
                  </w:r>
                </w:p>
              </w:tc>
              <w:tc>
                <w:tcPr>
                  <w:tcW w:w="472" w:type="pct"/>
                  <w:tcBorders>
                    <w:tl2br w:val="nil"/>
                    <w:tr2bl w:val="nil"/>
                  </w:tcBorders>
                  <w:noWrap w:val="0"/>
                  <w:vAlign w:val="center"/>
                </w:tcPr>
                <w:p w14:paraId="59DA4E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生活污水</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医疗废水</w:t>
                  </w:r>
                </w:p>
              </w:tc>
              <w:tc>
                <w:tcPr>
                  <w:tcW w:w="1235" w:type="pct"/>
                  <w:tcBorders>
                    <w:tl2br w:val="nil"/>
                    <w:tr2bl w:val="nil"/>
                  </w:tcBorders>
                  <w:noWrap w:val="0"/>
                  <w:vAlign w:val="center"/>
                </w:tcPr>
                <w:p w14:paraId="49F04FD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医院主体工程生活污水处理措施</w:t>
                  </w:r>
                </w:p>
              </w:tc>
              <w:tc>
                <w:tcPr>
                  <w:tcW w:w="2458" w:type="pct"/>
                  <w:tcBorders>
                    <w:tl2br w:val="nil"/>
                    <w:tr2bl w:val="nil"/>
                  </w:tcBorders>
                  <w:noWrap w:val="0"/>
                  <w:vAlign w:val="center"/>
                </w:tcPr>
                <w:p w14:paraId="0FEF8C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依托曲靖市第二人民医院主体已建的污水处理站进行处置，废水经处理达标后排至市政污水管网最终进入曲靖市污水处理厂</w:t>
                  </w:r>
                </w:p>
              </w:tc>
            </w:tr>
            <w:tr w14:paraId="5FDDF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56" w:type="pct"/>
                  <w:vMerge w:val="continue"/>
                  <w:tcBorders>
                    <w:tl2br w:val="nil"/>
                    <w:tr2bl w:val="nil"/>
                  </w:tcBorders>
                  <w:noWrap w:val="0"/>
                  <w:vAlign w:val="center"/>
                </w:tcPr>
                <w:p w14:paraId="07FEAD0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p>
              </w:tc>
              <w:tc>
                <w:tcPr>
                  <w:tcW w:w="476" w:type="pct"/>
                  <w:tcBorders>
                    <w:tl2br w:val="nil"/>
                    <w:tr2bl w:val="nil"/>
                  </w:tcBorders>
                  <w:noWrap w:val="0"/>
                  <w:vAlign w:val="center"/>
                </w:tcPr>
                <w:p w14:paraId="76F6CC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介入</w:t>
                  </w:r>
                </w:p>
                <w:p w14:paraId="624FB48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手术</w:t>
                  </w:r>
                </w:p>
              </w:tc>
              <w:tc>
                <w:tcPr>
                  <w:tcW w:w="472" w:type="pct"/>
                  <w:tcBorders>
                    <w:tl2br w:val="nil"/>
                    <w:tr2bl w:val="nil"/>
                  </w:tcBorders>
                  <w:noWrap w:val="0"/>
                  <w:vAlign w:val="center"/>
                </w:tcPr>
                <w:p w14:paraId="2C4ED5C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医疗</w:t>
                  </w:r>
                </w:p>
                <w:p w14:paraId="141C5DE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废物</w:t>
                  </w:r>
                </w:p>
              </w:tc>
              <w:tc>
                <w:tcPr>
                  <w:tcW w:w="1235" w:type="pct"/>
                  <w:tcBorders>
                    <w:tl2br w:val="nil"/>
                    <w:tr2bl w:val="nil"/>
                  </w:tcBorders>
                  <w:noWrap w:val="0"/>
                  <w:vAlign w:val="center"/>
                </w:tcPr>
                <w:p w14:paraId="2520314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依托医院主体工程医废处理措施</w:t>
                  </w:r>
                </w:p>
              </w:tc>
              <w:tc>
                <w:tcPr>
                  <w:tcW w:w="2458" w:type="pct"/>
                  <w:tcBorders>
                    <w:tl2br w:val="nil"/>
                    <w:tr2bl w:val="nil"/>
                  </w:tcBorders>
                  <w:noWrap w:val="0"/>
                  <w:vAlign w:val="center"/>
                </w:tcPr>
                <w:p w14:paraId="411D909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lang w:val="zh-CN"/>
                    </w:rPr>
                    <w:t>严格按《医疗废物处理处置污染控制标准》（GB 39707-2020）等有关规定执行</w:t>
                  </w:r>
                </w:p>
              </w:tc>
            </w:tr>
            <w:tr w14:paraId="273F2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56" w:type="pct"/>
                  <w:vMerge w:val="continue"/>
                  <w:tcBorders>
                    <w:tl2br w:val="nil"/>
                    <w:tr2bl w:val="nil"/>
                  </w:tcBorders>
                  <w:noWrap w:val="0"/>
                  <w:vAlign w:val="center"/>
                </w:tcPr>
                <w:p w14:paraId="5488585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p>
              </w:tc>
              <w:tc>
                <w:tcPr>
                  <w:tcW w:w="476" w:type="pct"/>
                  <w:tcBorders>
                    <w:tl2br w:val="nil"/>
                    <w:tr2bl w:val="nil"/>
                  </w:tcBorders>
                  <w:noWrap w:val="0"/>
                  <w:vAlign w:val="center"/>
                </w:tcPr>
                <w:p w14:paraId="3277304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普通</w:t>
                  </w:r>
                </w:p>
                <w:p w14:paraId="0CECBF6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办公</w:t>
                  </w:r>
                </w:p>
              </w:tc>
              <w:tc>
                <w:tcPr>
                  <w:tcW w:w="472" w:type="pct"/>
                  <w:tcBorders>
                    <w:tl2br w:val="nil"/>
                    <w:tr2bl w:val="nil"/>
                  </w:tcBorders>
                  <w:noWrap w:val="0"/>
                  <w:vAlign w:val="center"/>
                </w:tcPr>
                <w:p w14:paraId="6683DEC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一般</w:t>
                  </w:r>
                </w:p>
                <w:p w14:paraId="4FFBE5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固废</w:t>
                  </w:r>
                </w:p>
              </w:tc>
              <w:tc>
                <w:tcPr>
                  <w:tcW w:w="1235" w:type="pct"/>
                  <w:tcBorders>
                    <w:tl2br w:val="nil"/>
                    <w:tr2bl w:val="nil"/>
                  </w:tcBorders>
                  <w:noWrap w:val="0"/>
                  <w:vAlign w:val="center"/>
                </w:tcPr>
                <w:p w14:paraId="3DBD8F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依托医院主体工程一般固废处理措施</w:t>
                  </w:r>
                </w:p>
              </w:tc>
              <w:tc>
                <w:tcPr>
                  <w:tcW w:w="2458" w:type="pct"/>
                  <w:tcBorders>
                    <w:tl2br w:val="nil"/>
                    <w:tr2bl w:val="nil"/>
                  </w:tcBorders>
                  <w:noWrap w:val="0"/>
                  <w:vAlign w:val="center"/>
                </w:tcPr>
                <w:p w14:paraId="5A473C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通过垃圾桶收集后运送至</w:t>
                  </w:r>
                  <w:r>
                    <w:rPr>
                      <w:rFonts w:hint="default" w:ascii="Times New Roman" w:hAnsi="Times New Roman" w:eastAsia="宋体" w:cs="Times New Roman"/>
                      <w:color w:val="auto"/>
                      <w:spacing w:val="0"/>
                      <w:position w:val="0"/>
                      <w:sz w:val="21"/>
                      <w:szCs w:val="21"/>
                      <w:lang w:val="en-US" w:eastAsia="zh-CN"/>
                    </w:rPr>
                    <w:t>医院已建设</w:t>
                  </w:r>
                  <w:r>
                    <w:rPr>
                      <w:rFonts w:hint="default" w:ascii="Times New Roman" w:hAnsi="Times New Roman" w:eastAsia="宋体" w:cs="Times New Roman"/>
                      <w:color w:val="auto"/>
                      <w:spacing w:val="0"/>
                      <w:position w:val="0"/>
                      <w:sz w:val="21"/>
                      <w:szCs w:val="21"/>
                    </w:rPr>
                    <w:t>的垃圾</w:t>
                  </w:r>
                  <w:r>
                    <w:rPr>
                      <w:rFonts w:hint="default" w:ascii="Times New Roman" w:hAnsi="Times New Roman" w:eastAsia="宋体" w:cs="Times New Roman"/>
                      <w:color w:val="auto"/>
                      <w:spacing w:val="0"/>
                      <w:position w:val="0"/>
                      <w:sz w:val="21"/>
                      <w:szCs w:val="21"/>
                      <w:lang w:val="en-US" w:eastAsia="zh-CN"/>
                    </w:rPr>
                    <w:t>收集房内</w:t>
                  </w:r>
                  <w:r>
                    <w:rPr>
                      <w:rFonts w:hint="default" w:ascii="Times New Roman" w:hAnsi="Times New Roman" w:eastAsia="宋体" w:cs="Times New Roman"/>
                      <w:color w:val="auto"/>
                      <w:spacing w:val="0"/>
                      <w:position w:val="0"/>
                      <w:sz w:val="21"/>
                      <w:szCs w:val="21"/>
                    </w:rPr>
                    <w:t>暂存，后由</w:t>
                  </w:r>
                  <w:r>
                    <w:rPr>
                      <w:rFonts w:hint="default" w:ascii="Times New Roman" w:hAnsi="Times New Roman" w:eastAsia="宋体" w:cs="Times New Roman"/>
                      <w:color w:val="auto"/>
                      <w:spacing w:val="0"/>
                      <w:position w:val="0"/>
                      <w:sz w:val="21"/>
                      <w:szCs w:val="21"/>
                      <w:lang w:val="en-US" w:eastAsia="zh-CN"/>
                    </w:rPr>
                    <w:t>市政</w:t>
                  </w:r>
                  <w:r>
                    <w:rPr>
                      <w:rFonts w:hint="default" w:ascii="Times New Roman" w:hAnsi="Times New Roman" w:eastAsia="宋体" w:cs="Times New Roman"/>
                      <w:color w:val="auto"/>
                      <w:spacing w:val="0"/>
                      <w:position w:val="0"/>
                      <w:sz w:val="21"/>
                      <w:szCs w:val="21"/>
                    </w:rPr>
                    <w:t>环卫部门统一处理</w:t>
                  </w:r>
                </w:p>
              </w:tc>
            </w:tr>
            <w:tr w14:paraId="17458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56" w:type="pct"/>
                  <w:vMerge w:val="continue"/>
                  <w:tcBorders>
                    <w:tl2br w:val="nil"/>
                    <w:tr2bl w:val="nil"/>
                  </w:tcBorders>
                  <w:noWrap w:val="0"/>
                  <w:vAlign w:val="center"/>
                </w:tcPr>
                <w:p w14:paraId="1976FE3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p>
              </w:tc>
              <w:tc>
                <w:tcPr>
                  <w:tcW w:w="476" w:type="pct"/>
                  <w:tcBorders>
                    <w:tl2br w:val="nil"/>
                    <w:tr2bl w:val="nil"/>
                  </w:tcBorders>
                  <w:noWrap w:val="0"/>
                  <w:vAlign w:val="center"/>
                </w:tcPr>
                <w:p w14:paraId="6C23B2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换气设备</w:t>
                  </w:r>
                </w:p>
              </w:tc>
              <w:tc>
                <w:tcPr>
                  <w:tcW w:w="472" w:type="pct"/>
                  <w:tcBorders>
                    <w:tl2br w:val="nil"/>
                    <w:tr2bl w:val="nil"/>
                  </w:tcBorders>
                  <w:noWrap w:val="0"/>
                  <w:vAlign w:val="center"/>
                </w:tcPr>
                <w:p w14:paraId="0734DBE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噪声</w:t>
                  </w:r>
                </w:p>
              </w:tc>
              <w:tc>
                <w:tcPr>
                  <w:tcW w:w="1235" w:type="pct"/>
                  <w:tcBorders>
                    <w:tl2br w:val="nil"/>
                    <w:tr2bl w:val="nil"/>
                  </w:tcBorders>
                  <w:noWrap w:val="0"/>
                  <w:vAlign w:val="center"/>
                </w:tcPr>
                <w:p w14:paraId="0A3F811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依托设备采用低噪设备、排风管采用减震设计</w:t>
                  </w:r>
                </w:p>
              </w:tc>
              <w:tc>
                <w:tcPr>
                  <w:tcW w:w="2458" w:type="pct"/>
                  <w:tcBorders>
                    <w:tl2br w:val="nil"/>
                    <w:tr2bl w:val="nil"/>
                  </w:tcBorders>
                  <w:noWrap w:val="0"/>
                  <w:vAlign w:val="center"/>
                </w:tcPr>
                <w:p w14:paraId="71AF3AE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昼间＜60dB</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A</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，夜间＜50dB</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A</w:t>
                  </w:r>
                  <w:r>
                    <w:rPr>
                      <w:rFonts w:hint="default" w:ascii="Times New Roman" w:hAnsi="Times New Roman" w:eastAsia="宋体" w:cs="Times New Roman"/>
                      <w:color w:val="auto"/>
                      <w:spacing w:val="0"/>
                      <w:position w:val="0"/>
                      <w:sz w:val="21"/>
                      <w:szCs w:val="21"/>
                      <w:lang w:eastAsia="zh-CN"/>
                    </w:rPr>
                    <w:t>）</w:t>
                  </w:r>
                  <w:r>
                    <w:rPr>
                      <w:rFonts w:hint="default" w:ascii="Times New Roman" w:hAnsi="Times New Roman" w:eastAsia="宋体" w:cs="Times New Roman"/>
                      <w:color w:val="auto"/>
                      <w:spacing w:val="0"/>
                      <w:position w:val="0"/>
                      <w:sz w:val="21"/>
                      <w:szCs w:val="21"/>
                    </w:rPr>
                    <w:t>。</w:t>
                  </w:r>
                </w:p>
              </w:tc>
            </w:tr>
          </w:tbl>
          <w:p w14:paraId="27CDADDE">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highlight w:val="yellow"/>
              </w:rPr>
            </w:pPr>
            <w:r>
              <w:rPr>
                <w:rFonts w:hint="default" w:ascii="Times New Roman" w:hAnsi="Times New Roman" w:eastAsia="宋体" w:cs="Times New Roman"/>
                <w:b/>
                <w:bCs/>
                <w:color w:val="auto"/>
                <w:spacing w:val="0"/>
                <w:position w:val="0"/>
                <w:highlight w:val="none"/>
                <w:lang w:eastAsia="zh-CN"/>
              </w:rPr>
              <w:t>5.</w:t>
            </w:r>
            <w:r>
              <w:rPr>
                <w:rFonts w:hint="default" w:ascii="Times New Roman" w:hAnsi="Times New Roman" w:eastAsia="宋体" w:cs="Times New Roman"/>
                <w:b/>
                <w:bCs/>
                <w:color w:val="auto"/>
                <w:spacing w:val="0"/>
                <w:position w:val="0"/>
                <w:highlight w:val="none"/>
              </w:rPr>
              <w:t>环保措施及投资估算</w:t>
            </w:r>
          </w:p>
          <w:p w14:paraId="5152041A">
            <w:pPr>
              <w:pStyle w:val="37"/>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pacing w:val="0"/>
                <w:position w:val="0"/>
                <w:sz w:val="24"/>
                <w:szCs w:val="18"/>
              </w:rPr>
            </w:pPr>
            <w:r>
              <w:rPr>
                <w:rFonts w:hint="default" w:ascii="Times New Roman" w:hAnsi="Times New Roman" w:eastAsia="宋体" w:cs="Times New Roman"/>
                <w:color w:val="auto"/>
                <w:spacing w:val="0"/>
                <w:position w:val="0"/>
                <w:sz w:val="24"/>
                <w:szCs w:val="24"/>
              </w:rPr>
              <w:t>根据DSA射线装置对保护目标及周围环境的影响，按照国家有关法规和技术规范对项目进行辐射环境影响评价，确认实践的安全与防护，对不利影响及存在的问题提出防治措施，把辐射环境影响减少到合理可达到的尽量低的水平。针对拟采取的安全与防护措施进行分析，指出可能存在的薄弱环节，提出减少工作人员和公众辐射剂量、改善辐射环境质量的对应措施和建议。</w:t>
            </w:r>
            <w:r>
              <w:rPr>
                <w:rFonts w:hint="default" w:ascii="Times New Roman" w:hAnsi="Times New Roman" w:eastAsia="宋体" w:cs="Times New Roman"/>
                <w:color w:val="auto"/>
                <w:spacing w:val="0"/>
                <w:position w:val="0"/>
                <w:sz w:val="24"/>
                <w:szCs w:val="18"/>
              </w:rPr>
              <w:t>本项目环保投资估算费用见表10-</w:t>
            </w:r>
            <w:r>
              <w:rPr>
                <w:rFonts w:hint="default" w:ascii="Times New Roman" w:hAnsi="Times New Roman" w:eastAsia="宋体" w:cs="Times New Roman"/>
                <w:color w:val="auto"/>
                <w:spacing w:val="0"/>
                <w:position w:val="0"/>
                <w:sz w:val="24"/>
                <w:szCs w:val="18"/>
                <w:lang w:val="en-US" w:eastAsia="zh-CN"/>
              </w:rPr>
              <w:t>7</w:t>
            </w:r>
            <w:r>
              <w:rPr>
                <w:rFonts w:hint="default" w:ascii="Times New Roman" w:hAnsi="Times New Roman" w:eastAsia="宋体" w:cs="Times New Roman"/>
                <w:color w:val="auto"/>
                <w:spacing w:val="0"/>
                <w:position w:val="0"/>
                <w:sz w:val="24"/>
                <w:szCs w:val="18"/>
              </w:rPr>
              <w:t>。</w:t>
            </w:r>
          </w:p>
          <w:p w14:paraId="71857ED1">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4"/>
                <w:szCs w:val="18"/>
              </w:rPr>
            </w:pPr>
            <w:r>
              <w:rPr>
                <w:rFonts w:hint="default" w:ascii="Times New Roman" w:hAnsi="Times New Roman" w:eastAsia="宋体" w:cs="Times New Roman"/>
                <w:color w:val="auto"/>
                <w:spacing w:val="0"/>
                <w:position w:val="0"/>
                <w:sz w:val="21"/>
                <w:szCs w:val="21"/>
                <w:highlight w:val="none"/>
              </w:rPr>
              <w:t>表10-</w:t>
            </w:r>
            <w:r>
              <w:rPr>
                <w:rFonts w:hint="default" w:ascii="Times New Roman" w:hAnsi="Times New Roman" w:eastAsia="宋体" w:cs="Times New Roman"/>
                <w:color w:val="auto"/>
                <w:spacing w:val="0"/>
                <w:position w:val="0"/>
                <w:sz w:val="21"/>
                <w:szCs w:val="21"/>
                <w:highlight w:val="none"/>
                <w:lang w:val="en-US" w:eastAsia="zh-CN"/>
              </w:rPr>
              <w:t xml:space="preserve">7 </w:t>
            </w:r>
            <w:r>
              <w:rPr>
                <w:rFonts w:hint="default" w:ascii="Times New Roman" w:hAnsi="Times New Roman" w:eastAsia="宋体" w:cs="Times New Roman"/>
                <w:color w:val="auto"/>
                <w:spacing w:val="0"/>
                <w:position w:val="0"/>
                <w:sz w:val="21"/>
                <w:szCs w:val="21"/>
                <w:highlight w:val="none"/>
              </w:rPr>
              <w:t>本项目环保投资估算费用一览表</w:t>
            </w:r>
          </w:p>
          <w:tbl>
            <w:tblPr>
              <w:tblStyle w:val="20"/>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7"/>
              <w:gridCol w:w="1330"/>
              <w:gridCol w:w="5205"/>
              <w:gridCol w:w="1072"/>
              <w:gridCol w:w="843"/>
            </w:tblGrid>
            <w:tr w14:paraId="42EBD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tcBorders>
                    <w:tl2br w:val="single" w:color="auto" w:sz="4" w:space="0"/>
                  </w:tcBorders>
                  <w:noWrap w:val="0"/>
                  <w:vAlign w:val="center"/>
                </w:tcPr>
                <w:p w14:paraId="418522D2">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bookmarkStart w:id="53" w:name="_Toc13738"/>
                  <w:bookmarkStart w:id="54" w:name="_Toc30136"/>
                </w:p>
              </w:tc>
              <w:tc>
                <w:tcPr>
                  <w:tcW w:w="743" w:type="pct"/>
                  <w:noWrap w:val="0"/>
                  <w:vAlign w:val="center"/>
                </w:tcPr>
                <w:p w14:paraId="30AF31F0">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类别</w:t>
                  </w:r>
                </w:p>
              </w:tc>
              <w:tc>
                <w:tcPr>
                  <w:tcW w:w="2907" w:type="pct"/>
                  <w:noWrap w:val="0"/>
                  <w:vAlign w:val="center"/>
                </w:tcPr>
                <w:p w14:paraId="071E26A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环保设施（措施）</w:t>
                  </w:r>
                </w:p>
              </w:tc>
              <w:tc>
                <w:tcPr>
                  <w:tcW w:w="599" w:type="pct"/>
                  <w:noWrap w:val="0"/>
                  <w:vAlign w:val="center"/>
                </w:tcPr>
                <w:p w14:paraId="679C5B5F">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投资金额（万元）</w:t>
                  </w:r>
                </w:p>
              </w:tc>
              <w:tc>
                <w:tcPr>
                  <w:tcW w:w="471" w:type="pct"/>
                  <w:noWrap w:val="0"/>
                  <w:vAlign w:val="center"/>
                </w:tcPr>
                <w:p w14:paraId="3CA3BAEE">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lang w:val="en-US" w:eastAsia="zh-CN"/>
                    </w:rPr>
                  </w:pPr>
                  <w:r>
                    <w:rPr>
                      <w:rFonts w:hint="default" w:ascii="Times New Roman" w:hAnsi="Times New Roman" w:eastAsia="宋体" w:cs="Times New Roman"/>
                      <w:b/>
                      <w:bCs/>
                      <w:color w:val="auto"/>
                      <w:spacing w:val="0"/>
                      <w:position w:val="0"/>
                      <w:szCs w:val="21"/>
                      <w:lang w:val="en-US" w:eastAsia="zh-CN"/>
                    </w:rPr>
                    <w:t>备注</w:t>
                  </w:r>
                </w:p>
              </w:tc>
            </w:tr>
            <w:tr w14:paraId="12369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restart"/>
                  <w:noWrap w:val="0"/>
                  <w:vAlign w:val="center"/>
                </w:tcPr>
                <w:p w14:paraId="422044D8">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新增</w:t>
                  </w:r>
                </w:p>
              </w:tc>
              <w:tc>
                <w:tcPr>
                  <w:tcW w:w="743" w:type="pct"/>
                  <w:noWrap w:val="0"/>
                  <w:vAlign w:val="center"/>
                </w:tcPr>
                <w:p w14:paraId="22D84713">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电离辐射防护</w:t>
                  </w:r>
                </w:p>
              </w:tc>
              <w:tc>
                <w:tcPr>
                  <w:tcW w:w="2907" w:type="pct"/>
                  <w:tcBorders>
                    <w:bottom w:val="single" w:color="auto" w:sz="4" w:space="0"/>
                  </w:tcBorders>
                  <w:noWrap w:val="0"/>
                  <w:vAlign w:val="center"/>
                </w:tcPr>
                <w:p w14:paraId="4EA70C54">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rPr>
                    <w:t>介入室东墙：留有剪力墙部分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w:t>
                  </w:r>
                  <w:r>
                    <w:rPr>
                      <w:rFonts w:hint="default" w:ascii="Times New Roman" w:hAnsi="Times New Roman" w:eastAsia="宋体" w:cs="Times New Roman"/>
                      <w:color w:val="auto"/>
                      <w:spacing w:val="0"/>
                      <w:position w:val="0"/>
                      <w:sz w:val="21"/>
                      <w:szCs w:val="21"/>
                      <w:highlight w:val="none"/>
                      <w:lang w:val="en-US" w:eastAsia="zh-CN"/>
                    </w:rPr>
                    <w:t>无剪力墙空区</w:t>
                  </w:r>
                  <w:r>
                    <w:rPr>
                      <w:rFonts w:hint="default" w:ascii="Times New Roman" w:hAnsi="Times New Roman" w:eastAsia="宋体" w:cs="Times New Roman"/>
                      <w:color w:val="auto"/>
                      <w:spacing w:val="0"/>
                      <w:position w:val="0"/>
                      <w:sz w:val="21"/>
                      <w:szCs w:val="21"/>
                      <w:highlight w:val="none"/>
                    </w:rPr>
                    <w:t>采用轻钢龙骨骨架，内衬4mmpb防护铅板进行屏蔽防护，折合铅当量4mm</w:t>
                  </w:r>
                  <w:r>
                    <w:rPr>
                      <w:rFonts w:hint="eastAsia" w:cs="Times New Roman"/>
                      <w:color w:val="auto"/>
                      <w:spacing w:val="0"/>
                      <w:position w:val="0"/>
                      <w:sz w:val="21"/>
                      <w:szCs w:val="21"/>
                      <w:highlight w:val="none"/>
                      <w:lang w:eastAsia="zh-CN"/>
                    </w:rPr>
                    <w:t>，</w:t>
                  </w:r>
                  <w:r>
                    <w:rPr>
                      <w:rFonts w:hint="eastAsia" w:cs="Times New Roman"/>
                      <w:color w:val="auto"/>
                      <w:spacing w:val="0"/>
                      <w:position w:val="0"/>
                      <w:sz w:val="21"/>
                      <w:szCs w:val="21"/>
                      <w:highlight w:val="none"/>
                      <w:lang w:val="en-US" w:eastAsia="zh-CN"/>
                    </w:rPr>
                    <w:t>拟建</w:t>
                  </w:r>
                  <w:r>
                    <w:rPr>
                      <w:rFonts w:hint="eastAsia" w:cs="Times New Roman"/>
                      <w:color w:val="auto"/>
                      <w:spacing w:val="0"/>
                      <w:position w:val="0"/>
                      <w:sz w:val="21"/>
                      <w:szCs w:val="21"/>
                      <w:highlight w:val="none"/>
                      <w:lang w:eastAsia="zh-CN"/>
                    </w:rPr>
                    <w:t>；</w:t>
                  </w:r>
                </w:p>
                <w:p w14:paraId="09990BB4">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介入室南墙：留有剪力墙部分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0mm硫酸钡防护涂料进行屏蔽防护，折合铅当量：6.18mm，无剪力墙空区采用轻钢龙骨骨架，内衬4mmpb防护铅板进行屏蔽防护，折合铅当量4mmpb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lang w:eastAsia="zh-CN"/>
                    </w:rPr>
                    <w:t>；</w:t>
                  </w:r>
                </w:p>
                <w:p w14:paraId="4887F664">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介入室西墙：采用轻钢龙骨骨架，内衬4mmpb防护铅板进行屏蔽防护，铅当量约</w:t>
                  </w:r>
                  <w:r>
                    <w:rPr>
                      <w:rFonts w:hint="default" w:ascii="Times New Roman" w:hAnsi="Times New Roman" w:eastAsia="宋体" w:cs="Times New Roman"/>
                      <w:color w:val="auto"/>
                      <w:spacing w:val="0"/>
                      <w:position w:val="0"/>
                      <w:sz w:val="21"/>
                      <w:szCs w:val="21"/>
                      <w:highlight w:val="none"/>
                      <w:lang w:val="en-US" w:eastAsia="zh-CN"/>
                    </w:rPr>
                    <w:t>4</w:t>
                  </w:r>
                  <w:r>
                    <w:rPr>
                      <w:rFonts w:hint="default" w:ascii="Times New Roman" w:hAnsi="Times New Roman" w:eastAsia="宋体" w:cs="Times New Roman"/>
                      <w:color w:val="auto"/>
                      <w:spacing w:val="0"/>
                      <w:position w:val="0"/>
                      <w:sz w:val="21"/>
                      <w:szCs w:val="21"/>
                      <w:highlight w:val="none"/>
                    </w:rPr>
                    <w:t>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lang w:eastAsia="zh-CN"/>
                    </w:rPr>
                    <w:t>；</w:t>
                  </w:r>
                </w:p>
                <w:p w14:paraId="3E7FD5CD">
                  <w:pPr>
                    <w:pStyle w:val="36"/>
                    <w:keepNext w:val="0"/>
                    <w:keepLines w:val="0"/>
                    <w:pageBreakBefore w:val="0"/>
                    <w:widowControl w:val="0"/>
                    <w:suppressLineNumbers w:val="0"/>
                    <w:kinsoku/>
                    <w:wordWrap/>
                    <w:topLinePunct w:val="0"/>
                    <w:autoSpaceDE/>
                    <w:autoSpaceDN/>
                    <w:bidi w:val="0"/>
                    <w:snapToGrid w:val="0"/>
                    <w:spacing w:before="0" w:beforeAutospacing="0" w:after="0" w:afterAutospacing="0"/>
                    <w:ind w:left="0" w:right="0" w:firstLine="420" w:firstLineChars="200"/>
                    <w:rPr>
                      <w:rFonts w:hint="default" w:ascii="Times New Roman" w:hAnsi="Times New Roman" w:eastAsia="宋体" w:cs="Times New Roman"/>
                      <w:color w:val="auto"/>
                      <w:spacing w:val="0"/>
                      <w:position w:val="0"/>
                      <w:sz w:val="21"/>
                      <w:szCs w:val="21"/>
                      <w:highlight w:val="yellow"/>
                      <w:lang w:eastAsia="zh-CN"/>
                    </w:rPr>
                  </w:pPr>
                  <w:r>
                    <w:rPr>
                      <w:rFonts w:hint="default" w:ascii="Times New Roman" w:hAnsi="Times New Roman" w:eastAsia="宋体" w:cs="Times New Roman"/>
                      <w:color w:val="auto"/>
                      <w:spacing w:val="0"/>
                      <w:position w:val="0"/>
                      <w:sz w:val="21"/>
                      <w:szCs w:val="21"/>
                      <w:highlight w:val="none"/>
                    </w:rPr>
                    <w:t>介入室北墙：留有剪力墙部分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0mm硫酸钡防护涂料进行屏蔽防护，折合铅当量：6.18mm，无剪力墙空区采用轻钢龙骨骨架，内衬4mmpb防护铅板进行屏蔽防护，折合铅当量4mmpb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rPr>
                    <w:t>。</w:t>
                  </w:r>
                </w:p>
                <w:p w14:paraId="7BAD9BD3">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lang w:val="en-US" w:eastAsia="zh-CN"/>
                    </w:rPr>
                    <w:t>剪力墙和铅板，铅板和铅板等所有屏蔽搭接缝隙处，铅板搭接外延100mm，墙面拐角及吊顶衔接处采用圆弧形施工，确保错缝搭接。</w:t>
                  </w:r>
                </w:p>
                <w:p w14:paraId="560D626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介入室顶面：顶面采用</w:t>
                  </w:r>
                  <w:r>
                    <w:rPr>
                      <w:rFonts w:hint="default" w:ascii="Times New Roman" w:hAnsi="Times New Roman" w:eastAsia="宋体" w:cs="Times New Roman"/>
                      <w:color w:val="auto"/>
                      <w:spacing w:val="0"/>
                      <w:position w:val="0"/>
                      <w:sz w:val="21"/>
                      <w:szCs w:val="21"/>
                      <w:highlight w:val="none"/>
                      <w:lang w:val="en-US" w:eastAsia="zh-CN"/>
                    </w:rPr>
                    <w:t>120mm钢筋混凝土楼板+4mmpb防护铅板，铅当量约5.44mmPb，拟建</w:t>
                  </w:r>
                  <w:r>
                    <w:rPr>
                      <w:rFonts w:hint="default" w:ascii="Times New Roman" w:hAnsi="Times New Roman" w:eastAsia="宋体" w:cs="Times New Roman"/>
                      <w:color w:val="auto"/>
                      <w:spacing w:val="0"/>
                      <w:position w:val="0"/>
                      <w:sz w:val="21"/>
                      <w:szCs w:val="21"/>
                      <w:highlight w:val="none"/>
                    </w:rPr>
                    <w:t>；</w:t>
                  </w:r>
                </w:p>
                <w:p w14:paraId="2375C34D">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介入室地面：</w:t>
                  </w:r>
                  <w:r>
                    <w:rPr>
                      <w:rFonts w:hint="default" w:ascii="Times New Roman" w:hAnsi="Times New Roman" w:eastAsia="宋体" w:cs="Times New Roman"/>
                      <w:color w:val="auto"/>
                      <w:spacing w:val="0"/>
                      <w:position w:val="0"/>
                      <w:sz w:val="21"/>
                      <w:szCs w:val="21"/>
                      <w:highlight w:val="none"/>
                      <w:lang w:val="en-US" w:eastAsia="zh-CN"/>
                    </w:rPr>
                    <w:t>地面采用120mm钢筋混凝土楼板+40mm硫酸钡涂料+50mm细石混凝土找平层，铅当量约5.16mmPb，拟建</w:t>
                  </w:r>
                  <w:r>
                    <w:rPr>
                      <w:rFonts w:hint="default" w:ascii="Times New Roman" w:hAnsi="Times New Roman" w:eastAsia="宋体" w:cs="Times New Roman"/>
                      <w:color w:val="auto"/>
                      <w:spacing w:val="0"/>
                      <w:position w:val="0"/>
                      <w:sz w:val="21"/>
                      <w:szCs w:val="21"/>
                      <w:highlight w:val="none"/>
                    </w:rPr>
                    <w:t>；</w:t>
                  </w:r>
                </w:p>
                <w:p w14:paraId="62434C45">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介入室防护门：</w:t>
                  </w:r>
                  <w:r>
                    <w:rPr>
                      <w:rFonts w:hint="default" w:ascii="Times New Roman" w:hAnsi="Times New Roman" w:eastAsia="宋体" w:cs="Times New Roman"/>
                      <w:color w:val="auto"/>
                      <w:spacing w:val="0"/>
                      <w:position w:val="0"/>
                      <w:sz w:val="21"/>
                      <w:szCs w:val="21"/>
                      <w:highlight w:val="none"/>
                      <w:lang w:val="en-US" w:eastAsia="zh-CN"/>
                    </w:rPr>
                    <w:t>3道防护门均为内衬4mm铅板的防护门，铅当量约4mmPb，门扇底部采用防护铅胶条处理，密封地面缝隙，机房移动铅门与墙之间重叠30cm（两侧各15cm），高度高于门洞10cm，拟建</w:t>
                  </w:r>
                  <w:r>
                    <w:rPr>
                      <w:rFonts w:hint="default" w:ascii="Times New Roman" w:hAnsi="Times New Roman" w:eastAsia="宋体" w:cs="Times New Roman"/>
                      <w:color w:val="auto"/>
                      <w:spacing w:val="0"/>
                      <w:position w:val="0"/>
                      <w:sz w:val="21"/>
                      <w:szCs w:val="21"/>
                      <w:highlight w:val="none"/>
                    </w:rPr>
                    <w:t>；</w:t>
                  </w:r>
                </w:p>
                <w:p w14:paraId="0A6C4578">
                  <w:pPr>
                    <w:pStyle w:val="36"/>
                    <w:keepNext w:val="0"/>
                    <w:keepLines w:val="0"/>
                    <w:pageBreakBefore w:val="0"/>
                    <w:widowControl w:val="0"/>
                    <w:suppressLineNumbers w:val="0"/>
                    <w:kinsoku/>
                    <w:wordWrap/>
                    <w:topLinePunct w:val="0"/>
                    <w:autoSpaceDE/>
                    <w:autoSpaceDN/>
                    <w:bidi w:val="0"/>
                    <w:spacing w:before="0" w:beforeAutospacing="0" w:after="0" w:afterAutospacing="0"/>
                    <w:ind w:left="0" w:right="0" w:firstLine="420" w:firstLineChars="200"/>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介入室观察窗：</w:t>
                  </w:r>
                  <w:r>
                    <w:rPr>
                      <w:rFonts w:hint="default" w:ascii="Times New Roman" w:hAnsi="Times New Roman" w:eastAsia="宋体" w:cs="Times New Roman"/>
                      <w:color w:val="auto"/>
                      <w:spacing w:val="0"/>
                      <w:position w:val="0"/>
                      <w:sz w:val="21"/>
                      <w:szCs w:val="21"/>
                      <w:lang w:val="en-US" w:eastAsia="zh-CN"/>
                    </w:rPr>
                    <w:t>机房观察窗为铅玻璃，铅玻璃规格1500×900mm，铅当量约4.0mmPb，</w:t>
                  </w:r>
                  <w:r>
                    <w:rPr>
                      <w:rFonts w:hint="default" w:ascii="Times New Roman" w:hAnsi="Times New Roman" w:eastAsia="宋体" w:cs="Times New Roman"/>
                      <w:color w:val="auto"/>
                      <w:spacing w:val="0"/>
                      <w:position w:val="0"/>
                      <w:sz w:val="21"/>
                      <w:szCs w:val="21"/>
                      <w:highlight w:val="none"/>
                    </w:rPr>
                    <w:t>观察窗铅玻璃内嵌到防护墙内并在四周用铅皮进行包裹</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lang w:val="en-US" w:eastAsia="zh-CN"/>
                    </w:rPr>
                    <w:t>拟建</w:t>
                  </w:r>
                  <w:r>
                    <w:rPr>
                      <w:rFonts w:hint="default" w:ascii="Times New Roman" w:hAnsi="Times New Roman" w:eastAsia="宋体" w:cs="Times New Roman"/>
                      <w:color w:val="auto"/>
                      <w:spacing w:val="0"/>
                      <w:position w:val="0"/>
                      <w:sz w:val="21"/>
                      <w:szCs w:val="21"/>
                    </w:rPr>
                    <w:t>；</w:t>
                  </w:r>
                </w:p>
                <w:p w14:paraId="607B3A56">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rPr>
                    <w:t>控制室</w:t>
                  </w:r>
                  <w:r>
                    <w:rPr>
                      <w:rFonts w:hint="default" w:ascii="Times New Roman" w:hAnsi="Times New Roman" w:eastAsia="宋体" w:cs="Times New Roman"/>
                      <w:color w:val="auto"/>
                      <w:spacing w:val="0"/>
                      <w:position w:val="0"/>
                      <w:sz w:val="21"/>
                      <w:szCs w:val="21"/>
                      <w:highlight w:val="none"/>
                      <w:lang w:val="en-US" w:eastAsia="zh-CN"/>
                    </w:rPr>
                    <w:t>铅门、患者通道铅门</w:t>
                  </w:r>
                  <w:r>
                    <w:rPr>
                      <w:rFonts w:hint="default" w:ascii="Times New Roman" w:hAnsi="Times New Roman" w:eastAsia="宋体" w:cs="Times New Roman"/>
                      <w:color w:val="auto"/>
                      <w:spacing w:val="0"/>
                      <w:position w:val="0"/>
                      <w:sz w:val="21"/>
                      <w:szCs w:val="21"/>
                      <w:highlight w:val="none"/>
                    </w:rPr>
                    <w:t>为</w:t>
                  </w:r>
                  <w:r>
                    <w:rPr>
                      <w:rFonts w:hint="default" w:ascii="Times New Roman" w:hAnsi="Times New Roman" w:eastAsia="宋体" w:cs="Times New Roman"/>
                      <w:color w:val="auto"/>
                      <w:spacing w:val="0"/>
                      <w:position w:val="0"/>
                      <w:sz w:val="21"/>
                      <w:szCs w:val="21"/>
                      <w:highlight w:val="none"/>
                      <w:lang w:val="en-US" w:eastAsia="zh-CN"/>
                    </w:rPr>
                    <w:t>平移电动</w:t>
                  </w:r>
                  <w:r>
                    <w:rPr>
                      <w:rFonts w:hint="default" w:ascii="Times New Roman" w:hAnsi="Times New Roman" w:eastAsia="宋体" w:cs="Times New Roman"/>
                      <w:color w:val="auto"/>
                      <w:spacing w:val="0"/>
                      <w:position w:val="0"/>
                      <w:sz w:val="21"/>
                      <w:szCs w:val="21"/>
                      <w:highlight w:val="none"/>
                    </w:rPr>
                    <w:t>铅防护门</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共2套，污物通道铅门为单向平开门，共1套</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各防护门设置闭门装置</w:t>
                  </w:r>
                  <w:r>
                    <w:rPr>
                      <w:rFonts w:hint="default" w:ascii="Times New Roman" w:hAnsi="Times New Roman" w:eastAsia="宋体" w:cs="Times New Roman"/>
                      <w:color w:val="auto"/>
                      <w:spacing w:val="0"/>
                      <w:position w:val="0"/>
                      <w:sz w:val="21"/>
                      <w:szCs w:val="21"/>
                      <w:highlight w:val="none"/>
                      <w:lang w:val="en-US" w:eastAsia="zh-CN"/>
                    </w:rPr>
                    <w:t>及</w:t>
                  </w:r>
                  <w:r>
                    <w:rPr>
                      <w:rFonts w:hint="default" w:ascii="Times New Roman" w:hAnsi="Times New Roman" w:eastAsia="宋体" w:cs="Times New Roman"/>
                      <w:color w:val="auto"/>
                      <w:spacing w:val="0"/>
                      <w:position w:val="0"/>
                      <w:sz w:val="21"/>
                      <w:szCs w:val="21"/>
                      <w:highlight w:val="none"/>
                    </w:rPr>
                    <w:t>防夹装置。</w:t>
                  </w:r>
                  <w:r>
                    <w:rPr>
                      <w:rFonts w:hint="default" w:ascii="Times New Roman" w:hAnsi="Times New Roman" w:eastAsia="宋体" w:cs="Times New Roman"/>
                      <w:color w:val="auto"/>
                      <w:spacing w:val="0"/>
                      <w:position w:val="0"/>
                      <w:sz w:val="21"/>
                      <w:szCs w:val="21"/>
                      <w:highlight w:val="none"/>
                      <w:lang w:val="en-US" w:eastAsia="zh-CN"/>
                    </w:rPr>
                    <w:t>门扇底部采用防护铅胶条处理，密封地面缝隙，机房移动铅门与墙之间重叠30cm（两侧各15cm），高度高于门洞10cm，拟建。</w:t>
                  </w:r>
                </w:p>
                <w:p w14:paraId="038F5EEC">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通排风：机房采用</w:t>
                  </w:r>
                  <w:r>
                    <w:rPr>
                      <w:rFonts w:hint="default" w:ascii="Times New Roman" w:hAnsi="Times New Roman" w:eastAsia="宋体" w:cs="Times New Roman"/>
                      <w:color w:val="auto"/>
                      <w:spacing w:val="0"/>
                      <w:position w:val="0"/>
                      <w:sz w:val="21"/>
                      <w:szCs w:val="21"/>
                      <w:highlight w:val="none"/>
                      <w:lang w:val="en-US" w:eastAsia="zh-CN"/>
                    </w:rPr>
                    <w:t>净化空调</w:t>
                  </w:r>
                  <w:r>
                    <w:rPr>
                      <w:rFonts w:hint="default" w:ascii="Times New Roman" w:hAnsi="Times New Roman" w:eastAsia="宋体" w:cs="Times New Roman"/>
                      <w:color w:val="auto"/>
                      <w:spacing w:val="0"/>
                      <w:position w:val="0"/>
                      <w:sz w:val="21"/>
                      <w:szCs w:val="21"/>
                      <w:highlight w:val="none"/>
                    </w:rPr>
                    <w:t>换气，机组风量12</w:t>
                  </w:r>
                  <w:r>
                    <w:rPr>
                      <w:rFonts w:hint="default" w:ascii="Times New Roman" w:hAnsi="Times New Roman" w:eastAsia="宋体" w:cs="Times New Roman"/>
                      <w:color w:val="auto"/>
                      <w:spacing w:val="0"/>
                      <w:position w:val="0"/>
                      <w:sz w:val="21"/>
                      <w:szCs w:val="21"/>
                      <w:highlight w:val="none"/>
                      <w:lang w:val="en-US" w:eastAsia="zh-CN"/>
                    </w:rPr>
                    <w:t>0</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新风量1400m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回风</w:t>
                  </w:r>
                  <w:r>
                    <w:rPr>
                      <w:rFonts w:hint="default" w:ascii="Times New Roman" w:hAnsi="Times New Roman" w:eastAsia="宋体" w:cs="Times New Roman"/>
                      <w:color w:val="auto"/>
                      <w:spacing w:val="0"/>
                      <w:position w:val="0"/>
                      <w:sz w:val="21"/>
                      <w:szCs w:val="21"/>
                      <w:highlight w:val="none"/>
                      <w:lang w:val="en-US" w:eastAsia="zh-CN"/>
                    </w:rPr>
                    <w:t>风量</w:t>
                  </w:r>
                  <w:r>
                    <w:rPr>
                      <w:rFonts w:hint="default" w:ascii="Times New Roman" w:hAnsi="Times New Roman" w:eastAsia="宋体" w:cs="Times New Roman"/>
                      <w:color w:val="auto"/>
                      <w:spacing w:val="0"/>
                      <w:position w:val="0"/>
                      <w:sz w:val="21"/>
                      <w:szCs w:val="21"/>
                      <w:highlight w:val="none"/>
                    </w:rPr>
                    <w:t>10600m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排</w:t>
                  </w:r>
                  <w:r>
                    <w:rPr>
                      <w:rFonts w:hint="default" w:ascii="Times New Roman" w:hAnsi="Times New Roman" w:eastAsia="宋体" w:cs="Times New Roman"/>
                      <w:color w:val="auto"/>
                      <w:spacing w:val="0"/>
                      <w:position w:val="0"/>
                      <w:sz w:val="21"/>
                      <w:szCs w:val="21"/>
                      <w:highlight w:val="none"/>
                    </w:rPr>
                    <w:t>风量</w:t>
                  </w:r>
                  <w:r>
                    <w:rPr>
                      <w:rFonts w:hint="default" w:ascii="Times New Roman" w:hAnsi="Times New Roman" w:eastAsia="宋体" w:cs="Times New Roman"/>
                      <w:color w:val="auto"/>
                      <w:spacing w:val="0"/>
                      <w:position w:val="0"/>
                      <w:sz w:val="21"/>
                      <w:szCs w:val="21"/>
                      <w:highlight w:val="none"/>
                      <w:lang w:eastAsia="zh-CN"/>
                    </w:rPr>
                    <w:t>为</w:t>
                  </w:r>
                  <w:r>
                    <w:rPr>
                      <w:rFonts w:hint="default" w:ascii="Times New Roman" w:hAnsi="Times New Roman" w:eastAsia="宋体" w:cs="Times New Roman"/>
                      <w:color w:val="auto"/>
                      <w:spacing w:val="0"/>
                      <w:position w:val="0"/>
                      <w:sz w:val="21"/>
                      <w:szCs w:val="21"/>
                      <w:highlight w:val="none"/>
                      <w:lang w:val="en-US" w:eastAsia="zh-CN"/>
                    </w:rPr>
                    <w:t>5</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val="en-US" w:eastAsia="zh-CN"/>
                    </w:rPr>
                    <w:t>设备间</w:t>
                  </w:r>
                  <w:r>
                    <w:rPr>
                      <w:rFonts w:hint="default" w:ascii="Times New Roman" w:hAnsi="Times New Roman" w:eastAsia="宋体" w:cs="Times New Roman"/>
                      <w:color w:val="auto"/>
                      <w:spacing w:val="0"/>
                      <w:position w:val="0"/>
                      <w:sz w:val="21"/>
                      <w:szCs w:val="21"/>
                      <w:highlight w:val="none"/>
                    </w:rPr>
                    <w:t>安装1台</w:t>
                  </w:r>
                  <w:r>
                    <w:rPr>
                      <w:rFonts w:hint="default" w:ascii="Times New Roman" w:hAnsi="Times New Roman" w:eastAsia="宋体" w:cs="Times New Roman"/>
                      <w:color w:val="auto"/>
                      <w:spacing w:val="0"/>
                      <w:position w:val="0"/>
                      <w:sz w:val="21"/>
                      <w:szCs w:val="21"/>
                      <w:highlight w:val="none"/>
                      <w:lang w:val="en-US" w:eastAsia="zh-CN"/>
                    </w:rPr>
                    <w:t>精密空调</w:t>
                  </w:r>
                  <w:r>
                    <w:rPr>
                      <w:rFonts w:hint="default" w:ascii="Times New Roman" w:hAnsi="Times New Roman" w:eastAsia="宋体" w:cs="Times New Roman"/>
                      <w:color w:val="auto"/>
                      <w:spacing w:val="0"/>
                      <w:position w:val="0"/>
                      <w:sz w:val="21"/>
                      <w:szCs w:val="21"/>
                      <w:highlight w:val="none"/>
                    </w:rPr>
                    <w:t>，项目DSA手术室内采用</w:t>
                  </w:r>
                  <w:r>
                    <w:rPr>
                      <w:rFonts w:hint="default" w:ascii="Times New Roman" w:hAnsi="Times New Roman" w:eastAsia="宋体" w:cs="Times New Roman"/>
                      <w:color w:val="auto"/>
                      <w:spacing w:val="0"/>
                      <w:position w:val="0"/>
                      <w:sz w:val="21"/>
                      <w:szCs w:val="21"/>
                      <w:highlight w:val="none"/>
                      <w:lang w:val="en-US" w:eastAsia="zh-CN"/>
                    </w:rPr>
                    <w:t>顶部送风，侧吸</w:t>
                  </w:r>
                  <w:r>
                    <w:rPr>
                      <w:rFonts w:hint="default" w:ascii="Times New Roman" w:hAnsi="Times New Roman" w:eastAsia="宋体" w:cs="Times New Roman"/>
                      <w:color w:val="auto"/>
                      <w:spacing w:val="0"/>
                      <w:position w:val="0"/>
                      <w:sz w:val="21"/>
                      <w:szCs w:val="21"/>
                      <w:highlight w:val="none"/>
                    </w:rPr>
                    <w:t>的</w:t>
                  </w:r>
                  <w:r>
                    <w:rPr>
                      <w:rFonts w:hint="default" w:ascii="Times New Roman" w:hAnsi="Times New Roman" w:eastAsia="宋体" w:cs="Times New Roman"/>
                      <w:color w:val="auto"/>
                      <w:spacing w:val="0"/>
                      <w:position w:val="0"/>
                      <w:sz w:val="21"/>
                      <w:szCs w:val="21"/>
                      <w:highlight w:val="none"/>
                      <w:lang w:val="en-US" w:eastAsia="zh-CN"/>
                    </w:rPr>
                    <w:t>排风</w:t>
                  </w:r>
                  <w:r>
                    <w:rPr>
                      <w:rFonts w:hint="default" w:ascii="Times New Roman" w:hAnsi="Times New Roman" w:eastAsia="宋体" w:cs="Times New Roman"/>
                      <w:color w:val="auto"/>
                      <w:spacing w:val="0"/>
                      <w:position w:val="0"/>
                      <w:sz w:val="21"/>
                      <w:szCs w:val="21"/>
                      <w:highlight w:val="none"/>
                    </w:rPr>
                    <w:t>系统，</w:t>
                  </w:r>
                  <w:r>
                    <w:rPr>
                      <w:rFonts w:hint="default" w:ascii="Times New Roman" w:hAnsi="Times New Roman" w:eastAsia="宋体" w:cs="Times New Roman"/>
                      <w:color w:val="auto"/>
                      <w:spacing w:val="0"/>
                      <w:position w:val="0"/>
                      <w:sz w:val="21"/>
                      <w:szCs w:val="21"/>
                      <w:highlight w:val="none"/>
                      <w:lang w:val="en-US" w:eastAsia="zh-CN"/>
                    </w:rPr>
                    <w:t>排风口离地约30cm，风管从机房北侧屏蔽墙穿出机房，经</w:t>
                  </w:r>
                  <w:r>
                    <w:rPr>
                      <w:rFonts w:hint="eastAsia" w:cs="Times New Roman"/>
                      <w:color w:val="auto"/>
                      <w:spacing w:val="0"/>
                      <w:position w:val="0"/>
                      <w:sz w:val="21"/>
                      <w:szCs w:val="21"/>
                      <w:highlight w:val="none"/>
                      <w:lang w:val="en-US" w:eastAsia="zh-CN"/>
                    </w:rPr>
                    <w:t>机房装饰面板吊顶</w:t>
                  </w:r>
                  <w:r>
                    <w:rPr>
                      <w:rFonts w:hint="default" w:ascii="Times New Roman" w:hAnsi="Times New Roman" w:eastAsia="宋体" w:cs="Times New Roman"/>
                      <w:color w:val="auto"/>
                      <w:spacing w:val="0"/>
                      <w:position w:val="0"/>
                      <w:sz w:val="21"/>
                      <w:szCs w:val="21"/>
                      <w:highlight w:val="none"/>
                      <w:lang w:val="en-US" w:eastAsia="zh-CN"/>
                    </w:rPr>
                    <w:t>区域引至住院楼5楼中央空调机房，经5楼中央空调统一通过住院楼排风竖井排放。室吊顶和墙体均预留风孔，穿防护墙处采用垂直斜向45°穿墙，穿墙部位距地面均为3m，风管用3mm厚铅皮包裹，包裹长度为穿墙前后各30cm，穿墙部分间隙用硫酸钡水泥砂浆封堵填实，风管法兰接口、弯管用3mm厚铅皮搭接，经过铅皮等防护措施处理后，能够有效防止射线直接从风管照射出机房，拟建</w:t>
                  </w:r>
                  <w:r>
                    <w:rPr>
                      <w:rFonts w:hint="default" w:ascii="Times New Roman" w:hAnsi="Times New Roman" w:eastAsia="宋体" w:cs="Times New Roman"/>
                      <w:color w:val="auto"/>
                      <w:spacing w:val="0"/>
                      <w:position w:val="0"/>
                      <w:sz w:val="21"/>
                      <w:szCs w:val="21"/>
                      <w:highlight w:val="none"/>
                    </w:rPr>
                    <w:t>。</w:t>
                  </w:r>
                </w:p>
                <w:p w14:paraId="074AC6F7">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电缆沟：</w:t>
                  </w:r>
                  <w:r>
                    <w:rPr>
                      <w:rFonts w:hint="default" w:ascii="Times New Roman" w:hAnsi="Times New Roman" w:eastAsia="宋体" w:cs="Times New Roman"/>
                      <w:color w:val="auto"/>
                      <w:spacing w:val="0"/>
                      <w:position w:val="0"/>
                      <w:sz w:val="21"/>
                      <w:szCs w:val="21"/>
                      <w:lang w:val="en-US" w:eastAsia="zh-CN"/>
                    </w:rPr>
                    <w:t>本项目电缆共有2条路线，一个是空中桥架（上方悬挂的DSA显示系统的电缆），一个地面的设备基座和检查床电缆。（1）本项目DSA上方悬挂的C型臂的电缆在机房装饰面板吊顶内设置电缆桥架，电缆桥架穿墙后进入控制室，穿防护墙处采用斜穿的方式，电缆桥架穿墙处设置4mm防护铅板，长度完全覆盖电缆穿墙部位，穿墙孔洞两端外延部分再用4mm厚铅皮包裹，长度为穿墙前后各30cm，穿墙部分间隙用硫酸钡水泥砂浆封堵填实。能够有效防止射线泄漏，穿墙部分不会影响墙体整体的防护性能，拟建。（2）本项目DSA设备主体电缆从设备基座和检查床下方分别设置电缆桥架，设备基座下方楼板开洞（直径150mm×2个），检查床下方楼板开洞（直径120mm×1个），后在四楼天花板吊顶内设置电缆桥架（固着于楼板下方300mm处），设备基座和检查床电缆从楼下吊顶内电缆桥架进入设备间（直径300mm×1个），不从控制室和设备间穿墙。采取了以下专项屏蔽防护措施：①在设备基座和检查床下方的两个楼板开洞处，采用厚度不小于4mm的铅板进行覆盖防护。铅板覆盖范围超过孔洞边缘不小于100mm，并与楼板紧密贴合，确保无缝防护。②电缆桥架穿墙防护：对于在楼下吊顶内敷设的电缆桥架，在穿墙处采用直穿方式。在电缆桥架穿墙部位设置厚度不小于4mm的防护铅板，同时对穿墙段电缆桥架弯管处用厚度不小于4mm的铅皮进行包裹，包裹长度为穿墙前后各30cm，实现双重屏蔽，并与楼板开洞处防护铅板紧密贴合，穿墙部分间隙用硫酸钡水泥砂浆封堵填实。能够有效防止射线泄漏，穿墙部分不会影响墙体整体的防护性能</w:t>
                  </w:r>
                  <w:r>
                    <w:rPr>
                      <w:rFonts w:hint="default" w:ascii="Times New Roman" w:hAnsi="Times New Roman" w:eastAsia="宋体" w:cs="Times New Roman"/>
                      <w:color w:val="auto"/>
                      <w:spacing w:val="0"/>
                      <w:position w:val="0"/>
                      <w:sz w:val="21"/>
                      <w:szCs w:val="21"/>
                      <w:highlight w:val="none"/>
                      <w:lang w:val="en-US" w:eastAsia="zh-CN"/>
                    </w:rPr>
                    <w:t>，拟建。</w:t>
                  </w:r>
                </w:p>
                <w:p w14:paraId="014092BE">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操作位：</w:t>
                  </w:r>
                  <w:r>
                    <w:rPr>
                      <w:rFonts w:hint="default" w:ascii="Times New Roman" w:hAnsi="Times New Roman" w:eastAsia="宋体" w:cs="Times New Roman"/>
                      <w:color w:val="auto"/>
                      <w:spacing w:val="0"/>
                      <w:position w:val="0"/>
                      <w:sz w:val="21"/>
                      <w:szCs w:val="21"/>
                      <w:highlight w:val="none"/>
                      <w:lang w:val="en-US" w:eastAsia="zh-CN"/>
                    </w:rPr>
                    <w:t>设置铅悬挂防护屏和床侧铅防护帘各一套，具有0.5mm铅当量，新采购</w:t>
                  </w:r>
                  <w:r>
                    <w:rPr>
                      <w:rFonts w:hint="default" w:ascii="Times New Roman" w:hAnsi="Times New Roman" w:eastAsia="宋体" w:cs="Times New Roman"/>
                      <w:color w:val="auto"/>
                      <w:spacing w:val="0"/>
                      <w:position w:val="0"/>
                      <w:sz w:val="21"/>
                      <w:szCs w:val="21"/>
                      <w:highlight w:val="none"/>
                    </w:rPr>
                    <w:t>。</w:t>
                  </w:r>
                </w:p>
                <w:p w14:paraId="4770CAF5">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机房屏蔽施工时</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机房门与墙、窗与墙之间的重叠处搭接应大于相关缝隙的10倍。</w:t>
                  </w:r>
                </w:p>
                <w:p w14:paraId="14AB68C1">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firstLine="420" w:firstLineChars="200"/>
                    <w:rPr>
                      <w:rFonts w:hint="default" w:ascii="Times New Roman" w:hAnsi="Times New Roman" w:eastAsia="宋体" w:cs="Times New Roman"/>
                      <w:color w:val="auto"/>
                      <w:spacing w:val="0"/>
                      <w:position w:val="0"/>
                      <w:szCs w:val="21"/>
                      <w:lang w:eastAsia="zh-CN"/>
                    </w:rPr>
                  </w:pPr>
                  <w:r>
                    <w:rPr>
                      <w:rFonts w:hint="default" w:ascii="Times New Roman" w:hAnsi="Times New Roman" w:eastAsia="宋体" w:cs="Times New Roman"/>
                      <w:color w:val="auto"/>
                      <w:spacing w:val="0"/>
                      <w:position w:val="0"/>
                      <w:sz w:val="21"/>
                      <w:szCs w:val="21"/>
                      <w:highlight w:val="none"/>
                    </w:rPr>
                    <w:t>项目所用混凝土密度不小于2.35g/cm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，硫酸钡砂浆密度不小于</w:t>
                  </w:r>
                  <w:r>
                    <w:rPr>
                      <w:rFonts w:hint="default" w:ascii="Times New Roman" w:hAnsi="Times New Roman" w:eastAsia="宋体" w:cs="Times New Roman"/>
                      <w:color w:val="auto"/>
                      <w:spacing w:val="0"/>
                      <w:position w:val="0"/>
                      <w:sz w:val="21"/>
                      <w:szCs w:val="21"/>
                      <w:highlight w:val="none"/>
                      <w:lang w:val="en-US" w:eastAsia="zh-CN"/>
                    </w:rPr>
                    <w:t>3.2</w:t>
                  </w:r>
                  <w:r>
                    <w:rPr>
                      <w:rFonts w:hint="default" w:ascii="Times New Roman" w:hAnsi="Times New Roman" w:eastAsia="宋体" w:cs="Times New Roman"/>
                      <w:color w:val="auto"/>
                      <w:spacing w:val="0"/>
                      <w:position w:val="0"/>
                      <w:sz w:val="21"/>
                      <w:szCs w:val="21"/>
                      <w:highlight w:val="none"/>
                    </w:rPr>
                    <w:t>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vertAlign w:val="baseline"/>
                      <w:lang w:eastAsia="zh-CN"/>
                    </w:rPr>
                    <w:t>，</w:t>
                  </w:r>
                  <w:r>
                    <w:rPr>
                      <w:rFonts w:hint="default" w:ascii="Times New Roman" w:hAnsi="Times New Roman" w:eastAsia="宋体" w:cs="Times New Roman"/>
                      <w:color w:val="auto"/>
                      <w:spacing w:val="0"/>
                      <w:position w:val="0"/>
                      <w:sz w:val="21"/>
                      <w:szCs w:val="21"/>
                      <w:highlight w:val="none"/>
                      <w:vertAlign w:val="baseline"/>
                      <w:lang w:val="en-US" w:eastAsia="zh-CN"/>
                    </w:rPr>
                    <w:t>水泥与硫酸钡的配比比例为1:4</w:t>
                  </w:r>
                  <w:r>
                    <w:rPr>
                      <w:rFonts w:hint="default" w:ascii="Times New Roman" w:hAnsi="Times New Roman" w:eastAsia="宋体" w:cs="Times New Roman"/>
                      <w:color w:val="auto"/>
                      <w:spacing w:val="0"/>
                      <w:position w:val="0"/>
                      <w:szCs w:val="21"/>
                      <w:lang w:eastAsia="zh-CN"/>
                    </w:rPr>
                    <w:t>。</w:t>
                  </w:r>
                </w:p>
              </w:tc>
              <w:tc>
                <w:tcPr>
                  <w:tcW w:w="599" w:type="pct"/>
                  <w:tcBorders>
                    <w:bottom w:val="single" w:color="auto" w:sz="4" w:space="0"/>
                  </w:tcBorders>
                  <w:noWrap w:val="0"/>
                  <w:vAlign w:val="center"/>
                </w:tcPr>
                <w:p w14:paraId="36DB8D4C">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50.0</w:t>
                  </w:r>
                </w:p>
              </w:tc>
              <w:tc>
                <w:tcPr>
                  <w:tcW w:w="471" w:type="pct"/>
                  <w:tcBorders>
                    <w:bottom w:val="single" w:color="auto" w:sz="4" w:space="0"/>
                  </w:tcBorders>
                  <w:noWrap w:val="0"/>
                  <w:vAlign w:val="center"/>
                </w:tcPr>
                <w:p w14:paraId="263AE2A7">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新建</w:t>
                  </w:r>
                </w:p>
              </w:tc>
            </w:tr>
            <w:tr w14:paraId="0BF9B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2FCE9BF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2895C38F">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个人防护用品</w:t>
                  </w:r>
                </w:p>
              </w:tc>
              <w:tc>
                <w:tcPr>
                  <w:tcW w:w="2907" w:type="pct"/>
                  <w:noWrap w:val="0"/>
                  <w:vAlign w:val="center"/>
                </w:tcPr>
                <w:p w14:paraId="1B2D434B">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highlight w:val="none"/>
                      <w:lang w:eastAsia="zh-CN"/>
                    </w:rPr>
                  </w:pPr>
                  <w:r>
                    <w:rPr>
                      <w:rFonts w:hint="default" w:ascii="Times New Roman" w:hAnsi="Times New Roman" w:eastAsia="宋体" w:cs="Times New Roman"/>
                      <w:color w:val="auto"/>
                      <w:spacing w:val="0"/>
                      <w:position w:val="0"/>
                      <w:szCs w:val="21"/>
                      <w:highlight w:val="none"/>
                      <w:lang w:eastAsia="zh-CN"/>
                    </w:rPr>
                    <w:t>工作人员铅橡胶颈套</w:t>
                  </w:r>
                  <w:r>
                    <w:rPr>
                      <w:rFonts w:hint="default" w:ascii="Times New Roman" w:hAnsi="Times New Roman" w:eastAsia="宋体" w:cs="Times New Roman"/>
                      <w:color w:val="auto"/>
                      <w:spacing w:val="0"/>
                      <w:position w:val="0"/>
                      <w:szCs w:val="21"/>
                      <w:highlight w:val="none"/>
                    </w:rPr>
                    <w:t>、</w:t>
                  </w:r>
                  <w:r>
                    <w:rPr>
                      <w:rFonts w:hint="default" w:ascii="Times New Roman" w:hAnsi="Times New Roman" w:eastAsia="宋体" w:cs="Times New Roman"/>
                      <w:color w:val="auto"/>
                      <w:spacing w:val="0"/>
                      <w:position w:val="0"/>
                      <w:szCs w:val="21"/>
                      <w:highlight w:val="none"/>
                      <w:lang w:eastAsia="zh-CN"/>
                    </w:rPr>
                    <w:t>铅橡胶帽子</w:t>
                  </w:r>
                  <w:r>
                    <w:rPr>
                      <w:rFonts w:hint="default" w:ascii="Times New Roman" w:hAnsi="Times New Roman" w:eastAsia="宋体" w:cs="Times New Roman"/>
                      <w:color w:val="auto"/>
                      <w:spacing w:val="0"/>
                      <w:position w:val="0"/>
                      <w:szCs w:val="21"/>
                      <w:highlight w:val="none"/>
                    </w:rPr>
                    <w:t>、</w:t>
                  </w:r>
                  <w:r>
                    <w:rPr>
                      <w:rFonts w:hint="default" w:ascii="Times New Roman" w:hAnsi="Times New Roman" w:eastAsia="宋体" w:cs="Times New Roman"/>
                      <w:color w:val="auto"/>
                      <w:spacing w:val="0"/>
                      <w:position w:val="0"/>
                      <w:szCs w:val="21"/>
                      <w:highlight w:val="none"/>
                      <w:lang w:eastAsia="zh-CN"/>
                    </w:rPr>
                    <w:t>铅防护眼镜</w:t>
                  </w:r>
                  <w:r>
                    <w:rPr>
                      <w:rFonts w:hint="default" w:ascii="Times New Roman" w:hAnsi="Times New Roman" w:eastAsia="宋体" w:cs="Times New Roman"/>
                      <w:color w:val="auto"/>
                      <w:spacing w:val="0"/>
                      <w:position w:val="0"/>
                      <w:szCs w:val="21"/>
                      <w:highlight w:val="none"/>
                    </w:rPr>
                    <w:t>、</w:t>
                  </w:r>
                  <w:r>
                    <w:rPr>
                      <w:rFonts w:hint="default" w:ascii="Times New Roman" w:hAnsi="Times New Roman" w:eastAsia="宋体" w:cs="Times New Roman"/>
                      <w:color w:val="auto"/>
                      <w:spacing w:val="0"/>
                      <w:position w:val="0"/>
                      <w:szCs w:val="21"/>
                      <w:highlight w:val="none"/>
                      <w:lang w:eastAsia="zh-CN"/>
                    </w:rPr>
                    <w:t>铅橡胶围裙、</w:t>
                  </w:r>
                  <w:r>
                    <w:rPr>
                      <w:rFonts w:hint="default" w:ascii="Times New Roman" w:hAnsi="Times New Roman" w:eastAsia="宋体" w:cs="Times New Roman"/>
                      <w:color w:val="auto"/>
                      <w:spacing w:val="0"/>
                      <w:position w:val="0"/>
                      <w:szCs w:val="21"/>
                      <w:highlight w:val="none"/>
                      <w:lang w:val="en-US" w:eastAsia="zh-CN"/>
                    </w:rPr>
                    <w:t>介入防护手套等10</w:t>
                  </w:r>
                  <w:r>
                    <w:rPr>
                      <w:rFonts w:hint="default" w:ascii="Times New Roman" w:hAnsi="Times New Roman" w:eastAsia="宋体" w:cs="Times New Roman"/>
                      <w:color w:val="auto"/>
                      <w:spacing w:val="0"/>
                      <w:position w:val="0"/>
                      <w:szCs w:val="21"/>
                      <w:highlight w:val="none"/>
                    </w:rPr>
                    <w:t>套</w:t>
                  </w:r>
                  <w:r>
                    <w:rPr>
                      <w:rFonts w:hint="default" w:ascii="Times New Roman" w:hAnsi="Times New Roman" w:eastAsia="宋体" w:cs="Times New Roman"/>
                      <w:color w:val="auto"/>
                      <w:spacing w:val="0"/>
                      <w:position w:val="0"/>
                      <w:szCs w:val="21"/>
                      <w:highlight w:val="none"/>
                      <w:lang w:eastAsia="zh-CN"/>
                    </w:rPr>
                    <w:t>，受检者围裙或方巾2套、颈套2套，铅橡胶帽子2个</w:t>
                  </w:r>
                </w:p>
              </w:tc>
              <w:tc>
                <w:tcPr>
                  <w:tcW w:w="599" w:type="pct"/>
                  <w:noWrap w:val="0"/>
                  <w:vAlign w:val="center"/>
                </w:tcPr>
                <w:p w14:paraId="10F3D579">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highlight w:val="none"/>
                      <w:lang w:val="en-US" w:eastAsia="zh-CN"/>
                    </w:rPr>
                  </w:pPr>
                  <w:r>
                    <w:rPr>
                      <w:rFonts w:hint="default" w:ascii="Times New Roman" w:hAnsi="Times New Roman" w:eastAsia="宋体" w:cs="Times New Roman"/>
                      <w:color w:val="auto"/>
                      <w:spacing w:val="0"/>
                      <w:position w:val="0"/>
                      <w:szCs w:val="21"/>
                      <w:highlight w:val="none"/>
                      <w:lang w:val="en-US" w:eastAsia="zh-CN"/>
                    </w:rPr>
                    <w:t>10.0</w:t>
                  </w:r>
                </w:p>
              </w:tc>
              <w:tc>
                <w:tcPr>
                  <w:tcW w:w="471" w:type="pct"/>
                  <w:noWrap w:val="0"/>
                  <w:vAlign w:val="center"/>
                </w:tcPr>
                <w:p w14:paraId="26AAA3CF">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highlight w:val="none"/>
                      <w:lang w:val="en-US" w:eastAsia="zh-CN"/>
                    </w:rPr>
                  </w:pPr>
                  <w:r>
                    <w:rPr>
                      <w:rFonts w:hint="default" w:ascii="Times New Roman" w:hAnsi="Times New Roman" w:eastAsia="宋体" w:cs="Times New Roman"/>
                      <w:color w:val="auto"/>
                      <w:spacing w:val="0"/>
                      <w:position w:val="0"/>
                      <w:szCs w:val="21"/>
                      <w:highlight w:val="none"/>
                      <w:lang w:val="en-US" w:eastAsia="zh-CN"/>
                    </w:rPr>
                    <w:t>新购</w:t>
                  </w:r>
                </w:p>
              </w:tc>
            </w:tr>
            <w:tr w14:paraId="5D2C0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2ADBC9E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vMerge w:val="restart"/>
                  <w:noWrap w:val="0"/>
                  <w:vAlign w:val="center"/>
                </w:tcPr>
                <w:p w14:paraId="7AB53BC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监测仪器及个人剂量监测</w:t>
                  </w:r>
                </w:p>
              </w:tc>
              <w:tc>
                <w:tcPr>
                  <w:tcW w:w="2907" w:type="pct"/>
                  <w:noWrap w:val="0"/>
                  <w:vAlign w:val="center"/>
                </w:tcPr>
                <w:p w14:paraId="0B7ACCBF">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highlight w:val="none"/>
                    </w:rPr>
                  </w:pPr>
                  <w:r>
                    <w:rPr>
                      <w:rFonts w:hint="default" w:ascii="Times New Roman" w:hAnsi="Times New Roman" w:eastAsia="宋体" w:cs="Times New Roman"/>
                      <w:color w:val="auto"/>
                      <w:spacing w:val="0"/>
                      <w:position w:val="0"/>
                      <w:szCs w:val="21"/>
                      <w:highlight w:val="none"/>
                    </w:rPr>
                    <w:t>2台个人剂量报警仪、1台</w:t>
                  </w:r>
                  <w:r>
                    <w:rPr>
                      <w:rFonts w:hint="default" w:ascii="Times New Roman" w:hAnsi="Times New Roman" w:eastAsia="宋体" w:cs="Times New Roman"/>
                      <w:color w:val="auto"/>
                      <w:spacing w:val="0"/>
                      <w:position w:val="0"/>
                      <w:szCs w:val="21"/>
                      <w:highlight w:val="none"/>
                      <w:lang w:val="en-US" w:eastAsia="zh-CN"/>
                    </w:rPr>
                    <w:t>移动</w:t>
                  </w:r>
                  <w:r>
                    <w:rPr>
                      <w:rFonts w:hint="default" w:ascii="Times New Roman" w:hAnsi="Times New Roman" w:eastAsia="宋体" w:cs="Times New Roman"/>
                      <w:color w:val="auto"/>
                      <w:spacing w:val="0"/>
                      <w:position w:val="0"/>
                      <w:szCs w:val="21"/>
                      <w:highlight w:val="none"/>
                    </w:rPr>
                    <w:t>X-γ辐射监测仪</w:t>
                  </w:r>
                </w:p>
              </w:tc>
              <w:tc>
                <w:tcPr>
                  <w:tcW w:w="599" w:type="pct"/>
                  <w:noWrap w:val="0"/>
                  <w:vAlign w:val="center"/>
                </w:tcPr>
                <w:p w14:paraId="3BEB6895">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highlight w:val="none"/>
                      <w:lang w:val="en-US" w:eastAsia="zh-CN"/>
                    </w:rPr>
                  </w:pPr>
                  <w:r>
                    <w:rPr>
                      <w:rFonts w:hint="default" w:ascii="Times New Roman" w:hAnsi="Times New Roman" w:eastAsia="宋体" w:cs="Times New Roman"/>
                      <w:color w:val="auto"/>
                      <w:spacing w:val="0"/>
                      <w:position w:val="0"/>
                      <w:szCs w:val="21"/>
                      <w:highlight w:val="none"/>
                      <w:lang w:val="en-US" w:eastAsia="zh-CN"/>
                    </w:rPr>
                    <w:t>2.0</w:t>
                  </w:r>
                </w:p>
              </w:tc>
              <w:tc>
                <w:tcPr>
                  <w:tcW w:w="471" w:type="pct"/>
                  <w:noWrap w:val="0"/>
                  <w:vAlign w:val="center"/>
                </w:tcPr>
                <w:p w14:paraId="15396C59">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highlight w:val="none"/>
                      <w:lang w:val="en-US" w:eastAsia="zh-CN"/>
                    </w:rPr>
                  </w:pPr>
                  <w:r>
                    <w:rPr>
                      <w:rFonts w:hint="default" w:ascii="Times New Roman" w:hAnsi="Times New Roman" w:eastAsia="宋体" w:cs="Times New Roman"/>
                      <w:color w:val="auto"/>
                      <w:spacing w:val="0"/>
                      <w:position w:val="0"/>
                      <w:szCs w:val="21"/>
                      <w:highlight w:val="none"/>
                      <w:lang w:val="en-US" w:eastAsia="zh-CN"/>
                    </w:rPr>
                    <w:t>新购</w:t>
                  </w:r>
                </w:p>
              </w:tc>
            </w:tr>
            <w:tr w14:paraId="49666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23C3F9F2">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vMerge w:val="continue"/>
                  <w:noWrap w:val="0"/>
                  <w:vAlign w:val="center"/>
                </w:tcPr>
                <w:p w14:paraId="2C21699F">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2907" w:type="pct"/>
                  <w:noWrap w:val="0"/>
                  <w:vAlign w:val="center"/>
                </w:tcPr>
                <w:p w14:paraId="38E23F50">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highlight w:val="none"/>
                    </w:rPr>
                  </w:pPr>
                  <w:r>
                    <w:rPr>
                      <w:rFonts w:hint="default" w:ascii="Times New Roman" w:hAnsi="Times New Roman" w:eastAsia="宋体" w:cs="Times New Roman"/>
                      <w:color w:val="auto"/>
                      <w:spacing w:val="0"/>
                      <w:position w:val="0"/>
                      <w:szCs w:val="21"/>
                      <w:highlight w:val="none"/>
                      <w:lang w:val="en-US" w:eastAsia="zh-CN"/>
                    </w:rPr>
                    <w:t>60台个人剂量计</w:t>
                  </w:r>
                </w:p>
              </w:tc>
              <w:tc>
                <w:tcPr>
                  <w:tcW w:w="599" w:type="pct"/>
                  <w:noWrap w:val="0"/>
                  <w:vAlign w:val="center"/>
                </w:tcPr>
                <w:p w14:paraId="480CBD9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highlight w:val="none"/>
                      <w:lang w:val="en-US" w:eastAsia="zh-CN"/>
                    </w:rPr>
                  </w:pPr>
                  <w:r>
                    <w:rPr>
                      <w:rFonts w:hint="default" w:ascii="Times New Roman" w:hAnsi="Times New Roman" w:eastAsia="宋体" w:cs="Times New Roman"/>
                      <w:color w:val="auto"/>
                      <w:spacing w:val="0"/>
                      <w:position w:val="0"/>
                      <w:szCs w:val="21"/>
                      <w:highlight w:val="none"/>
                      <w:lang w:val="en-US" w:eastAsia="zh-CN"/>
                    </w:rPr>
                    <w:t>0</w:t>
                  </w:r>
                </w:p>
              </w:tc>
              <w:tc>
                <w:tcPr>
                  <w:tcW w:w="471" w:type="pct"/>
                  <w:noWrap w:val="0"/>
                  <w:vAlign w:val="center"/>
                </w:tcPr>
                <w:p w14:paraId="3E8891A8">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highlight w:val="none"/>
                      <w:lang w:val="en-US" w:eastAsia="zh-CN"/>
                    </w:rPr>
                  </w:pPr>
                  <w:r>
                    <w:rPr>
                      <w:rFonts w:hint="default" w:ascii="Times New Roman" w:hAnsi="Times New Roman" w:eastAsia="宋体" w:cs="Times New Roman"/>
                      <w:color w:val="auto"/>
                      <w:spacing w:val="0"/>
                      <w:position w:val="0"/>
                      <w:szCs w:val="21"/>
                      <w:highlight w:val="none"/>
                      <w:lang w:val="en-US" w:eastAsia="zh-CN"/>
                    </w:rPr>
                    <w:t>已有</w:t>
                  </w:r>
                </w:p>
              </w:tc>
            </w:tr>
            <w:tr w14:paraId="5EB7A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709AF9DB">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50C8013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警示标志</w:t>
                  </w:r>
                </w:p>
              </w:tc>
              <w:tc>
                <w:tcPr>
                  <w:tcW w:w="2907" w:type="pct"/>
                  <w:noWrap w:val="0"/>
                  <w:vAlign w:val="center"/>
                </w:tcPr>
                <w:p w14:paraId="386FABAE">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lang w:eastAsia="zh-CN"/>
                    </w:rPr>
                  </w:pPr>
                  <w:r>
                    <w:rPr>
                      <w:rFonts w:hint="default" w:ascii="Times New Roman" w:hAnsi="Times New Roman" w:eastAsia="宋体" w:cs="Times New Roman"/>
                      <w:color w:val="auto"/>
                      <w:spacing w:val="0"/>
                      <w:position w:val="0"/>
                      <w:szCs w:val="21"/>
                    </w:rPr>
                    <w:t>电离辐射警告标志</w:t>
                  </w:r>
                  <w:r>
                    <w:rPr>
                      <w:rFonts w:hint="default" w:ascii="Times New Roman" w:hAnsi="Times New Roman" w:eastAsia="宋体" w:cs="Times New Roman"/>
                      <w:color w:val="auto"/>
                      <w:spacing w:val="0"/>
                      <w:position w:val="0"/>
                      <w:szCs w:val="21"/>
                      <w:lang w:val="en-US" w:eastAsia="zh-CN"/>
                    </w:rPr>
                    <w:t>3</w:t>
                  </w:r>
                  <w:r>
                    <w:rPr>
                      <w:rFonts w:hint="default" w:ascii="Times New Roman" w:hAnsi="Times New Roman" w:eastAsia="宋体" w:cs="Times New Roman"/>
                      <w:color w:val="auto"/>
                      <w:spacing w:val="0"/>
                      <w:position w:val="0"/>
                      <w:szCs w:val="21"/>
                    </w:rPr>
                    <w:t>副、工作状态指示灯</w:t>
                  </w:r>
                  <w:r>
                    <w:rPr>
                      <w:rFonts w:hint="default" w:ascii="Times New Roman" w:hAnsi="Times New Roman" w:eastAsia="宋体" w:cs="Times New Roman"/>
                      <w:color w:val="auto"/>
                      <w:spacing w:val="0"/>
                      <w:position w:val="0"/>
                      <w:szCs w:val="21"/>
                      <w:lang w:val="en-US" w:eastAsia="zh-CN"/>
                    </w:rPr>
                    <w:t>3</w:t>
                  </w:r>
                  <w:r>
                    <w:rPr>
                      <w:rFonts w:hint="default" w:ascii="Times New Roman" w:hAnsi="Times New Roman" w:eastAsia="宋体" w:cs="Times New Roman"/>
                      <w:color w:val="auto"/>
                      <w:spacing w:val="0"/>
                      <w:position w:val="0"/>
                      <w:szCs w:val="21"/>
                    </w:rPr>
                    <w:t>套</w:t>
                  </w:r>
                </w:p>
              </w:tc>
              <w:tc>
                <w:tcPr>
                  <w:tcW w:w="599" w:type="pct"/>
                  <w:noWrap w:val="0"/>
                  <w:vAlign w:val="center"/>
                </w:tcPr>
                <w:p w14:paraId="07EA96B6">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1.0</w:t>
                  </w:r>
                </w:p>
              </w:tc>
              <w:tc>
                <w:tcPr>
                  <w:tcW w:w="471" w:type="pct"/>
                  <w:noWrap w:val="0"/>
                  <w:vAlign w:val="center"/>
                </w:tcPr>
                <w:p w14:paraId="404FD741">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新建</w:t>
                  </w:r>
                </w:p>
              </w:tc>
            </w:tr>
            <w:tr w14:paraId="77D3D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2235DBA1">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514A77FA">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安全措施</w:t>
                  </w:r>
                </w:p>
              </w:tc>
              <w:tc>
                <w:tcPr>
                  <w:tcW w:w="2907" w:type="pct"/>
                  <w:noWrap w:val="0"/>
                  <w:vAlign w:val="center"/>
                </w:tcPr>
                <w:p w14:paraId="444CC0F9">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控制室</w:t>
                  </w:r>
                  <w:r>
                    <w:rPr>
                      <w:rFonts w:hint="default" w:ascii="Times New Roman" w:hAnsi="Times New Roman" w:eastAsia="宋体" w:cs="Times New Roman"/>
                      <w:color w:val="auto"/>
                      <w:spacing w:val="0"/>
                      <w:position w:val="0"/>
                      <w:szCs w:val="21"/>
                      <w:lang w:val="en-US" w:eastAsia="zh-CN"/>
                    </w:rPr>
                    <w:t>铅门、患者通道铅门</w:t>
                  </w:r>
                  <w:r>
                    <w:rPr>
                      <w:rFonts w:hint="eastAsia" w:cs="Times New Roman"/>
                      <w:color w:val="auto"/>
                      <w:spacing w:val="0"/>
                      <w:position w:val="0"/>
                      <w:szCs w:val="21"/>
                      <w:lang w:val="en-US" w:eastAsia="zh-CN"/>
                    </w:rPr>
                    <w:t>、污物通道防护门</w:t>
                  </w:r>
                  <w:r>
                    <w:rPr>
                      <w:rFonts w:hint="default" w:ascii="Times New Roman" w:hAnsi="Times New Roman" w:eastAsia="宋体" w:cs="Times New Roman"/>
                      <w:color w:val="auto"/>
                      <w:spacing w:val="0"/>
                      <w:position w:val="0"/>
                      <w:szCs w:val="21"/>
                      <w:lang w:val="en-US" w:eastAsia="zh-CN"/>
                    </w:rPr>
                    <w:t>设置3套</w:t>
                  </w:r>
                  <w:r>
                    <w:rPr>
                      <w:rFonts w:hint="default" w:ascii="Times New Roman" w:hAnsi="Times New Roman" w:eastAsia="宋体" w:cs="Times New Roman"/>
                      <w:color w:val="auto"/>
                      <w:spacing w:val="0"/>
                      <w:position w:val="0"/>
                      <w:szCs w:val="21"/>
                    </w:rPr>
                    <w:t>门灯联锁装置</w:t>
                  </w:r>
                  <w:r>
                    <w:rPr>
                      <w:rFonts w:hint="default" w:ascii="Times New Roman" w:hAnsi="Times New Roman" w:eastAsia="宋体" w:cs="Times New Roman"/>
                      <w:color w:val="auto"/>
                      <w:spacing w:val="0"/>
                      <w:position w:val="0"/>
                      <w:szCs w:val="21"/>
                      <w:lang w:eastAsia="zh-CN"/>
                    </w:rPr>
                    <w:t>、闭门装置</w:t>
                  </w:r>
                  <w:r>
                    <w:rPr>
                      <w:rFonts w:hint="default" w:ascii="Times New Roman" w:hAnsi="Times New Roman" w:eastAsia="宋体" w:cs="Times New Roman"/>
                      <w:color w:val="auto"/>
                      <w:spacing w:val="0"/>
                      <w:position w:val="0"/>
                      <w:szCs w:val="21"/>
                      <w:lang w:val="en-US" w:eastAsia="zh-CN"/>
                    </w:rPr>
                    <w:t>及防夹装置</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本项目控制室操作台、DSA设备侧，控制室铅门侧墙体，拟分别设置1个紧急停止按钮（各按钮与X线系统连接），共3个紧急停止按钮</w:t>
                  </w:r>
                </w:p>
              </w:tc>
              <w:tc>
                <w:tcPr>
                  <w:tcW w:w="599" w:type="pct"/>
                  <w:noWrap w:val="0"/>
                  <w:vAlign w:val="center"/>
                </w:tcPr>
                <w:p w14:paraId="50F00AC7">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3.0</w:t>
                  </w:r>
                </w:p>
              </w:tc>
              <w:tc>
                <w:tcPr>
                  <w:tcW w:w="471" w:type="pct"/>
                  <w:noWrap w:val="0"/>
                  <w:vAlign w:val="center"/>
                </w:tcPr>
                <w:p w14:paraId="191A8678">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新建</w:t>
                  </w:r>
                </w:p>
              </w:tc>
            </w:tr>
            <w:tr w14:paraId="7E844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5724EB05">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6A01CC27">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监控、对讲系统</w:t>
                  </w:r>
                </w:p>
              </w:tc>
              <w:tc>
                <w:tcPr>
                  <w:tcW w:w="2907" w:type="pct"/>
                  <w:noWrap w:val="0"/>
                  <w:vAlign w:val="center"/>
                </w:tcPr>
                <w:p w14:paraId="47ED51B7">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监控、对讲系统1套</w:t>
                  </w:r>
                </w:p>
              </w:tc>
              <w:tc>
                <w:tcPr>
                  <w:tcW w:w="599" w:type="pct"/>
                  <w:noWrap w:val="0"/>
                  <w:vAlign w:val="center"/>
                </w:tcPr>
                <w:p w14:paraId="3999B7E7">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2.0</w:t>
                  </w:r>
                </w:p>
              </w:tc>
              <w:tc>
                <w:tcPr>
                  <w:tcW w:w="471" w:type="pct"/>
                  <w:noWrap w:val="0"/>
                  <w:vAlign w:val="center"/>
                </w:tcPr>
                <w:p w14:paraId="6B6BCD6B">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新建</w:t>
                  </w:r>
                </w:p>
              </w:tc>
            </w:tr>
            <w:tr w14:paraId="640C6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68BBA9D4">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5341C4BC">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Cs/>
                      <w:color w:val="auto"/>
                      <w:spacing w:val="0"/>
                      <w:position w:val="0"/>
                      <w:sz w:val="21"/>
                      <w:szCs w:val="21"/>
                    </w:rPr>
                    <w:t>废气治理</w:t>
                  </w:r>
                </w:p>
              </w:tc>
              <w:tc>
                <w:tcPr>
                  <w:tcW w:w="2907" w:type="pct"/>
                  <w:noWrap w:val="0"/>
                  <w:vAlign w:val="center"/>
                </w:tcPr>
                <w:p w14:paraId="585B4C3C">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highlight w:val="none"/>
                    </w:rPr>
                    <w:t>机房采用</w:t>
                  </w:r>
                  <w:r>
                    <w:rPr>
                      <w:rFonts w:hint="default" w:ascii="Times New Roman" w:hAnsi="Times New Roman" w:eastAsia="宋体" w:cs="Times New Roman"/>
                      <w:color w:val="auto"/>
                      <w:spacing w:val="0"/>
                      <w:position w:val="0"/>
                      <w:sz w:val="21"/>
                      <w:szCs w:val="21"/>
                      <w:highlight w:val="none"/>
                      <w:lang w:val="en-US" w:eastAsia="zh-CN"/>
                    </w:rPr>
                    <w:t>净化空调</w:t>
                  </w:r>
                  <w:r>
                    <w:rPr>
                      <w:rFonts w:hint="default" w:ascii="Times New Roman" w:hAnsi="Times New Roman" w:eastAsia="宋体" w:cs="Times New Roman"/>
                      <w:color w:val="auto"/>
                      <w:spacing w:val="0"/>
                      <w:position w:val="0"/>
                      <w:sz w:val="21"/>
                      <w:szCs w:val="21"/>
                      <w:highlight w:val="none"/>
                    </w:rPr>
                    <w:t>换气，机组风量12</w:t>
                  </w:r>
                  <w:r>
                    <w:rPr>
                      <w:rFonts w:hint="default" w:ascii="Times New Roman" w:hAnsi="Times New Roman" w:eastAsia="宋体" w:cs="Times New Roman"/>
                      <w:color w:val="auto"/>
                      <w:spacing w:val="0"/>
                      <w:position w:val="0"/>
                      <w:sz w:val="21"/>
                      <w:szCs w:val="21"/>
                      <w:highlight w:val="none"/>
                      <w:lang w:val="en-US" w:eastAsia="zh-CN"/>
                    </w:rPr>
                    <w:t>0</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新风量1400m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回风</w:t>
                  </w:r>
                  <w:r>
                    <w:rPr>
                      <w:rFonts w:hint="default" w:ascii="Times New Roman" w:hAnsi="Times New Roman" w:eastAsia="宋体" w:cs="Times New Roman"/>
                      <w:color w:val="auto"/>
                      <w:spacing w:val="0"/>
                      <w:position w:val="0"/>
                      <w:sz w:val="21"/>
                      <w:szCs w:val="21"/>
                      <w:highlight w:val="none"/>
                      <w:lang w:val="en-US" w:eastAsia="zh-CN"/>
                    </w:rPr>
                    <w:t>风量</w:t>
                  </w:r>
                  <w:r>
                    <w:rPr>
                      <w:rFonts w:hint="default" w:ascii="Times New Roman" w:hAnsi="Times New Roman" w:eastAsia="宋体" w:cs="Times New Roman"/>
                      <w:color w:val="auto"/>
                      <w:spacing w:val="0"/>
                      <w:position w:val="0"/>
                      <w:sz w:val="21"/>
                      <w:szCs w:val="21"/>
                      <w:highlight w:val="none"/>
                    </w:rPr>
                    <w:t>10600m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排</w:t>
                  </w:r>
                  <w:r>
                    <w:rPr>
                      <w:rFonts w:hint="default" w:ascii="Times New Roman" w:hAnsi="Times New Roman" w:eastAsia="宋体" w:cs="Times New Roman"/>
                      <w:color w:val="auto"/>
                      <w:spacing w:val="0"/>
                      <w:position w:val="0"/>
                      <w:sz w:val="21"/>
                      <w:szCs w:val="21"/>
                      <w:highlight w:val="none"/>
                    </w:rPr>
                    <w:t>风量</w:t>
                  </w:r>
                  <w:r>
                    <w:rPr>
                      <w:rFonts w:hint="default" w:ascii="Times New Roman" w:hAnsi="Times New Roman" w:eastAsia="宋体" w:cs="Times New Roman"/>
                      <w:color w:val="auto"/>
                      <w:spacing w:val="0"/>
                      <w:position w:val="0"/>
                      <w:sz w:val="21"/>
                      <w:szCs w:val="21"/>
                      <w:highlight w:val="none"/>
                      <w:lang w:eastAsia="zh-CN"/>
                    </w:rPr>
                    <w:t>为</w:t>
                  </w:r>
                  <w:r>
                    <w:rPr>
                      <w:rFonts w:hint="default" w:ascii="Times New Roman" w:hAnsi="Times New Roman" w:eastAsia="宋体" w:cs="Times New Roman"/>
                      <w:color w:val="auto"/>
                      <w:spacing w:val="0"/>
                      <w:position w:val="0"/>
                      <w:sz w:val="21"/>
                      <w:szCs w:val="21"/>
                      <w:highlight w:val="none"/>
                      <w:lang w:val="en-US" w:eastAsia="zh-CN"/>
                    </w:rPr>
                    <w:t>5</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val="en-US" w:eastAsia="zh-CN"/>
                    </w:rPr>
                    <w:t>设备间</w:t>
                  </w:r>
                  <w:r>
                    <w:rPr>
                      <w:rFonts w:hint="default" w:ascii="Times New Roman" w:hAnsi="Times New Roman" w:eastAsia="宋体" w:cs="Times New Roman"/>
                      <w:color w:val="auto"/>
                      <w:spacing w:val="0"/>
                      <w:position w:val="0"/>
                      <w:sz w:val="21"/>
                      <w:szCs w:val="21"/>
                      <w:highlight w:val="none"/>
                    </w:rPr>
                    <w:t>安装1台</w:t>
                  </w:r>
                  <w:r>
                    <w:rPr>
                      <w:rFonts w:hint="default" w:ascii="Times New Roman" w:hAnsi="Times New Roman" w:eastAsia="宋体" w:cs="Times New Roman"/>
                      <w:color w:val="auto"/>
                      <w:spacing w:val="0"/>
                      <w:position w:val="0"/>
                      <w:sz w:val="21"/>
                      <w:szCs w:val="21"/>
                      <w:highlight w:val="none"/>
                      <w:lang w:val="en-US" w:eastAsia="zh-CN"/>
                    </w:rPr>
                    <w:t>精密空调</w:t>
                  </w:r>
                </w:p>
              </w:tc>
              <w:tc>
                <w:tcPr>
                  <w:tcW w:w="599" w:type="pct"/>
                  <w:noWrap w:val="0"/>
                  <w:vAlign w:val="center"/>
                </w:tcPr>
                <w:p w14:paraId="1CEAAB86">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eastAsia" w:cs="Times New Roman"/>
                      <w:color w:val="auto"/>
                      <w:spacing w:val="0"/>
                      <w:position w:val="0"/>
                      <w:sz w:val="21"/>
                      <w:szCs w:val="21"/>
                      <w:lang w:val="en-US" w:eastAsia="zh-CN"/>
                    </w:rPr>
                    <w:t>3</w:t>
                  </w:r>
                  <w:r>
                    <w:rPr>
                      <w:rFonts w:hint="default" w:ascii="Times New Roman" w:hAnsi="Times New Roman" w:eastAsia="宋体" w:cs="Times New Roman"/>
                      <w:color w:val="auto"/>
                      <w:spacing w:val="0"/>
                      <w:position w:val="0"/>
                      <w:sz w:val="21"/>
                      <w:szCs w:val="21"/>
                      <w:lang w:val="en-US" w:eastAsia="zh-CN"/>
                    </w:rPr>
                    <w:t>.0</w:t>
                  </w:r>
                </w:p>
              </w:tc>
              <w:tc>
                <w:tcPr>
                  <w:tcW w:w="471" w:type="pct"/>
                  <w:noWrap w:val="0"/>
                  <w:vAlign w:val="center"/>
                </w:tcPr>
                <w:p w14:paraId="443FD39A">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新建</w:t>
                  </w:r>
                </w:p>
              </w:tc>
            </w:tr>
            <w:tr w14:paraId="5A63E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7EFE349E">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3584C863">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Cs/>
                      <w:color w:val="auto"/>
                      <w:spacing w:val="0"/>
                      <w:position w:val="0"/>
                      <w:sz w:val="21"/>
                      <w:szCs w:val="21"/>
                    </w:rPr>
                    <w:t>噪声治理</w:t>
                  </w:r>
                </w:p>
              </w:tc>
              <w:tc>
                <w:tcPr>
                  <w:tcW w:w="2907" w:type="pct"/>
                  <w:noWrap w:val="0"/>
                  <w:vAlign w:val="center"/>
                </w:tcPr>
                <w:p w14:paraId="27868132">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Cs/>
                      <w:color w:val="auto"/>
                      <w:spacing w:val="0"/>
                      <w:position w:val="0"/>
                      <w:sz w:val="21"/>
                      <w:szCs w:val="21"/>
                    </w:rPr>
                    <w:t>采用低噪设备、</w:t>
                  </w:r>
                  <w:r>
                    <w:rPr>
                      <w:rFonts w:hint="default" w:ascii="Times New Roman" w:hAnsi="Times New Roman" w:eastAsia="宋体" w:cs="Times New Roman"/>
                      <w:color w:val="auto"/>
                      <w:spacing w:val="0"/>
                      <w:position w:val="0"/>
                      <w:sz w:val="21"/>
                      <w:szCs w:val="21"/>
                    </w:rPr>
                    <w:t>换气扇底座、通排风管采用减震设计</w:t>
                  </w:r>
                  <w:r>
                    <w:rPr>
                      <w:rFonts w:hint="default" w:ascii="Times New Roman" w:hAnsi="Times New Roman" w:eastAsia="宋体" w:cs="Times New Roman"/>
                      <w:bCs/>
                      <w:color w:val="auto"/>
                      <w:spacing w:val="0"/>
                      <w:position w:val="0"/>
                      <w:sz w:val="21"/>
                      <w:szCs w:val="21"/>
                    </w:rPr>
                    <w:t>。</w:t>
                  </w:r>
                </w:p>
              </w:tc>
              <w:tc>
                <w:tcPr>
                  <w:tcW w:w="599" w:type="pct"/>
                  <w:noWrap w:val="0"/>
                  <w:vAlign w:val="center"/>
                </w:tcPr>
                <w:p w14:paraId="075F7D9E">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eastAsia" w:cs="Times New Roman"/>
                      <w:bCs/>
                      <w:color w:val="auto"/>
                      <w:spacing w:val="0"/>
                      <w:position w:val="0"/>
                      <w:sz w:val="21"/>
                      <w:szCs w:val="21"/>
                      <w:lang w:val="en-US" w:eastAsia="zh-CN"/>
                    </w:rPr>
                    <w:t>1.0</w:t>
                  </w:r>
                </w:p>
              </w:tc>
              <w:tc>
                <w:tcPr>
                  <w:tcW w:w="471" w:type="pct"/>
                  <w:noWrap w:val="0"/>
                  <w:vAlign w:val="center"/>
                </w:tcPr>
                <w:p w14:paraId="27FA543F">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新建</w:t>
                  </w:r>
                </w:p>
              </w:tc>
            </w:tr>
            <w:tr w14:paraId="17386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4E99B4D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00A6E5B4">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bCs/>
                      <w:color w:val="auto"/>
                      <w:spacing w:val="0"/>
                      <w:position w:val="0"/>
                      <w:sz w:val="21"/>
                      <w:szCs w:val="21"/>
                    </w:rPr>
                    <w:t>废水</w:t>
                  </w:r>
                  <w:r>
                    <w:rPr>
                      <w:rFonts w:hint="default" w:ascii="Times New Roman" w:hAnsi="Times New Roman" w:eastAsia="宋体" w:cs="Times New Roman"/>
                      <w:bCs/>
                      <w:color w:val="auto"/>
                      <w:spacing w:val="0"/>
                      <w:position w:val="0"/>
                      <w:sz w:val="21"/>
                      <w:szCs w:val="21"/>
                      <w:lang w:val="en-US" w:eastAsia="zh-CN"/>
                    </w:rPr>
                    <w:t>治理</w:t>
                  </w:r>
                </w:p>
              </w:tc>
              <w:tc>
                <w:tcPr>
                  <w:tcW w:w="2907" w:type="pct"/>
                  <w:noWrap w:val="0"/>
                  <w:vAlign w:val="center"/>
                </w:tcPr>
                <w:p w14:paraId="51C98724">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bCs/>
                      <w:color w:val="auto"/>
                      <w:spacing w:val="0"/>
                      <w:position w:val="0"/>
                      <w:sz w:val="21"/>
                      <w:szCs w:val="21"/>
                    </w:rPr>
                    <w:t>依托</w:t>
                  </w:r>
                  <w:r>
                    <w:rPr>
                      <w:rFonts w:hint="default" w:ascii="Times New Roman" w:hAnsi="Times New Roman" w:eastAsia="宋体" w:cs="Times New Roman"/>
                      <w:bCs/>
                      <w:color w:val="auto"/>
                      <w:spacing w:val="0"/>
                      <w:position w:val="0"/>
                      <w:sz w:val="21"/>
                      <w:szCs w:val="21"/>
                      <w:lang w:val="en-US" w:eastAsia="zh-CN"/>
                    </w:rPr>
                    <w:t>曲靖市第二人民医院已建</w:t>
                  </w:r>
                  <w:r>
                    <w:rPr>
                      <w:rFonts w:hint="default" w:ascii="Times New Roman" w:hAnsi="Times New Roman" w:eastAsia="宋体" w:cs="Times New Roman"/>
                      <w:bCs/>
                      <w:color w:val="auto"/>
                      <w:spacing w:val="0"/>
                      <w:position w:val="0"/>
                      <w:sz w:val="21"/>
                      <w:szCs w:val="21"/>
                    </w:rPr>
                    <w:t>污水管网</w:t>
                  </w:r>
                  <w:r>
                    <w:rPr>
                      <w:rFonts w:hint="default" w:ascii="Times New Roman" w:hAnsi="Times New Roman" w:eastAsia="宋体" w:cs="Times New Roman"/>
                      <w:bCs/>
                      <w:color w:val="auto"/>
                      <w:spacing w:val="0"/>
                      <w:position w:val="0"/>
                      <w:sz w:val="21"/>
                      <w:szCs w:val="21"/>
                      <w:lang w:val="en-US" w:eastAsia="zh-CN"/>
                    </w:rPr>
                    <w:t>和污水处理站</w:t>
                  </w:r>
                </w:p>
              </w:tc>
              <w:tc>
                <w:tcPr>
                  <w:tcW w:w="599" w:type="pct"/>
                  <w:noWrap w:val="0"/>
                  <w:vAlign w:val="center"/>
                </w:tcPr>
                <w:p w14:paraId="45035E5A">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bCs/>
                      <w:color w:val="auto"/>
                      <w:spacing w:val="0"/>
                      <w:position w:val="0"/>
                      <w:sz w:val="21"/>
                      <w:szCs w:val="21"/>
                    </w:rPr>
                    <w:t>0</w:t>
                  </w:r>
                </w:p>
              </w:tc>
              <w:tc>
                <w:tcPr>
                  <w:tcW w:w="471" w:type="pct"/>
                  <w:noWrap w:val="0"/>
                  <w:vAlign w:val="center"/>
                </w:tcPr>
                <w:p w14:paraId="249545FA">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pacing w:val="0"/>
                      <w:position w:val="0"/>
                      <w:sz w:val="21"/>
                      <w:szCs w:val="21"/>
                    </w:rPr>
                  </w:pPr>
                  <w:r>
                    <w:rPr>
                      <w:rFonts w:hint="default" w:ascii="Times New Roman" w:hAnsi="Times New Roman" w:eastAsia="宋体" w:cs="Times New Roman"/>
                      <w:bCs/>
                      <w:color w:val="auto"/>
                      <w:spacing w:val="0"/>
                      <w:position w:val="0"/>
                      <w:sz w:val="21"/>
                      <w:szCs w:val="21"/>
                      <w:lang w:val="en-US" w:eastAsia="zh-CN"/>
                    </w:rPr>
                    <w:t>依托已建</w:t>
                  </w:r>
                </w:p>
              </w:tc>
            </w:tr>
            <w:tr w14:paraId="6B90C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482E9AD6">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5C141FFE">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pacing w:val="0"/>
                      <w:position w:val="0"/>
                      <w:sz w:val="21"/>
                      <w:szCs w:val="21"/>
                    </w:rPr>
                  </w:pPr>
                  <w:r>
                    <w:rPr>
                      <w:rFonts w:hint="default" w:ascii="Times New Roman" w:hAnsi="Times New Roman" w:eastAsia="宋体" w:cs="Times New Roman"/>
                      <w:bCs/>
                      <w:color w:val="auto"/>
                      <w:spacing w:val="0"/>
                      <w:position w:val="0"/>
                      <w:sz w:val="21"/>
                      <w:szCs w:val="21"/>
                    </w:rPr>
                    <w:t>医废收集</w:t>
                  </w:r>
                </w:p>
              </w:tc>
              <w:tc>
                <w:tcPr>
                  <w:tcW w:w="2907" w:type="pct"/>
                  <w:noWrap w:val="0"/>
                  <w:vAlign w:val="center"/>
                </w:tcPr>
                <w:p w14:paraId="24685BE2">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left"/>
                    <w:rPr>
                      <w:rFonts w:hint="default" w:ascii="Times New Roman" w:hAnsi="Times New Roman" w:eastAsia="宋体" w:cs="Times New Roman"/>
                      <w:bCs/>
                      <w:color w:val="auto"/>
                      <w:spacing w:val="0"/>
                      <w:position w:val="0"/>
                      <w:sz w:val="21"/>
                      <w:szCs w:val="21"/>
                    </w:rPr>
                  </w:pPr>
                  <w:r>
                    <w:rPr>
                      <w:rFonts w:hint="default" w:ascii="Times New Roman" w:hAnsi="Times New Roman" w:eastAsia="宋体" w:cs="Times New Roman"/>
                      <w:bCs/>
                      <w:color w:val="auto"/>
                      <w:spacing w:val="0"/>
                      <w:position w:val="0"/>
                      <w:sz w:val="21"/>
                      <w:szCs w:val="21"/>
                    </w:rPr>
                    <w:t>在介入</w:t>
                  </w:r>
                  <w:r>
                    <w:rPr>
                      <w:rFonts w:hint="default" w:ascii="Times New Roman" w:hAnsi="Times New Roman" w:eastAsia="宋体" w:cs="Times New Roman"/>
                      <w:bCs/>
                      <w:color w:val="auto"/>
                      <w:spacing w:val="0"/>
                      <w:position w:val="0"/>
                      <w:sz w:val="21"/>
                      <w:szCs w:val="21"/>
                      <w:lang w:eastAsia="zh-CN"/>
                    </w:rPr>
                    <w:t>室</w:t>
                  </w:r>
                  <w:r>
                    <w:rPr>
                      <w:rFonts w:hint="default" w:ascii="Times New Roman" w:hAnsi="Times New Roman" w:eastAsia="宋体" w:cs="Times New Roman"/>
                      <w:bCs/>
                      <w:color w:val="auto"/>
                      <w:spacing w:val="0"/>
                      <w:position w:val="0"/>
                      <w:sz w:val="21"/>
                      <w:szCs w:val="21"/>
                    </w:rPr>
                    <w:t>设置2个医疗废物收集桶收集医疗废物</w:t>
                  </w:r>
                </w:p>
              </w:tc>
              <w:tc>
                <w:tcPr>
                  <w:tcW w:w="599" w:type="pct"/>
                  <w:noWrap w:val="0"/>
                  <w:vAlign w:val="center"/>
                </w:tcPr>
                <w:p w14:paraId="70AB6651">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pacing w:val="0"/>
                      <w:position w:val="0"/>
                      <w:sz w:val="21"/>
                      <w:szCs w:val="21"/>
                      <w:lang w:eastAsia="zh-CN"/>
                    </w:rPr>
                  </w:pPr>
                  <w:r>
                    <w:rPr>
                      <w:rFonts w:hint="default" w:ascii="Times New Roman" w:hAnsi="Times New Roman" w:eastAsia="宋体" w:cs="Times New Roman"/>
                      <w:bCs/>
                      <w:color w:val="auto"/>
                      <w:spacing w:val="0"/>
                      <w:position w:val="0"/>
                      <w:sz w:val="21"/>
                      <w:szCs w:val="21"/>
                    </w:rPr>
                    <w:t>0.</w:t>
                  </w:r>
                  <w:r>
                    <w:rPr>
                      <w:rFonts w:hint="default" w:ascii="Times New Roman" w:hAnsi="Times New Roman" w:eastAsia="宋体" w:cs="Times New Roman"/>
                      <w:bCs/>
                      <w:color w:val="auto"/>
                      <w:spacing w:val="0"/>
                      <w:position w:val="0"/>
                      <w:sz w:val="21"/>
                      <w:szCs w:val="21"/>
                      <w:lang w:val="en-US" w:eastAsia="zh-CN"/>
                    </w:rPr>
                    <w:t>2</w:t>
                  </w:r>
                </w:p>
              </w:tc>
              <w:tc>
                <w:tcPr>
                  <w:tcW w:w="471" w:type="pct"/>
                  <w:noWrap w:val="0"/>
                  <w:vAlign w:val="center"/>
                </w:tcPr>
                <w:p w14:paraId="0124F6EE">
                  <w:pPr>
                    <w:keepNext w:val="0"/>
                    <w:keepLines w:val="0"/>
                    <w:pageBreakBefore w:val="0"/>
                    <w:widowControl w:val="0"/>
                    <w:suppressLineNumbers w:val="0"/>
                    <w:wordWrap/>
                    <w:topLinePunct w:val="0"/>
                    <w:autoSpaceDE/>
                    <w:autoSpaceDN/>
                    <w:bidi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spacing w:val="0"/>
                      <w:position w:val="0"/>
                      <w:sz w:val="21"/>
                      <w:szCs w:val="21"/>
                    </w:rPr>
                  </w:pPr>
                  <w:r>
                    <w:rPr>
                      <w:rFonts w:hint="default" w:ascii="Times New Roman" w:hAnsi="Times New Roman" w:eastAsia="宋体" w:cs="Times New Roman"/>
                      <w:bCs/>
                      <w:color w:val="auto"/>
                      <w:spacing w:val="0"/>
                      <w:position w:val="0"/>
                      <w:sz w:val="21"/>
                      <w:szCs w:val="21"/>
                      <w:lang w:val="en-US" w:eastAsia="zh-CN"/>
                    </w:rPr>
                    <w:t>增加</w:t>
                  </w:r>
                </w:p>
              </w:tc>
            </w:tr>
            <w:tr w14:paraId="658CF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78" w:type="pct"/>
                  <w:vMerge w:val="continue"/>
                  <w:noWrap w:val="0"/>
                  <w:vAlign w:val="center"/>
                </w:tcPr>
                <w:p w14:paraId="68A95344">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p>
              </w:tc>
              <w:tc>
                <w:tcPr>
                  <w:tcW w:w="743" w:type="pct"/>
                  <w:noWrap w:val="0"/>
                  <w:vAlign w:val="center"/>
                </w:tcPr>
                <w:p w14:paraId="235B0E19">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其他</w:t>
                  </w:r>
                </w:p>
              </w:tc>
              <w:tc>
                <w:tcPr>
                  <w:tcW w:w="2907" w:type="pct"/>
                  <w:noWrap w:val="0"/>
                  <w:vAlign w:val="center"/>
                </w:tcPr>
                <w:p w14:paraId="3FF682BF">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辐射安全规章制度上墙，控制区警示标志，监督区标牌</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相关环保手续</w:t>
                  </w:r>
                  <w:r>
                    <w:rPr>
                      <w:rFonts w:hint="default" w:ascii="Times New Roman" w:hAnsi="Times New Roman" w:eastAsia="宋体" w:cs="Times New Roman"/>
                      <w:color w:val="auto"/>
                      <w:spacing w:val="0"/>
                      <w:position w:val="0"/>
                      <w:szCs w:val="21"/>
                    </w:rPr>
                    <w:t>。</w:t>
                  </w:r>
                </w:p>
              </w:tc>
              <w:tc>
                <w:tcPr>
                  <w:tcW w:w="599" w:type="pct"/>
                  <w:noWrap w:val="0"/>
                  <w:vAlign w:val="center"/>
                </w:tcPr>
                <w:p w14:paraId="67787476">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1.0</w:t>
                  </w:r>
                </w:p>
              </w:tc>
              <w:tc>
                <w:tcPr>
                  <w:tcW w:w="471" w:type="pct"/>
                  <w:noWrap w:val="0"/>
                  <w:vAlign w:val="center"/>
                </w:tcPr>
                <w:p w14:paraId="0133D735">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新建</w:t>
                  </w:r>
                </w:p>
              </w:tc>
            </w:tr>
            <w:tr w14:paraId="66A76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9" w:type="pct"/>
                  <w:gridSpan w:val="3"/>
                  <w:noWrap w:val="0"/>
                  <w:vAlign w:val="center"/>
                </w:tcPr>
                <w:p w14:paraId="0301A654">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合计</w:t>
                  </w:r>
                </w:p>
              </w:tc>
              <w:tc>
                <w:tcPr>
                  <w:tcW w:w="599" w:type="pct"/>
                  <w:noWrap w:val="0"/>
                  <w:vAlign w:val="center"/>
                </w:tcPr>
                <w:p w14:paraId="15FD6CCC">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73.2</w:t>
                  </w:r>
                </w:p>
              </w:tc>
              <w:tc>
                <w:tcPr>
                  <w:tcW w:w="471" w:type="pct"/>
                  <w:noWrap w:val="0"/>
                  <w:vAlign w:val="center"/>
                </w:tcPr>
                <w:p w14:paraId="07E6A1DD">
                  <w:pPr>
                    <w:pStyle w:val="36"/>
                    <w:keepNext w:val="0"/>
                    <w:keepLines w:val="0"/>
                    <w:pageBreakBefore w:val="0"/>
                    <w:widowControl w:val="0"/>
                    <w:suppressLineNumbers w:val="0"/>
                    <w:wordWrap/>
                    <w:topLinePunct w:val="0"/>
                    <w:autoSpaceDE/>
                    <w:autoSpaceDN/>
                    <w:bidi w:val="0"/>
                    <w:snapToGrid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p>
              </w:tc>
            </w:tr>
            <w:bookmarkEnd w:id="53"/>
            <w:bookmarkEnd w:id="54"/>
          </w:tbl>
          <w:p w14:paraId="6377B44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本项目的总投资约为</w:t>
            </w:r>
            <w:r>
              <w:rPr>
                <w:rFonts w:hint="default" w:ascii="Times New Roman" w:hAnsi="Times New Roman" w:eastAsia="宋体" w:cs="Times New Roman"/>
                <w:color w:val="auto"/>
                <w:spacing w:val="0"/>
                <w:position w:val="0"/>
                <w:lang w:val="en-US" w:eastAsia="zh-CN"/>
              </w:rPr>
              <w:t>1237.8万元</w:t>
            </w:r>
            <w:r>
              <w:rPr>
                <w:rFonts w:hint="default" w:ascii="Times New Roman" w:hAnsi="Times New Roman" w:eastAsia="宋体" w:cs="Times New Roman"/>
                <w:color w:val="auto"/>
                <w:spacing w:val="0"/>
                <w:position w:val="0"/>
              </w:rPr>
              <w:t>，其中环保投资约为</w:t>
            </w:r>
            <w:r>
              <w:rPr>
                <w:rFonts w:hint="default" w:ascii="Times New Roman" w:hAnsi="Times New Roman" w:eastAsia="宋体" w:cs="Times New Roman"/>
                <w:color w:val="auto"/>
                <w:spacing w:val="0"/>
                <w:position w:val="0"/>
                <w:lang w:val="en-US" w:eastAsia="zh-CN"/>
              </w:rPr>
              <w:t>73.2</w:t>
            </w:r>
            <w:r>
              <w:rPr>
                <w:rFonts w:hint="default" w:ascii="Times New Roman" w:hAnsi="Times New Roman" w:eastAsia="宋体" w:cs="Times New Roman"/>
                <w:color w:val="auto"/>
                <w:spacing w:val="0"/>
                <w:position w:val="0"/>
              </w:rPr>
              <w:t>万元，占项目总投资额的</w:t>
            </w:r>
            <w:r>
              <w:rPr>
                <w:rFonts w:hint="default" w:ascii="Times New Roman" w:hAnsi="Times New Roman" w:eastAsia="宋体" w:cs="Times New Roman"/>
                <w:color w:val="auto"/>
                <w:spacing w:val="0"/>
                <w:position w:val="0"/>
                <w:lang w:val="en-US" w:eastAsia="zh-CN"/>
              </w:rPr>
              <w:t>5.91%</w:t>
            </w:r>
            <w:r>
              <w:rPr>
                <w:rFonts w:hint="default" w:ascii="Times New Roman" w:hAnsi="Times New Roman" w:eastAsia="宋体" w:cs="Times New Roman"/>
                <w:color w:val="auto"/>
                <w:spacing w:val="0"/>
                <w:position w:val="0"/>
              </w:rPr>
              <w:t>。</w:t>
            </w:r>
          </w:p>
        </w:tc>
      </w:tr>
    </w:tbl>
    <w:p w14:paraId="1AEE47B8">
      <w:pPr>
        <w:rPr>
          <w:rFonts w:hint="default" w:ascii="Times New Roman" w:hAnsi="Times New Roman" w:eastAsia="宋体" w:cs="Times New Roman"/>
          <w:color w:val="auto"/>
          <w:spacing w:val="0"/>
          <w:position w:val="0"/>
        </w:rPr>
      </w:pPr>
      <w:bookmarkStart w:id="55" w:name="_Toc8877"/>
      <w:r>
        <w:rPr>
          <w:rFonts w:hint="default" w:ascii="Times New Roman" w:hAnsi="Times New Roman" w:eastAsia="宋体" w:cs="Times New Roman"/>
          <w:color w:val="auto"/>
          <w:spacing w:val="0"/>
          <w:position w:val="0"/>
        </w:rPr>
        <w:br w:type="page"/>
      </w:r>
    </w:p>
    <w:p w14:paraId="3F036A31">
      <w:pPr>
        <w:pStyle w:val="2"/>
        <w:rPr>
          <w:rFonts w:hint="default" w:ascii="Times New Roman" w:hAnsi="Times New Roman" w:eastAsia="宋体" w:cs="Times New Roman"/>
          <w:color w:val="auto"/>
          <w:spacing w:val="0"/>
          <w:position w:val="0"/>
        </w:rPr>
      </w:pPr>
      <w:bookmarkStart w:id="56" w:name="_Toc20346"/>
      <w:r>
        <w:rPr>
          <w:rFonts w:hint="default" w:ascii="Times New Roman" w:hAnsi="Times New Roman" w:eastAsia="宋体" w:cs="Times New Roman"/>
          <w:color w:val="auto"/>
          <w:spacing w:val="0"/>
          <w:position w:val="0"/>
        </w:rPr>
        <w:t>表11环境影响分析</w:t>
      </w:r>
      <w:bookmarkEnd w:id="55"/>
      <w:bookmarkEnd w:id="56"/>
    </w:p>
    <w:tbl>
      <w:tblPr>
        <w:tblStyle w:val="20"/>
        <w:tblW w:w="9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3"/>
      </w:tblGrid>
      <w:tr w14:paraId="6EC3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3" w:type="dxa"/>
            <w:noWrap w:val="0"/>
            <w:vAlign w:val="top"/>
          </w:tcPr>
          <w:p w14:paraId="4C015AEB">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11.1建设阶段对环境的影响</w:t>
            </w:r>
          </w:p>
          <w:p w14:paraId="1479367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本次项目拟</w:t>
            </w:r>
            <w:r>
              <w:rPr>
                <w:rFonts w:hint="default" w:ascii="Times New Roman" w:hAnsi="Times New Roman" w:eastAsia="宋体" w:cs="Times New Roman"/>
                <w:color w:val="auto"/>
                <w:spacing w:val="0"/>
                <w:position w:val="0"/>
                <w:lang w:val="en-US" w:eastAsia="zh-CN"/>
              </w:rPr>
              <w:t>将住院楼5楼的第14手术室和第15手术室改造为DSA介入室和DSA辅助用房，本项目</w:t>
            </w:r>
            <w:r>
              <w:rPr>
                <w:rFonts w:hint="default" w:ascii="Times New Roman" w:hAnsi="Times New Roman" w:eastAsia="宋体" w:cs="Times New Roman"/>
                <w:color w:val="auto"/>
                <w:spacing w:val="0"/>
                <w:position w:val="0"/>
              </w:rPr>
              <w:t>不新增用地，项目工程量小，施工时间较短。主要的施工是墙体的</w:t>
            </w:r>
            <w:r>
              <w:rPr>
                <w:rFonts w:hint="eastAsia" w:cs="Times New Roman"/>
                <w:color w:val="auto"/>
                <w:spacing w:val="0"/>
                <w:position w:val="0"/>
                <w:lang w:val="en-US" w:eastAsia="zh-CN"/>
              </w:rPr>
              <w:t>拆除和骨架搭建</w:t>
            </w:r>
            <w:r>
              <w:rPr>
                <w:rFonts w:hint="default" w:ascii="Times New Roman" w:hAnsi="Times New Roman" w:eastAsia="宋体" w:cs="Times New Roman"/>
                <w:color w:val="auto"/>
                <w:spacing w:val="0"/>
                <w:position w:val="0"/>
              </w:rPr>
              <w:t>，再进行辐射屏蔽防护安装，内部装修，设备调试运行等，项目工程量小，施工时间较短。在施工过程中有施工噪声、建筑粉尘、建筑垃圾等产生。</w:t>
            </w:r>
          </w:p>
          <w:p w14:paraId="1FD5BBE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（1）大气环境影响分析</w:t>
            </w:r>
          </w:p>
          <w:p w14:paraId="08461C5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施工期产生的废气主要为施工时产生的扬尘及装修废气等。在装修施工阶段会有一定施工扬尘产生，可加强通风透气，降低扬尘的影响。装修过程中产生的挥发性气体等，通过加强通风或室内空气净化措施严格控制室内环境，可将装修废气的影响降至最低，装修废气不会对周围环境产生大的影响。</w:t>
            </w:r>
          </w:p>
          <w:p w14:paraId="68569E5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（2）声环境影响分析</w:t>
            </w:r>
          </w:p>
          <w:p w14:paraId="077E0C5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机房在装修阶段产生不同程度的噪声，对周围环境造成一定的影响。在施工时严格执行</w:t>
            </w:r>
            <w:r>
              <w:rPr>
                <w:rFonts w:hint="eastAsia" w:cs="Times New Roman"/>
                <w:color w:val="auto"/>
                <w:spacing w:val="0"/>
                <w:position w:val="0"/>
                <w:lang w:eastAsia="zh-CN"/>
              </w:rPr>
              <w:t>《建筑施工噪声排放标准》</w:t>
            </w:r>
            <w:r>
              <w:rPr>
                <w:rFonts w:hint="default" w:ascii="Times New Roman" w:hAnsi="Times New Roman" w:eastAsia="宋体" w:cs="Times New Roman"/>
                <w:color w:val="auto"/>
                <w:spacing w:val="0"/>
                <w:position w:val="0"/>
                <w:lang w:eastAsia="zh-CN"/>
              </w:rPr>
              <w:t>（</w:t>
            </w:r>
            <w:r>
              <w:rPr>
                <w:rFonts w:hint="eastAsia" w:cs="Times New Roman"/>
                <w:color w:val="auto"/>
                <w:spacing w:val="0"/>
                <w:position w:val="0"/>
                <w:lang w:eastAsia="zh-CN"/>
              </w:rPr>
              <w:t>GB 12523-2025</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的标准</w:t>
            </w:r>
            <w:r>
              <w:rPr>
                <w:rFonts w:hint="eastAsia" w:cs="Times New Roman"/>
                <w:color w:val="auto"/>
                <w:spacing w:val="0"/>
                <w:kern w:val="0"/>
                <w:position w:val="0"/>
                <w:sz w:val="24"/>
                <w:szCs w:val="24"/>
                <w:lang w:val="en-US" w:eastAsia="zh-CN" w:bidi="ar"/>
              </w:rPr>
              <w:t>，即建筑施工过程中场界噪声等效声级应满足：</w:t>
            </w:r>
            <w:r>
              <w:rPr>
                <w:rFonts w:hint="default" w:ascii="Times New Roman" w:hAnsi="Times New Roman" w:eastAsia="宋体" w:cs="Times New Roman"/>
                <w:color w:val="auto"/>
                <w:spacing w:val="0"/>
                <w:kern w:val="0"/>
                <w:position w:val="0"/>
                <w:sz w:val="24"/>
                <w:szCs w:val="24"/>
                <w:lang w:val="en-US" w:eastAsia="zh-CN" w:bidi="ar"/>
              </w:rPr>
              <w:t>昼间 ≤70dB(A)，夜间≤55dB(A)</w:t>
            </w:r>
            <w:r>
              <w:rPr>
                <w:rFonts w:hint="default" w:ascii="Times New Roman" w:hAnsi="Times New Roman" w:eastAsia="宋体" w:cs="Times New Roman"/>
                <w:color w:val="auto"/>
                <w:spacing w:val="0"/>
                <w:position w:val="0"/>
              </w:rPr>
              <w:t>。本项目施工方式主要为人工施工，切割机等设备的使用较少，同时项目施工噪声影响是暂时的，将随着施工期的结束而消失。因此，本项目施工对周围声环境影响时间和强度均较小，但必须重视对施工期噪声的控制，特别是应减小对其他工作单元的不利影响。针对本项目而言，施工期噪声污染防治措施具体有：</w:t>
            </w:r>
          </w:p>
          <w:p w14:paraId="0A1BB97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严格施工时间管控</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高噪声作业（切割、凿除、钻孔、破碎）禁止在手术开展高峰时段实施；优先安排在日间非手术窗口；</w:t>
            </w:r>
            <w:r>
              <w:rPr>
                <w:rFonts w:hint="default" w:ascii="Times New Roman" w:hAnsi="Times New Roman" w:eastAsia="宋体" w:cs="Times New Roman"/>
                <w:color w:val="auto"/>
                <w:spacing w:val="0"/>
                <w:position w:val="0"/>
                <w:lang w:val="en-US" w:eastAsia="zh-CN"/>
              </w:rPr>
              <w:t>每日22:00~次日06:00全面禁止一切产生噪声的施工作业，仅允许无噪纯人工清理、材料整理作业，严禁任何机械施工，午休时段（12:00~14:00）停止所有高噪声作业，保障病区午休及手术间歇期安静环境。日间常规手术高峰期（08:30~12:00、14:30~17:30）严格限制高强度噪声作业；重大手术、急诊手术期间，接到院方通知后立即暂停所有噪声作业</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将无法替代的少量高噪工序，优先安排在周末、节假日、医院手术量低谷时段集中完成，最大限度规避医疗核心作业时段</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确需连续作业的，必须和院方医务、后勤部门协商，提前确定允许施工窗口期。</w:t>
            </w:r>
          </w:p>
          <w:p w14:paraId="11AB5A8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优化施工方案，将凿除、切割等高噪声工序集中、缩短作业时长，禁止分散断续高噪声作业；合理排布设备位置，高噪声机具远离手术室方向布置。</w:t>
            </w:r>
          </w:p>
          <w:p w14:paraId="35D2F83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所有材料搬运、转运做到轻拿轻放，严禁抛掷、拖拽、撞击墙面地面；管材、型材两端包裹橡胶防撞棉，杜绝金属撞击异响。施工工具定点收纳，禁止随手丢放、碰撞，减少间歇性突发噪声。现场严禁敲击钢管、模板、构件宣泄作业，杜绝人为制造额外噪声。</w:t>
            </w:r>
          </w:p>
          <w:p w14:paraId="4627ABD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施工单位与医院后勤、手术室建立联动，手术室正在开展重大手术时，可临时暂停强噪声作业；建立即时沟通渠道。</w:t>
            </w:r>
          </w:p>
          <w:p w14:paraId="5ABE6F2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经采取上述有效措施后，可有效降低本项目施工过程中噪声对周围的影响，整体而言，影响较小，环境影响可接受</w:t>
            </w:r>
            <w:r>
              <w:rPr>
                <w:rFonts w:hint="default" w:ascii="Times New Roman" w:hAnsi="Times New Roman" w:eastAsia="宋体" w:cs="Times New Roman"/>
                <w:color w:val="auto"/>
                <w:spacing w:val="0"/>
                <w:position w:val="0"/>
                <w:lang w:val="en-US" w:eastAsia="zh-CN"/>
              </w:rPr>
              <w:t>。</w:t>
            </w:r>
          </w:p>
          <w:p w14:paraId="0E8AAFA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（3）固体废物</w:t>
            </w:r>
          </w:p>
          <w:p w14:paraId="194352E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项目施工期固体废弃物主要是生活垃圾、建筑垃圾。</w:t>
            </w:r>
          </w:p>
          <w:p w14:paraId="7279D38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①生活垃圾</w:t>
            </w:r>
          </w:p>
          <w:p w14:paraId="35CC84D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施工期生活垃圾产生量较少，应妥善处置，保持施工区环境的洁净卫生。生活垃圾采用垃圾箱集中收集后由当地环卫部门统一清运；并且在施工活动中，应严格禁止影响城市生态环境和随意</w:t>
            </w:r>
            <w:r>
              <w:rPr>
                <w:rFonts w:hint="default" w:ascii="Times New Roman" w:hAnsi="Times New Roman" w:eastAsia="宋体" w:cs="Times New Roman"/>
                <w:color w:val="auto"/>
                <w:spacing w:val="0"/>
                <w:position w:val="0"/>
                <w:lang w:eastAsia="zh-CN"/>
              </w:rPr>
              <w:t>抛洒垃圾</w:t>
            </w:r>
            <w:r>
              <w:rPr>
                <w:rFonts w:hint="default" w:ascii="Times New Roman" w:hAnsi="Times New Roman" w:eastAsia="宋体" w:cs="Times New Roman"/>
                <w:color w:val="auto"/>
                <w:spacing w:val="0"/>
                <w:position w:val="0"/>
              </w:rPr>
              <w:t>的行为。</w:t>
            </w:r>
          </w:p>
          <w:p w14:paraId="3EE809E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②建筑垃圾</w:t>
            </w:r>
          </w:p>
          <w:p w14:paraId="6C123CB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项目施工期产生的建筑垃圾主要为建筑垃圾、包装袋、包装箱、碎木块、废水泥等。建筑垃圾定点堆放，充分回收可利用的建筑垃圾后，由施工单位或承建单位与市政部门联系外运至指定的建筑垃圾堆放场。</w:t>
            </w:r>
          </w:p>
          <w:p w14:paraId="2EDBD9D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综上，本建设项目工程量较小，施工期较短。通过控制作业时间，合理安排好各种噪声施工机械使用时间，避开午休时间，禁止夜间施工，采用围挡，加强施工现场管理等手段，对周围环境影响不大。施工影响随着工程的结束而消失，环境影响可接受。</w:t>
            </w:r>
          </w:p>
          <w:p w14:paraId="4016EB6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（4）水环境影响分析</w:t>
            </w:r>
          </w:p>
          <w:p w14:paraId="5664990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施工工艺基本无废水产生，产生的少量施工人员的</w:t>
            </w:r>
            <w:r>
              <w:rPr>
                <w:rFonts w:hint="default" w:ascii="Times New Roman" w:hAnsi="Times New Roman" w:eastAsia="宋体" w:cs="Times New Roman"/>
                <w:color w:val="auto"/>
                <w:spacing w:val="0"/>
                <w:position w:val="0"/>
                <w:lang w:eastAsia="zh-CN"/>
              </w:rPr>
              <w:t>生活污水</w:t>
            </w:r>
            <w:r>
              <w:rPr>
                <w:rFonts w:hint="default" w:ascii="Times New Roman" w:hAnsi="Times New Roman" w:eastAsia="宋体" w:cs="Times New Roman"/>
                <w:color w:val="auto"/>
                <w:spacing w:val="0"/>
                <w:position w:val="0"/>
              </w:rPr>
              <w:t>，依托医院现有污水收集处理系统，经处理后进入</w:t>
            </w:r>
            <w:r>
              <w:rPr>
                <w:rFonts w:hint="default" w:ascii="Times New Roman" w:hAnsi="Times New Roman" w:eastAsia="宋体" w:cs="Times New Roman"/>
                <w:color w:val="auto"/>
                <w:spacing w:val="0"/>
                <w:position w:val="0"/>
                <w:lang w:val="en-US" w:eastAsia="zh-CN"/>
              </w:rPr>
              <w:t>市政污水管网最终进入曲靖市污水处理厂</w:t>
            </w:r>
            <w:r>
              <w:rPr>
                <w:rFonts w:hint="default" w:ascii="Times New Roman" w:hAnsi="Times New Roman" w:eastAsia="宋体" w:cs="Times New Roman"/>
                <w:color w:val="auto"/>
                <w:spacing w:val="0"/>
                <w:position w:val="0"/>
              </w:rPr>
              <w:t>，不对外直接排放，不会对周围水环境产生大的影响。</w:t>
            </w:r>
          </w:p>
          <w:p w14:paraId="6A52D03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在施工期间有一定噪声、粉尘、固废等污染物产生并对周围环境造成一定影响。由于本项目在医院病区施工，施工单位应予以重视，合理安排施工时间，文明施工，采取措施尽量降低对医院环境的影响。施工结束后，项目施工期环境影响随之消除。</w:t>
            </w:r>
          </w:p>
          <w:p w14:paraId="5137E4B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医院在施工阶段采取上述污染防治措施，将施工期的影响控制在医院院区内。本项目施工量不大、施工期较短，对医院周围环境影响较小，施工期结束后，施工期环境影响将随之消失</w:t>
            </w:r>
            <w:r>
              <w:rPr>
                <w:rFonts w:hint="default" w:ascii="Times New Roman" w:hAnsi="Times New Roman" w:eastAsia="宋体" w:cs="Times New Roman"/>
                <w:color w:val="auto"/>
                <w:spacing w:val="0"/>
                <w:position w:val="0"/>
                <w:lang w:eastAsia="zh-CN"/>
              </w:rPr>
              <w:t>。</w:t>
            </w:r>
          </w:p>
          <w:p w14:paraId="40F559C4">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pacing w:val="0"/>
                <w:position w:val="0"/>
                <w:lang w:val="en-US" w:eastAsia="zh-CN"/>
              </w:rPr>
            </w:pPr>
            <w:r>
              <w:rPr>
                <w:rFonts w:hint="default" w:ascii="Times New Roman" w:hAnsi="Times New Roman" w:eastAsia="宋体" w:cs="Times New Roman"/>
                <w:b/>
                <w:bCs/>
                <w:color w:val="auto"/>
                <w:spacing w:val="0"/>
                <w:position w:val="0"/>
                <w:lang w:val="en-US" w:eastAsia="zh-CN"/>
              </w:rPr>
              <w:t>11.2安装调试阶段环境影响分析</w:t>
            </w:r>
          </w:p>
          <w:p w14:paraId="686E491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本项目设备的安装调试由厂家专业人员完成，医院不得自行拆卸、安装设备。DSA射线装置安装调试工作均在机房屏蔽措施已落实到位、防护门关闭</w:t>
            </w:r>
            <w:r>
              <w:rPr>
                <w:rFonts w:hint="default" w:ascii="Times New Roman" w:hAnsi="Times New Roman" w:eastAsia="宋体" w:cs="Times New Roman"/>
                <w:color w:val="auto"/>
                <w:spacing w:val="0"/>
                <w:position w:val="0"/>
                <w:lang w:eastAsia="zh-CN"/>
              </w:rPr>
              <w:t>的</w:t>
            </w:r>
            <w:r>
              <w:rPr>
                <w:rFonts w:hint="default" w:ascii="Times New Roman" w:hAnsi="Times New Roman" w:eastAsia="宋体" w:cs="Times New Roman"/>
                <w:color w:val="auto"/>
                <w:spacing w:val="0"/>
                <w:position w:val="0"/>
                <w:lang w:val="en-US" w:eastAsia="zh-CN"/>
              </w:rPr>
              <w:t>情况下</w:t>
            </w:r>
            <w:r>
              <w:rPr>
                <w:rFonts w:hint="default" w:ascii="Times New Roman" w:hAnsi="Times New Roman" w:eastAsia="宋体" w:cs="Times New Roman"/>
                <w:color w:val="auto"/>
                <w:spacing w:val="0"/>
                <w:position w:val="0"/>
              </w:rPr>
              <w:t>，由设备厂家具有相应能力且通过辐射安全考核的专业人员在机房内完成。同时应加强辐射防护管理，在此过程中医院应保证各屏蔽体屏蔽到位，关闭防护门，在机房门外设立辐射警示标志，禁止无关人员靠近，操作人员必须持证上岗并采取足够安全的个人防护措施，并排入看守，人员离开时机房必须上锁。设备安装、调试的环境影响</w:t>
            </w:r>
            <w:r>
              <w:rPr>
                <w:rFonts w:hint="default" w:ascii="Times New Roman" w:hAnsi="Times New Roman" w:eastAsia="宋体" w:cs="Times New Roman"/>
                <w:color w:val="auto"/>
                <w:spacing w:val="0"/>
                <w:position w:val="0"/>
                <w:lang w:val="en-US" w:eastAsia="zh-CN"/>
              </w:rPr>
              <w:t>具体为：</w:t>
            </w:r>
          </w:p>
          <w:p w14:paraId="6E82E52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（1）设备安装过程会产生一定的噪声，但产生的噪声很小，对周围环境影响很小。</w:t>
            </w:r>
          </w:p>
          <w:p w14:paraId="1221F60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（2）设备在调试过</w:t>
            </w:r>
            <w:r>
              <w:rPr>
                <w:rFonts w:hint="default" w:ascii="Times New Roman" w:hAnsi="Times New Roman" w:eastAsia="宋体" w:cs="Times New Roman"/>
                <w:color w:val="auto"/>
                <w:spacing w:val="0"/>
                <w:position w:val="0"/>
                <w:lang w:eastAsia="zh-CN"/>
              </w:rPr>
              <w:t>程中</w:t>
            </w:r>
            <w:r>
              <w:rPr>
                <w:rFonts w:hint="default" w:ascii="Times New Roman" w:hAnsi="Times New Roman" w:eastAsia="宋体" w:cs="Times New Roman"/>
                <w:color w:val="auto"/>
                <w:spacing w:val="0"/>
                <w:position w:val="0"/>
              </w:rPr>
              <w:t>会产生X射线，对周围人员产生外照射。设备安装、调试均由厂家专业技术人员负责完成，设备在调试时，机房的防护措施已经建设完成，且调试时间很短，产生的X射线经机房屏蔽后对周围环境影响很小。</w:t>
            </w:r>
          </w:p>
          <w:p w14:paraId="2789F0C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（3）设备在调试过</w:t>
            </w:r>
            <w:r>
              <w:rPr>
                <w:rFonts w:hint="default" w:ascii="Times New Roman" w:hAnsi="Times New Roman" w:eastAsia="宋体" w:cs="Times New Roman"/>
                <w:color w:val="auto"/>
                <w:spacing w:val="0"/>
                <w:position w:val="0"/>
                <w:lang w:eastAsia="zh-CN"/>
              </w:rPr>
              <w:t>程中</w:t>
            </w:r>
            <w:r>
              <w:rPr>
                <w:rFonts w:hint="default" w:ascii="Times New Roman" w:hAnsi="Times New Roman" w:eastAsia="宋体" w:cs="Times New Roman"/>
                <w:color w:val="auto"/>
                <w:spacing w:val="0"/>
                <w:position w:val="0"/>
              </w:rPr>
              <w:t>X射线电离空气产生臭氧和氮氧化物。设备调试时间很短，产生的臭氧和氮氧化物量很少，且可通过机房的排风装置排至室外，对周围环境影响很小。</w:t>
            </w:r>
          </w:p>
        </w:tc>
      </w:tr>
      <w:tr w14:paraId="4A63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3" w:type="dxa"/>
            <w:noWrap w:val="0"/>
            <w:vAlign w:val="top"/>
          </w:tcPr>
          <w:p w14:paraId="0EB5C1EC">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sz w:val="28"/>
                <w:szCs w:val="28"/>
              </w:rPr>
            </w:pPr>
            <w:r>
              <w:rPr>
                <w:rFonts w:hint="default" w:ascii="Times New Roman" w:hAnsi="Times New Roman" w:eastAsia="宋体" w:cs="Times New Roman"/>
                <w:b/>
                <w:bCs/>
                <w:color w:val="auto"/>
                <w:spacing w:val="0"/>
                <w:position w:val="0"/>
                <w:sz w:val="28"/>
                <w:szCs w:val="28"/>
              </w:rPr>
              <w:t>11.</w:t>
            </w:r>
            <w:r>
              <w:rPr>
                <w:rFonts w:hint="default" w:ascii="Times New Roman" w:hAnsi="Times New Roman" w:eastAsia="宋体" w:cs="Times New Roman"/>
                <w:b/>
                <w:bCs/>
                <w:color w:val="auto"/>
                <w:spacing w:val="0"/>
                <w:position w:val="0"/>
                <w:sz w:val="28"/>
                <w:szCs w:val="28"/>
                <w:lang w:val="en-US" w:eastAsia="zh-CN"/>
              </w:rPr>
              <w:t>3</w:t>
            </w:r>
            <w:r>
              <w:rPr>
                <w:rFonts w:hint="default" w:ascii="Times New Roman" w:hAnsi="Times New Roman" w:eastAsia="宋体" w:cs="Times New Roman"/>
                <w:b/>
                <w:bCs/>
                <w:color w:val="auto"/>
                <w:spacing w:val="0"/>
                <w:position w:val="0"/>
                <w:sz w:val="28"/>
                <w:szCs w:val="28"/>
              </w:rPr>
              <w:t>运行阶段对环境的影响</w:t>
            </w:r>
          </w:p>
          <w:p w14:paraId="13B8F3C1">
            <w:pPr>
              <w:keepNext w:val="0"/>
              <w:keepLines w:val="0"/>
              <w:suppressLineNumbers w:val="0"/>
              <w:snapToGrid w:val="0"/>
              <w:spacing w:before="0" w:beforeAutospacing="0" w:after="0" w:afterAutospacing="0"/>
              <w:ind w:left="0" w:right="0" w:firstLine="482"/>
              <w:rPr>
                <w:rFonts w:hint="default" w:ascii="Times New Roman" w:hAnsi="Times New Roman" w:eastAsia="宋体" w:cs="Times New Roman"/>
                <w:b/>
                <w:bCs/>
                <w:color w:val="auto"/>
                <w:spacing w:val="0"/>
                <w:position w:val="0"/>
                <w:highlight w:val="none"/>
              </w:rPr>
            </w:pPr>
            <w:r>
              <w:rPr>
                <w:rFonts w:hint="default" w:ascii="Times New Roman" w:hAnsi="Times New Roman" w:eastAsia="宋体" w:cs="Times New Roman"/>
                <w:b/>
                <w:bCs/>
                <w:color w:val="auto"/>
                <w:spacing w:val="0"/>
                <w:position w:val="0"/>
                <w:highlight w:val="none"/>
              </w:rPr>
              <w:t>一、正常运行工况下辐射环境影响分析</w:t>
            </w:r>
          </w:p>
          <w:p w14:paraId="7F6A443A">
            <w:pPr>
              <w:keepNext w:val="0"/>
              <w:keepLines w:val="0"/>
              <w:suppressLineNumbers w:val="0"/>
              <w:snapToGrid w:val="0"/>
              <w:spacing w:before="0" w:beforeLines="0" w:beforeAutospacing="0" w:after="0" w:afterLines="0" w:afterAutospacing="0"/>
              <w:ind w:left="0" w:right="0" w:firstLine="482"/>
              <w:rPr>
                <w:rFonts w:hint="default" w:ascii="Times New Roman" w:hAnsi="Times New Roman" w:eastAsia="宋体" w:cs="Times New Roman"/>
                <w:b/>
                <w:color w:val="auto"/>
                <w:spacing w:val="0"/>
                <w:position w:val="0"/>
                <w:sz w:val="24"/>
                <w:szCs w:val="24"/>
              </w:rPr>
            </w:pPr>
            <w:r>
              <w:rPr>
                <w:rFonts w:hint="default" w:ascii="Times New Roman" w:hAnsi="Times New Roman" w:eastAsia="宋体" w:cs="Times New Roman"/>
                <w:b/>
                <w:color w:val="auto"/>
                <w:spacing w:val="0"/>
                <w:position w:val="0"/>
                <w:sz w:val="24"/>
                <w:szCs w:val="24"/>
                <w:lang w:eastAsia="zh-CN"/>
              </w:rPr>
              <w:t>（</w:t>
            </w:r>
            <w:r>
              <w:rPr>
                <w:rFonts w:hint="default" w:ascii="Times New Roman" w:hAnsi="Times New Roman" w:eastAsia="宋体" w:cs="Times New Roman"/>
                <w:b/>
                <w:color w:val="auto"/>
                <w:spacing w:val="0"/>
                <w:position w:val="0"/>
                <w:sz w:val="24"/>
                <w:szCs w:val="24"/>
                <w:lang w:val="en-US" w:eastAsia="zh-CN"/>
              </w:rPr>
              <w:t>1</w:t>
            </w:r>
            <w:r>
              <w:rPr>
                <w:rFonts w:hint="default" w:ascii="Times New Roman" w:hAnsi="Times New Roman" w:eastAsia="宋体" w:cs="Times New Roman"/>
                <w:b/>
                <w:color w:val="auto"/>
                <w:spacing w:val="0"/>
                <w:position w:val="0"/>
                <w:sz w:val="24"/>
                <w:szCs w:val="24"/>
                <w:lang w:eastAsia="zh-CN"/>
              </w:rPr>
              <w:t>） DSA机房的辐射环境影响</w:t>
            </w:r>
          </w:p>
          <w:p w14:paraId="60DC3DDF">
            <w:pPr>
              <w:keepNext w:val="0"/>
              <w:keepLines w:val="0"/>
              <w:suppressLineNumbers w:val="0"/>
              <w:spacing w:before="0" w:beforeLines="0" w:beforeAutospacing="0" w:after="0" w:afterLines="0" w:afterAutospacing="0"/>
              <w:ind w:left="0" w:right="0"/>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本建设项目运营期的主要环境问题是电离辐射污染，即DSA开机曝光时产生的X射线。本项目机房尚未改造，DSA装置尚未安装</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为分析拟建DSA项目的辐射环境影响分析，根据建设单位提供的相关技术参数，对射线装置运行后辐射环境影响进行理论预测。</w:t>
            </w:r>
          </w:p>
          <w:p w14:paraId="5FD64BD6">
            <w:pPr>
              <w:keepNext w:val="0"/>
              <w:keepLines w:val="0"/>
              <w:suppressLineNumbers w:val="0"/>
              <w:spacing w:before="0" w:beforeLines="0" w:beforeAutospacing="0" w:after="0" w:afterLines="0" w:afterAutospacing="0"/>
              <w:ind w:left="0" w:right="0"/>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rPr>
              <w:t>本项目DSA主束方向向上，四周屏蔽体外及对应正上方和正下方各关注点考虑漏射和散射影响。由于电离辐射水平随着距离的增加而衰减，因此选取离辐射工作场所较近、具有代表性的关注点进行分析。</w:t>
            </w:r>
            <w:r>
              <w:rPr>
                <w:rFonts w:hint="default" w:ascii="Times New Roman" w:hAnsi="Times New Roman" w:eastAsia="宋体" w:cs="Times New Roman"/>
                <w:color w:val="auto"/>
                <w:spacing w:val="0"/>
                <w:position w:val="0"/>
                <w:sz w:val="24"/>
                <w:szCs w:val="24"/>
                <w:lang w:val="en-US" w:eastAsia="zh-CN"/>
              </w:rPr>
              <w:t>本项目DSA操作模式分为两种：</w:t>
            </w:r>
          </w:p>
          <w:p w14:paraId="47DCBB63">
            <w:pPr>
              <w:keepNext w:val="0"/>
              <w:keepLines w:val="0"/>
              <w:suppressLineNumbers w:val="0"/>
              <w:spacing w:before="0" w:beforeLines="0" w:beforeAutospacing="0" w:after="0" w:afterLines="0" w:afterAutospacing="0"/>
              <w:ind w:left="0" w:right="0"/>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减影拍片过程</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技师采取隔室操作的方式，医生通过操作间铅玻璃观察窗观察DSA介入室内病人情况，并通过对讲系统与病人交流。在减影过程中，医生位于操作间内。</w:t>
            </w:r>
          </w:p>
          <w:p w14:paraId="79CC1AA0">
            <w:pPr>
              <w:keepNext w:val="0"/>
              <w:keepLines w:val="0"/>
              <w:suppressLineNumbers w:val="0"/>
              <w:spacing w:before="0" w:beforeLines="0" w:beforeAutospacing="0" w:after="0" w:afterLines="0" w:afterAutospacing="0"/>
              <w:ind w:left="0" w:right="0"/>
              <w:rPr>
                <w:rFonts w:hint="default" w:ascii="Times New Roman" w:hAnsi="Times New Roman" w:eastAsia="宋体" w:cs="Times New Roman"/>
                <w:color w:val="auto"/>
                <w:spacing w:val="0"/>
                <w:position w:val="0"/>
                <w:sz w:val="24"/>
                <w:szCs w:val="24"/>
                <w:lang w:eastAsia="zh-CN"/>
              </w:rPr>
            </w:pPr>
            <w:r>
              <w:rPr>
                <w:rFonts w:hint="default" w:ascii="Times New Roman" w:hAnsi="Times New Roman" w:eastAsia="宋体" w:cs="Times New Roman"/>
                <w:color w:val="auto"/>
                <w:spacing w:val="0"/>
                <w:position w:val="0"/>
                <w:sz w:val="24"/>
                <w:szCs w:val="24"/>
              </w:rPr>
              <w:t>脉冲透视过程</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为更清楚</w:t>
            </w:r>
            <w:r>
              <w:rPr>
                <w:rFonts w:hint="default" w:ascii="Times New Roman" w:hAnsi="Times New Roman" w:eastAsia="宋体" w:cs="Times New Roman"/>
                <w:color w:val="auto"/>
                <w:spacing w:val="0"/>
                <w:position w:val="0"/>
                <w:sz w:val="24"/>
                <w:szCs w:val="24"/>
                <w:lang w:eastAsia="zh-CN"/>
              </w:rPr>
              <w:t>地</w:t>
            </w:r>
            <w:r>
              <w:rPr>
                <w:rFonts w:hint="default" w:ascii="Times New Roman" w:hAnsi="Times New Roman" w:eastAsia="宋体" w:cs="Times New Roman"/>
                <w:color w:val="auto"/>
                <w:spacing w:val="0"/>
                <w:position w:val="0"/>
                <w:sz w:val="24"/>
                <w:szCs w:val="24"/>
              </w:rPr>
              <w:t>了解病人情况，医生需进入DSA介入室，进行治疗时会有连续曝光，并采用连续脉冲透视，该手术操作过程共需两名医生，此时第一手术操作位医师位于</w:t>
            </w:r>
            <w:r>
              <w:rPr>
                <w:rFonts w:hint="default" w:ascii="Times New Roman" w:hAnsi="Times New Roman" w:eastAsia="宋体" w:cs="Times New Roman"/>
                <w:color w:val="auto"/>
                <w:spacing w:val="0"/>
                <w:position w:val="0"/>
                <w:sz w:val="24"/>
                <w:szCs w:val="24"/>
                <w:lang w:val="en-US" w:eastAsia="zh-CN"/>
              </w:rPr>
              <w:t>铅悬挂防护屏和床侧铅防护帘</w:t>
            </w:r>
            <w:r>
              <w:rPr>
                <w:rFonts w:hint="default" w:ascii="Times New Roman" w:hAnsi="Times New Roman" w:eastAsia="宋体" w:cs="Times New Roman"/>
                <w:color w:val="auto"/>
                <w:spacing w:val="0"/>
                <w:position w:val="0"/>
                <w:sz w:val="24"/>
                <w:szCs w:val="24"/>
              </w:rPr>
              <w:t>后身着铅服、戴铅眼镜等在曝光室内对患者进行直接的手术操作，距离主射线束距离为0.</w:t>
            </w:r>
            <w:r>
              <w:rPr>
                <w:rFonts w:hint="default" w:ascii="Times New Roman" w:hAnsi="Times New Roman" w:eastAsia="宋体" w:cs="Times New Roman"/>
                <w:color w:val="auto"/>
                <w:spacing w:val="0"/>
                <w:position w:val="0"/>
                <w:sz w:val="24"/>
                <w:szCs w:val="24"/>
                <w:lang w:val="en-US" w:eastAsia="zh-CN"/>
              </w:rPr>
              <w:t>3</w:t>
            </w:r>
            <w:r>
              <w:rPr>
                <w:rFonts w:hint="default" w:ascii="Times New Roman" w:hAnsi="Times New Roman" w:eastAsia="宋体" w:cs="Times New Roman"/>
                <w:color w:val="auto"/>
                <w:spacing w:val="0"/>
                <w:position w:val="0"/>
                <w:sz w:val="24"/>
                <w:szCs w:val="24"/>
              </w:rPr>
              <w:t>m；第二手术位的医师身着铅服、戴铅眼镜等</w:t>
            </w:r>
            <w:r>
              <w:rPr>
                <w:rFonts w:hint="default" w:ascii="Times New Roman" w:hAnsi="Times New Roman" w:eastAsia="宋体" w:cs="Times New Roman"/>
                <w:color w:val="auto"/>
                <w:spacing w:val="0"/>
                <w:position w:val="0"/>
                <w:sz w:val="24"/>
                <w:szCs w:val="24"/>
                <w:lang w:val="en-US" w:eastAsia="zh-CN"/>
              </w:rPr>
              <w:t>辅助第一术者位</w:t>
            </w:r>
            <w:r>
              <w:rPr>
                <w:rFonts w:hint="default" w:ascii="Times New Roman" w:hAnsi="Times New Roman" w:eastAsia="宋体" w:cs="Times New Roman"/>
                <w:color w:val="auto"/>
                <w:spacing w:val="0"/>
                <w:position w:val="0"/>
                <w:sz w:val="24"/>
                <w:szCs w:val="24"/>
              </w:rPr>
              <w:t>，距离主射线束为</w:t>
            </w:r>
            <w:r>
              <w:rPr>
                <w:rFonts w:hint="default" w:ascii="Times New Roman" w:hAnsi="Times New Roman" w:eastAsia="宋体" w:cs="Times New Roman"/>
                <w:color w:val="auto"/>
                <w:spacing w:val="0"/>
                <w:position w:val="0"/>
                <w:sz w:val="24"/>
                <w:szCs w:val="24"/>
                <w:lang w:val="en-US" w:eastAsia="zh-CN"/>
              </w:rPr>
              <w:t>0.</w:t>
            </w:r>
            <w:r>
              <w:rPr>
                <w:rFonts w:hint="eastAsia" w:cs="Times New Roman"/>
                <w:color w:val="auto"/>
                <w:spacing w:val="0"/>
                <w:position w:val="0"/>
                <w:sz w:val="24"/>
                <w:szCs w:val="24"/>
                <w:lang w:val="en-US" w:eastAsia="zh-CN"/>
              </w:rPr>
              <w:t>9</w:t>
            </w:r>
            <w:r>
              <w:rPr>
                <w:rFonts w:hint="default" w:ascii="Times New Roman" w:hAnsi="Times New Roman" w:eastAsia="宋体" w:cs="Times New Roman"/>
                <w:color w:val="auto"/>
                <w:spacing w:val="0"/>
                <w:position w:val="0"/>
                <w:sz w:val="24"/>
                <w:szCs w:val="24"/>
              </w:rPr>
              <w:t>m</w:t>
            </w:r>
            <w:r>
              <w:rPr>
                <w:rFonts w:hint="default" w:ascii="Times New Roman" w:hAnsi="Times New Roman" w:eastAsia="宋体" w:cs="Times New Roman"/>
                <w:color w:val="auto"/>
                <w:spacing w:val="0"/>
                <w:position w:val="0"/>
                <w:sz w:val="24"/>
                <w:szCs w:val="24"/>
                <w:lang w:eastAsia="zh-CN"/>
              </w:rPr>
              <w:t>。</w:t>
            </w:r>
          </w:p>
          <w:p w14:paraId="549DFFA9">
            <w:pPr>
              <w:keepNext w:val="0"/>
              <w:keepLines w:val="0"/>
              <w:suppressLineNumbers w:val="0"/>
              <w:spacing w:before="0" w:beforeLines="0" w:beforeAutospacing="0" w:after="0" w:afterLines="0" w:afterAutospacing="0"/>
              <w:ind w:left="0" w:right="0"/>
              <w:rPr>
                <w:rFonts w:hint="default" w:ascii="Times New Roman" w:hAnsi="Times New Roman" w:eastAsia="宋体" w:cs="Times New Roman"/>
                <w:color w:val="auto"/>
                <w:spacing w:val="0"/>
                <w:position w:val="0"/>
                <w:sz w:val="24"/>
                <w:szCs w:val="24"/>
                <w:lang w:eastAsia="zh-CN"/>
              </w:rPr>
            </w:pPr>
            <w:r>
              <w:rPr>
                <w:rFonts w:hint="default" w:ascii="Times New Roman" w:hAnsi="Times New Roman" w:eastAsia="宋体" w:cs="Times New Roman"/>
                <w:color w:val="auto"/>
                <w:spacing w:val="0"/>
                <w:position w:val="0"/>
                <w:sz w:val="24"/>
                <w:szCs w:val="24"/>
              </w:rPr>
              <w:t>本次分析采用理论预测方法对本项目DSA系统在正常运行期间对辐射工作人员及公众的辐射影响分析。本项目DSA主射方向均向上，</w:t>
            </w:r>
            <w:r>
              <w:rPr>
                <w:rFonts w:hint="eastAsia" w:cs="Times New Roman"/>
                <w:color w:val="auto"/>
                <w:spacing w:val="0"/>
                <w:position w:val="0"/>
                <w:sz w:val="24"/>
                <w:szCs w:val="24"/>
                <w:lang w:eastAsia="zh-CN"/>
              </w:rPr>
              <w:t>垂直透视位</w:t>
            </w:r>
            <w:r>
              <w:rPr>
                <w:rFonts w:hint="default" w:ascii="Times New Roman" w:hAnsi="Times New Roman" w:eastAsia="宋体" w:cs="Times New Roman"/>
                <w:color w:val="auto"/>
                <w:spacing w:val="0"/>
                <w:position w:val="0"/>
                <w:sz w:val="24"/>
                <w:szCs w:val="24"/>
              </w:rPr>
              <w:t>球管在床下、探测器在床上方，射线自下往上穿过患者</w:t>
            </w:r>
            <w:r>
              <w:rPr>
                <w:rFonts w:hint="eastAsia"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机头有用线束直接照向患者及影像接收器，不会直射到机房四周墙体、顶面、地面、防护门及铅窗，DSA图像增强器对X射线主束有屏蔽作用，NCRP147号报告“Structural Shielding Design For Medical X-RayImaging Facilities”4.1.6节指出，在血管造影术中将使用图像增强器，可阻挡主射线，初级辐射的强度会大幅度地被病人、影像接收器和支撑影像接收器的结构减弱，因此血管造影用X射线装置屏蔽估算时可不考虑主束照射。因此，本次屏蔽计算重点考虑泄漏辐射和散射辐射对周围环境的辐射影响</w:t>
            </w:r>
            <w:r>
              <w:rPr>
                <w:rFonts w:hint="default" w:ascii="Times New Roman" w:hAnsi="Times New Roman" w:eastAsia="宋体" w:cs="Times New Roman"/>
                <w:color w:val="auto"/>
                <w:spacing w:val="0"/>
                <w:position w:val="0"/>
                <w:sz w:val="24"/>
                <w:szCs w:val="24"/>
                <w:lang w:eastAsia="zh-CN"/>
              </w:rPr>
              <w:t>。</w:t>
            </w:r>
          </w:p>
          <w:p w14:paraId="33208BCB">
            <w:pPr>
              <w:keepNext w:val="0"/>
              <w:keepLines w:val="0"/>
              <w:suppressLineNumbers w:val="0"/>
              <w:spacing w:before="0" w:beforeLines="0" w:beforeAutospacing="0" w:after="0" w:afterLines="0" w:afterAutospacing="0"/>
              <w:ind w:left="0" w:right="0"/>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为防止烧毁球管、延长设备使用寿命，实际工作时，DSA管电压和管电流通常都留有较大的余量。根据建设单位提供资料，</w:t>
            </w:r>
            <w:r>
              <w:rPr>
                <w:rFonts w:hint="default" w:ascii="Times New Roman" w:hAnsi="Times New Roman" w:eastAsia="宋体" w:cs="Times New Roman"/>
                <w:color w:val="auto"/>
                <w:spacing w:val="0"/>
                <w:position w:val="0"/>
                <w:sz w:val="24"/>
                <w:szCs w:val="24"/>
                <w:highlight w:val="none"/>
              </w:rPr>
              <w:t>本项目DSA设备最大额定管电压为125kV、最大额定管电流为</w:t>
            </w:r>
            <w:r>
              <w:rPr>
                <w:rFonts w:hint="default" w:ascii="Times New Roman" w:hAnsi="Times New Roman" w:eastAsia="宋体" w:cs="Times New Roman"/>
                <w:color w:val="auto"/>
                <w:spacing w:val="0"/>
                <w:position w:val="0"/>
                <w:sz w:val="24"/>
                <w:szCs w:val="24"/>
                <w:highlight w:val="none"/>
                <w:lang w:eastAsia="zh-CN"/>
              </w:rPr>
              <w:t>1000</w:t>
            </w:r>
            <w:r>
              <w:rPr>
                <w:rFonts w:hint="default" w:ascii="Times New Roman" w:hAnsi="Times New Roman" w:eastAsia="宋体" w:cs="Times New Roman"/>
                <w:color w:val="auto"/>
                <w:spacing w:val="0"/>
                <w:position w:val="0"/>
                <w:sz w:val="24"/>
                <w:szCs w:val="24"/>
                <w:highlight w:val="none"/>
              </w:rPr>
              <w:t>mA，通常透视模式下管电压在60~75kV、管电流在</w:t>
            </w:r>
            <w:r>
              <w:rPr>
                <w:rFonts w:hint="default" w:ascii="Times New Roman" w:hAnsi="Times New Roman" w:eastAsia="宋体" w:cs="Times New Roman"/>
                <w:color w:val="auto"/>
                <w:spacing w:val="0"/>
                <w:position w:val="0"/>
                <w:sz w:val="24"/>
                <w:szCs w:val="24"/>
                <w:highlight w:val="none"/>
                <w:lang w:val="en-US" w:eastAsia="zh-CN"/>
              </w:rPr>
              <w:t>5～15</w:t>
            </w:r>
            <w:r>
              <w:rPr>
                <w:rFonts w:hint="default" w:ascii="Times New Roman" w:hAnsi="Times New Roman" w:eastAsia="宋体" w:cs="Times New Roman"/>
                <w:color w:val="auto"/>
                <w:spacing w:val="0"/>
                <w:position w:val="0"/>
                <w:sz w:val="24"/>
                <w:szCs w:val="24"/>
                <w:highlight w:val="none"/>
              </w:rPr>
              <w:t>mA，减影拍片模式下管电压在60~95kV、管电流在200</w:t>
            </w:r>
            <w:r>
              <w:rPr>
                <w:rFonts w:hint="default" w:ascii="Times New Roman" w:hAnsi="Times New Roman"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lang w:val="en-US" w:eastAsia="zh-CN"/>
              </w:rPr>
              <w:t>650</w:t>
            </w:r>
            <w:r>
              <w:rPr>
                <w:rFonts w:hint="default" w:ascii="Times New Roman" w:hAnsi="Times New Roman" w:eastAsia="宋体" w:cs="Times New Roman"/>
                <w:color w:val="auto"/>
                <w:spacing w:val="0"/>
                <w:position w:val="0"/>
                <w:sz w:val="24"/>
                <w:szCs w:val="24"/>
                <w:highlight w:val="none"/>
              </w:rPr>
              <w:t>mA。保守起见，本项目按透视模式</w:t>
            </w:r>
            <w:r>
              <w:rPr>
                <w:rFonts w:hint="default" w:ascii="Times New Roman" w:hAnsi="Times New Roman"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75kV、</w:t>
            </w:r>
            <w:r>
              <w:rPr>
                <w:rFonts w:hint="default" w:ascii="Times New Roman" w:hAnsi="Times New Roman" w:eastAsia="宋体" w:cs="Times New Roman"/>
                <w:color w:val="auto"/>
                <w:spacing w:val="0"/>
                <w:position w:val="0"/>
                <w:sz w:val="24"/>
                <w:szCs w:val="24"/>
                <w:highlight w:val="none"/>
                <w:lang w:val="en-US" w:eastAsia="zh-CN"/>
              </w:rPr>
              <w:t>15</w:t>
            </w:r>
            <w:r>
              <w:rPr>
                <w:rFonts w:hint="default" w:ascii="Times New Roman" w:hAnsi="Times New Roman" w:eastAsia="宋体" w:cs="Times New Roman"/>
                <w:color w:val="auto"/>
                <w:spacing w:val="0"/>
                <w:position w:val="0"/>
                <w:sz w:val="24"/>
                <w:szCs w:val="24"/>
                <w:highlight w:val="none"/>
              </w:rPr>
              <w:t>mA</w:t>
            </w:r>
            <w:r>
              <w:rPr>
                <w:rFonts w:hint="default" w:ascii="Times New Roman" w:hAnsi="Times New Roman"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、减影拍片模式</w:t>
            </w:r>
            <w:r>
              <w:rPr>
                <w:rFonts w:hint="default" w:ascii="Times New Roman" w:hAnsi="Times New Roman"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95kV、</w:t>
            </w:r>
            <w:r>
              <w:rPr>
                <w:rFonts w:hint="default" w:ascii="Times New Roman" w:hAnsi="Times New Roman" w:eastAsia="宋体" w:cs="Times New Roman"/>
                <w:color w:val="auto"/>
                <w:spacing w:val="0"/>
                <w:position w:val="0"/>
                <w:sz w:val="24"/>
                <w:szCs w:val="24"/>
                <w:highlight w:val="none"/>
                <w:lang w:val="en-US" w:eastAsia="zh-CN"/>
              </w:rPr>
              <w:t>650</w:t>
            </w:r>
            <w:r>
              <w:rPr>
                <w:rFonts w:hint="default" w:ascii="Times New Roman" w:hAnsi="Times New Roman" w:eastAsia="宋体" w:cs="Times New Roman"/>
                <w:color w:val="auto"/>
                <w:spacing w:val="0"/>
                <w:position w:val="0"/>
                <w:sz w:val="24"/>
                <w:szCs w:val="24"/>
                <w:highlight w:val="none"/>
              </w:rPr>
              <w:t>mA</w:t>
            </w:r>
            <w:r>
              <w:rPr>
                <w:rFonts w:hint="default" w:ascii="Times New Roman" w:hAnsi="Times New Roman"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rPr>
              <w:t>进行预测。</w:t>
            </w:r>
          </w:p>
          <w:p w14:paraId="1A22EA36">
            <w:pPr>
              <w:keepNext w:val="0"/>
              <w:keepLines w:val="0"/>
              <w:suppressLineNumbers w:val="0"/>
              <w:spacing w:before="0" w:beforeLines="0" w:beforeAutospacing="0" w:after="0" w:afterLines="0" w:afterAutospacing="0"/>
              <w:ind w:left="0" w:right="0"/>
              <w:rPr>
                <w:rFonts w:hint="default" w:ascii="Times New Roman" w:hAnsi="Times New Roman" w:eastAsia="宋体" w:cs="Times New Roman"/>
                <w:color w:val="auto"/>
                <w:spacing w:val="0"/>
                <w:position w:val="0"/>
                <w:sz w:val="24"/>
                <w:szCs w:val="24"/>
                <w:lang w:eastAsia="zh-CN"/>
              </w:rPr>
            </w:pPr>
            <w:r>
              <w:rPr>
                <w:rFonts w:hint="default" w:ascii="Times New Roman" w:hAnsi="Times New Roman" w:eastAsia="宋体" w:cs="Times New Roman"/>
                <w:color w:val="auto"/>
                <w:spacing w:val="0"/>
                <w:position w:val="0"/>
                <w:sz w:val="24"/>
                <w:szCs w:val="24"/>
              </w:rPr>
              <w:t>根据《放射诊断放射防护要求》</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GBZ130-2020</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第6.3.1规定：具有透视功能的X射线设备在透视条件下检测时，周围剂量当量率应不大于2.5μSv/h</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根据第8.1b</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规定：X射线机房的关注点应包括：四面墙体、地板、顶棚、机房门、操作室门、观察窗、采光窗/窗体、传片箱、管线洞口、工作人员操作位等，点位选取应具有代表性，根据以上要求</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保守取设备球管靶点到四周墙壁最近处、观察窗和防护门外</w:t>
            </w:r>
            <w:r>
              <w:rPr>
                <w:rFonts w:hint="default" w:ascii="Times New Roman" w:hAnsi="Times New Roman" w:eastAsia="宋体" w:cs="Times New Roman"/>
                <w:color w:val="auto"/>
                <w:spacing w:val="0"/>
                <w:position w:val="0"/>
                <w:sz w:val="24"/>
                <w:szCs w:val="24"/>
                <w:lang w:val="en-US" w:eastAsia="zh-CN"/>
              </w:rPr>
              <w:t>30c</w:t>
            </w:r>
            <w:r>
              <w:rPr>
                <w:rFonts w:hint="default" w:ascii="Times New Roman" w:hAnsi="Times New Roman" w:eastAsia="宋体" w:cs="Times New Roman"/>
                <w:color w:val="auto"/>
                <w:spacing w:val="0"/>
                <w:position w:val="0"/>
                <w:sz w:val="24"/>
                <w:szCs w:val="24"/>
              </w:rPr>
              <w:t>m处，人员受照剂量当量可能最大的位置作为关注点</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lang w:val="en-US" w:eastAsia="zh-CN"/>
              </w:rPr>
              <w:t>参照《医用X射线诊断设备质量控制检测规范》（WS 76—2020），透视时第一术者位取0.3m，第二术者位取0.</w:t>
            </w:r>
            <w:r>
              <w:rPr>
                <w:rFonts w:hint="eastAsia" w:cs="Times New Roman"/>
                <w:color w:val="auto"/>
                <w:spacing w:val="0"/>
                <w:position w:val="0"/>
                <w:sz w:val="24"/>
                <w:szCs w:val="24"/>
                <w:lang w:val="en-US" w:eastAsia="zh-CN"/>
              </w:rPr>
              <w:t>9</w:t>
            </w:r>
            <w:r>
              <w:rPr>
                <w:rFonts w:hint="default" w:ascii="Times New Roman" w:hAnsi="Times New Roman" w:eastAsia="宋体" w:cs="Times New Roman"/>
                <w:color w:val="auto"/>
                <w:spacing w:val="0"/>
                <w:position w:val="0"/>
                <w:sz w:val="24"/>
                <w:szCs w:val="24"/>
                <w:lang w:val="en-US" w:eastAsia="zh-CN"/>
              </w:rPr>
              <w:t>m</w:t>
            </w:r>
            <w:r>
              <w:rPr>
                <w:rFonts w:hint="default" w:ascii="Times New Roman" w:hAnsi="Times New Roman" w:eastAsia="宋体" w:cs="Times New Roman"/>
                <w:color w:val="auto"/>
                <w:spacing w:val="0"/>
                <w:position w:val="0"/>
                <w:sz w:val="24"/>
                <w:szCs w:val="24"/>
              </w:rPr>
              <w:t>。本项目DSA关注点平面图及剖面图见图11-1、11-2</w:t>
            </w:r>
            <w:r>
              <w:rPr>
                <w:rFonts w:hint="default" w:ascii="Times New Roman" w:hAnsi="Times New Roman" w:eastAsia="宋体" w:cs="Times New Roman"/>
                <w:color w:val="auto"/>
                <w:spacing w:val="0"/>
                <w:position w:val="0"/>
                <w:sz w:val="24"/>
                <w:szCs w:val="24"/>
                <w:lang w:eastAsia="zh-CN"/>
              </w:rPr>
              <w:t>。</w:t>
            </w:r>
          </w:p>
          <w:p w14:paraId="6E08AC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rPr>
              <w:drawing>
                <wp:inline distT="0" distB="0" distL="114300" distR="114300">
                  <wp:extent cx="5165090" cy="4408805"/>
                  <wp:effectExtent l="0" t="0" r="16510" b="10795"/>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51"/>
                          <a:stretch>
                            <a:fillRect/>
                          </a:stretch>
                        </pic:blipFill>
                        <pic:spPr>
                          <a:xfrm>
                            <a:off x="0" y="0"/>
                            <a:ext cx="5165090" cy="4408805"/>
                          </a:xfrm>
                          <a:prstGeom prst="rect">
                            <a:avLst/>
                          </a:prstGeom>
                          <a:noFill/>
                          <a:ln>
                            <a:noFill/>
                          </a:ln>
                        </pic:spPr>
                      </pic:pic>
                    </a:graphicData>
                  </a:graphic>
                </wp:inline>
              </w:drawing>
            </w:r>
          </w:p>
          <w:p w14:paraId="24CCDDDA">
            <w:pPr>
              <w:pStyle w:val="35"/>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 xml:space="preserve">图 11-1 DSA </w:t>
            </w:r>
            <w:r>
              <w:rPr>
                <w:rFonts w:hint="default" w:ascii="Times New Roman" w:hAnsi="Times New Roman" w:eastAsia="宋体" w:cs="Times New Roman"/>
                <w:color w:val="auto"/>
                <w:spacing w:val="0"/>
                <w:position w:val="0"/>
                <w:sz w:val="21"/>
                <w:szCs w:val="21"/>
                <w:highlight w:val="none"/>
                <w:lang w:val="en-US" w:eastAsia="zh-CN"/>
              </w:rPr>
              <w:t>介入室</w:t>
            </w:r>
            <w:r>
              <w:rPr>
                <w:rFonts w:hint="default" w:ascii="Times New Roman" w:hAnsi="Times New Roman" w:eastAsia="宋体" w:cs="Times New Roman"/>
                <w:color w:val="auto"/>
                <w:spacing w:val="0"/>
                <w:position w:val="0"/>
                <w:sz w:val="21"/>
                <w:szCs w:val="21"/>
                <w:highlight w:val="none"/>
              </w:rPr>
              <w:t>外四周</w:t>
            </w:r>
            <w:r>
              <w:rPr>
                <w:rFonts w:hint="default" w:ascii="Times New Roman" w:hAnsi="Times New Roman" w:eastAsia="宋体" w:cs="Times New Roman"/>
                <w:color w:val="auto"/>
                <w:spacing w:val="0"/>
                <w:position w:val="0"/>
                <w:sz w:val="21"/>
                <w:szCs w:val="21"/>
                <w:highlight w:val="none"/>
                <w:lang w:val="en-US" w:eastAsia="zh-CN"/>
              </w:rPr>
              <w:t>估算</w:t>
            </w:r>
            <w:r>
              <w:rPr>
                <w:rFonts w:hint="default" w:ascii="Times New Roman" w:hAnsi="Times New Roman" w:eastAsia="宋体" w:cs="Times New Roman"/>
                <w:color w:val="auto"/>
                <w:spacing w:val="0"/>
                <w:position w:val="0"/>
                <w:sz w:val="21"/>
                <w:szCs w:val="21"/>
                <w:highlight w:val="none"/>
              </w:rPr>
              <w:t>点位置</w:t>
            </w:r>
          </w:p>
          <w:p w14:paraId="30235A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aps w:val="0"/>
                <w:color w:val="auto"/>
                <w:spacing w:val="0"/>
                <w:position w:val="0"/>
                <w:sz w:val="21"/>
                <w:szCs w:val="21"/>
                <w:highlight w:val="none"/>
                <w:lang w:val="en-US" w:eastAsia="zh-CN"/>
              </w:rPr>
            </w:pPr>
            <w:r>
              <w:rPr>
                <w:rFonts w:hint="default" w:ascii="Times New Roman" w:hAnsi="Times New Roman" w:eastAsia="宋体" w:cs="Times New Roman"/>
                <w:b/>
                <w:bCs/>
                <w:caps w:val="0"/>
                <w:color w:val="auto"/>
                <w:spacing w:val="0"/>
                <w:position w:val="0"/>
                <w:sz w:val="21"/>
                <w:szCs w:val="21"/>
                <w:highlight w:val="none"/>
                <w:lang w:val="en-US" w:eastAsia="zh-CN"/>
              </w:rPr>
              <w:object>
                <v:shape id="_x0000_i1028" o:spt="75" type="#_x0000_t75" style="height:378.95pt;width:376.25pt;" o:ole="t" filled="f" o:preferrelative="t" stroked="f" coordsize="21600,21600">
                  <v:path/>
                  <v:fill on="f" focussize="0,0"/>
                  <v:stroke on="f"/>
                  <v:imagedata r:id="rId53" cropbottom="7129f" o:title=""/>
                  <o:lock v:ext="edit" aspectratio="f"/>
                  <w10:wrap type="none"/>
                  <w10:anchorlock/>
                </v:shape>
                <o:OLEObject Type="Embed" ProgID="Visio.Drawing.15" ShapeID="_x0000_i1028" DrawAspect="Content" ObjectID="_1468075728" r:id="rId52">
                  <o:LockedField>false</o:LockedField>
                </o:OLEObject>
              </w:object>
            </w:r>
          </w:p>
          <w:p w14:paraId="2B2B18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aps w:val="0"/>
                <w:color w:val="auto"/>
                <w:spacing w:val="0"/>
                <w:position w:val="0"/>
                <w:sz w:val="21"/>
                <w:szCs w:val="21"/>
                <w:highlight w:val="none"/>
                <w:lang w:val="en-US" w:eastAsia="zh-CN"/>
              </w:rPr>
              <w:t>图11-2  DSA介入室楼上楼下估算点位置</w:t>
            </w:r>
          </w:p>
          <w:p w14:paraId="0317988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auto"/>
                <w:spacing w:val="0"/>
                <w:lang w:val="en-US" w:eastAsia="zh-CN"/>
              </w:rPr>
            </w:pPr>
            <w:r>
              <w:rPr>
                <w:rFonts w:hint="default" w:ascii="Times New Roman" w:hAnsi="Times New Roman" w:eastAsia="宋体" w:cs="Times New Roman"/>
                <w:b/>
                <w:bCs/>
                <w:color w:val="auto"/>
                <w:spacing w:val="0"/>
                <w:lang w:val="en-US" w:eastAsia="zh-CN"/>
              </w:rPr>
              <w:t>①散射辐射剂量率估算</w:t>
            </w:r>
          </w:p>
          <w:p w14:paraId="32D8041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bCs w:val="0"/>
                <w:color w:val="auto"/>
                <w:spacing w:val="0"/>
                <w:lang w:val="en-US" w:eastAsia="zh-CN"/>
              </w:rPr>
            </w:pPr>
            <w:r>
              <w:rPr>
                <w:rFonts w:hint="default" w:ascii="Times New Roman" w:hAnsi="Times New Roman" w:eastAsia="宋体" w:cs="Times New Roman"/>
                <w:b w:val="0"/>
                <w:bCs w:val="0"/>
                <w:color w:val="auto"/>
                <w:spacing w:val="0"/>
                <w:lang w:val="en-US" w:eastAsia="zh-CN"/>
              </w:rPr>
              <w:t>按照《放射诊断放射防护要求》（GBZ130-2020）附录C中公式计算DSA各关注点散射透射因子，计算结果见表11-1：</w:t>
            </w:r>
          </w:p>
          <w:p w14:paraId="7461FA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lang w:val="en-US" w:eastAsia="zh-CN"/>
              </w:rPr>
            </w:pPr>
            <w:r>
              <w:rPr>
                <w:rFonts w:hint="default" w:ascii="Times New Roman" w:hAnsi="Times New Roman" w:eastAsia="宋体" w:cs="Times New Roman"/>
                <w:b/>
                <w:bCs/>
                <w:color w:val="auto"/>
                <w:spacing w:val="0"/>
                <w:lang w:val="en-US" w:eastAsia="zh-CN"/>
              </w:rPr>
              <w:drawing>
                <wp:inline distT="0" distB="0" distL="114300" distR="114300">
                  <wp:extent cx="1533525" cy="542925"/>
                  <wp:effectExtent l="0" t="0" r="0" b="8255"/>
                  <wp:docPr id="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
                          <pic:cNvPicPr>
                            <a:picLocks noChangeAspect="1"/>
                          </pic:cNvPicPr>
                        </pic:nvPicPr>
                        <pic:blipFill>
                          <a:blip r:embed="rId41"/>
                          <a:stretch>
                            <a:fillRect/>
                          </a:stretch>
                        </pic:blipFill>
                        <pic:spPr>
                          <a:xfrm>
                            <a:off x="0" y="0"/>
                            <a:ext cx="1533525" cy="542925"/>
                          </a:xfrm>
                          <a:prstGeom prst="rect">
                            <a:avLst/>
                          </a:prstGeom>
                          <a:noFill/>
                          <a:ln>
                            <a:noFill/>
                          </a:ln>
                        </pic:spPr>
                      </pic:pic>
                    </a:graphicData>
                  </a:graphic>
                </wp:inline>
              </w:drawing>
            </w:r>
            <w:r>
              <w:rPr>
                <w:rFonts w:hint="default" w:ascii="Times New Roman" w:hAnsi="Times New Roman" w:eastAsia="宋体" w:cs="Times New Roman"/>
                <w:b w:val="0"/>
                <w:bCs w:val="0"/>
                <w:color w:val="auto"/>
                <w:spacing w:val="0"/>
                <w:lang w:val="en-US" w:eastAsia="zh-CN"/>
              </w:rPr>
              <w:t>（公式11-1）</w:t>
            </w:r>
          </w:p>
          <w:p w14:paraId="0B3459C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bCs w:val="0"/>
                <w:color w:val="auto"/>
                <w:spacing w:val="0"/>
                <w:lang w:val="en-US" w:eastAsia="zh-CN"/>
              </w:rPr>
            </w:pPr>
            <w:r>
              <w:rPr>
                <w:rFonts w:hint="default" w:ascii="Times New Roman" w:hAnsi="Times New Roman" w:eastAsia="宋体" w:cs="Times New Roman"/>
                <w:b w:val="0"/>
                <w:bCs w:val="0"/>
                <w:color w:val="auto"/>
                <w:spacing w:val="0"/>
                <w:lang w:val="en-US" w:eastAsia="zh-CN"/>
              </w:rPr>
              <w:t>本项目DSA透视最大管电压75kV、减影拍片最大管电压95kV，根据式（11-1）计算，查NCRP147号报 告第118~119页可知75kV、95kV对应的X射线辐射衰减有关的拟合参数，查得铅对于75kV的X射线辐射衰减的拟合参数α=4.666、β=22.69、γ=0.6618，95kV的X射线辐射衰减的拟合参数α=2.731、β=17.07、γ=0.7714；</w:t>
            </w:r>
          </w:p>
          <w:p w14:paraId="131F03E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对于病人体表的散射X射线用反照率法估计。可按下式进行预测估算（引用辐射防护手册第一分册，P437）：</w:t>
            </w:r>
          </w:p>
          <w:p w14:paraId="598F9CE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object>
                <v:shape id="_x0000_i1029" o:spt="75" type="#_x0000_t75" style="height:34pt;width:270pt;" o:ole="t" filled="f" o:preferrelative="t" stroked="f" coordsize="21600,21600">
                  <v:path/>
                  <v:fill on="f" focussize="0,0"/>
                  <v:stroke on="f"/>
                  <v:imagedata r:id="rId55" o:title=""/>
                  <o:lock v:ext="edit" aspectratio="t"/>
                  <w10:wrap type="none"/>
                  <w10:anchorlock/>
                </v:shape>
                <o:OLEObject Type="Embed" ProgID="Equation.KSEE3" ShapeID="_x0000_i1029" DrawAspect="Content" ObjectID="_1468075729" r:id="rId54">
                  <o:LockedField>false</o:LockedField>
                </o:OLEObject>
              </w:object>
            </w:r>
            <w:r>
              <w:rPr>
                <w:rFonts w:hint="default" w:ascii="Times New Roman" w:hAnsi="Times New Roman" w:eastAsia="宋体" w:cs="Times New Roman"/>
                <w:color w:val="auto"/>
                <w:kern w:val="0"/>
                <w:sz w:val="24"/>
                <w:szCs w:val="24"/>
                <w:lang w:val="en-US" w:eastAsia="zh-CN" w:bidi="ar"/>
              </w:rPr>
              <w:t>（公式11-2）</w:t>
            </w:r>
          </w:p>
          <w:p w14:paraId="7810A72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式中：Hs——预测点处的散射辐射当量剂量率，μSv/h；</w:t>
            </w:r>
          </w:p>
          <w:p w14:paraId="5866096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X1m——每mA管电压产生的X射线在1m处的照射量率，R/mA·min；根据《放射诊断放射防护要求》（GBZ130-2020），X 射线设备等效总过滤应不小于2.5mmAl；根据设备厂家提供数据，本项目ARTIS pheno Master设备固有滤过为2.6mmAI，附加滤过为0mmCu；0. 1/0.4/0.9mmCu+1mmAl，查《辐射防护手册》（第一分册）图4.4c，保守考虑取X射线过滤为2.0mmAl的情况下不同管电压对应的X射线照射量率，当减影管电压为95kV时，查得X1m=1.00R·mA-1·min</w:t>
            </w:r>
            <w:r>
              <w:rPr>
                <w:rFonts w:hint="default" w:ascii="Times New Roman" w:hAnsi="Times New Roman" w:eastAsia="宋体" w:cs="Times New Roman"/>
                <w:color w:val="auto"/>
                <w:kern w:val="0"/>
                <w:sz w:val="24"/>
                <w:szCs w:val="24"/>
                <w:vertAlign w:val="superscript"/>
                <w:lang w:val="en-US" w:eastAsia="zh-CN" w:bidi="ar"/>
              </w:rPr>
              <w:t>-1</w:t>
            </w:r>
            <w:r>
              <w:rPr>
                <w:rFonts w:hint="default" w:ascii="Times New Roman" w:hAnsi="Times New Roman" w:eastAsia="宋体" w:cs="Times New Roman"/>
                <w:color w:val="auto"/>
                <w:kern w:val="0"/>
                <w:sz w:val="24"/>
                <w:szCs w:val="24"/>
                <w:lang w:val="en-US" w:eastAsia="zh-CN" w:bidi="ar"/>
              </w:rPr>
              <w:t>；当透视管电压为75kV时，查得X1m=0.65R·mA-1·min</w:t>
            </w:r>
            <w:r>
              <w:rPr>
                <w:rFonts w:hint="default" w:ascii="Times New Roman" w:hAnsi="Times New Roman" w:eastAsia="宋体" w:cs="Times New Roman"/>
                <w:color w:val="auto"/>
                <w:kern w:val="0"/>
                <w:sz w:val="24"/>
                <w:szCs w:val="24"/>
                <w:vertAlign w:val="superscript"/>
                <w:lang w:val="en-US" w:eastAsia="zh-CN" w:bidi="ar"/>
              </w:rPr>
              <w:t>-1</w:t>
            </w:r>
            <w:r>
              <w:rPr>
                <w:rFonts w:hint="default" w:ascii="Times New Roman" w:hAnsi="Times New Roman" w:eastAsia="宋体" w:cs="Times New Roman"/>
                <w:color w:val="auto"/>
                <w:kern w:val="0"/>
                <w:sz w:val="24"/>
                <w:szCs w:val="24"/>
                <w:lang w:val="en-US" w:eastAsia="zh-CN" w:bidi="ar"/>
              </w:rPr>
              <w:t>；</w:t>
            </w:r>
          </w:p>
          <w:p w14:paraId="673D1CA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α——患者对X射线的散射比，摄影和透视保守按100kV下取值</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根据《辐射防护手册》（第一分册）P437表10.1查表取得电压100kV散射角90°散射面积400cm</w:t>
            </w:r>
            <w:r>
              <w:rPr>
                <w:rFonts w:hint="default"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24"/>
                <w:szCs w:val="24"/>
                <w:lang w:val="en-US" w:eastAsia="zh-CN" w:bidi="ar"/>
              </w:rPr>
              <w:t>时，α=1.3×10</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w:t>
            </w:r>
          </w:p>
          <w:p w14:paraId="5EF903B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S——散射面积，cm</w:t>
            </w:r>
            <w:r>
              <w:rPr>
                <w:rFonts w:hint="default"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24"/>
                <w:szCs w:val="24"/>
                <w:lang w:val="en-US" w:eastAsia="zh-CN" w:bidi="ar"/>
              </w:rPr>
              <w:t>，取100cm</w:t>
            </w:r>
            <w:r>
              <w:rPr>
                <w:rFonts w:hint="default" w:ascii="Times New Roman" w:hAnsi="Times New Roman" w:eastAsia="宋体" w:cs="Times New Roman"/>
                <w:color w:val="auto"/>
                <w:kern w:val="0"/>
                <w:sz w:val="24"/>
                <w:szCs w:val="24"/>
                <w:vertAlign w:val="superscript"/>
                <w:lang w:val="en-US" w:eastAsia="zh-CN" w:bidi="ar"/>
              </w:rPr>
              <w:t>2</w:t>
            </w:r>
            <w:r>
              <w:rPr>
                <w:rFonts w:hint="default" w:ascii="Times New Roman" w:hAnsi="Times New Roman" w:eastAsia="宋体" w:cs="Times New Roman"/>
                <w:color w:val="auto"/>
                <w:kern w:val="0"/>
                <w:sz w:val="24"/>
                <w:szCs w:val="24"/>
                <w:lang w:val="en-US" w:eastAsia="zh-CN" w:bidi="ar"/>
              </w:rPr>
              <w:t>；</w:t>
            </w:r>
          </w:p>
          <w:p w14:paraId="698BD7B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d0——靶点与病人的距离，m，取0.6m；</w:t>
            </w:r>
          </w:p>
          <w:p w14:paraId="4525C87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ds——病人与预测点的距离，m；</w:t>
            </w:r>
          </w:p>
          <w:p w14:paraId="12B26D4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B——屏蔽透射因子；</w:t>
            </w:r>
          </w:p>
          <w:p w14:paraId="4719A05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I——管电流，mA；（DSA减影650mA，透视15mA）；</w:t>
            </w:r>
          </w:p>
          <w:p w14:paraId="6AD94BF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μ——利用因子，取1；</w:t>
            </w:r>
          </w:p>
          <w:p w14:paraId="71555D6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WR——辐射权重，取1。</w:t>
            </w:r>
          </w:p>
          <w:p w14:paraId="4C02D87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根据上述公式11-1、公式11-2，DSA各关注点散射透射因子和辐射剂量率计算结果见表11-1。</w:t>
            </w:r>
          </w:p>
          <w:p w14:paraId="6DA382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b/>
                <w:bCs/>
                <w:color w:val="auto"/>
                <w:sz w:val="21"/>
                <w:szCs w:val="21"/>
                <w:lang w:val="en-US" w:eastAsia="zh-CN"/>
              </w:rPr>
              <w:t>表 11-1  DSA 各关注点散射透射因子和辐射剂量率计算结果</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515"/>
              <w:gridCol w:w="1465"/>
              <w:gridCol w:w="1650"/>
              <w:gridCol w:w="951"/>
              <w:gridCol w:w="667"/>
              <w:gridCol w:w="684"/>
              <w:gridCol w:w="667"/>
              <w:gridCol w:w="732"/>
              <w:gridCol w:w="600"/>
              <w:gridCol w:w="632"/>
            </w:tblGrid>
            <w:tr w14:paraId="0F5A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 w:type="pct"/>
                  <w:noWrap w:val="0"/>
                  <w:vAlign w:val="center"/>
                </w:tcPr>
                <w:p w14:paraId="3678024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模式</w:t>
                  </w:r>
                </w:p>
              </w:tc>
              <w:tc>
                <w:tcPr>
                  <w:tcW w:w="287" w:type="pct"/>
                  <w:noWrap w:val="0"/>
                  <w:vAlign w:val="center"/>
                </w:tcPr>
                <w:p w14:paraId="36A1E4E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编号</w:t>
                  </w:r>
                </w:p>
              </w:tc>
              <w:tc>
                <w:tcPr>
                  <w:tcW w:w="816" w:type="pct"/>
                  <w:noWrap w:val="0"/>
                  <w:vAlign w:val="center"/>
                </w:tcPr>
                <w:p w14:paraId="1BAACFD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关注点位置</w:t>
                  </w:r>
                </w:p>
              </w:tc>
              <w:tc>
                <w:tcPr>
                  <w:tcW w:w="919" w:type="pct"/>
                  <w:noWrap w:val="0"/>
                  <w:vAlign w:val="center"/>
                </w:tcPr>
                <w:p w14:paraId="1FD974A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屏蔽材料</w:t>
                  </w:r>
                </w:p>
              </w:tc>
              <w:tc>
                <w:tcPr>
                  <w:tcW w:w="530" w:type="pct"/>
                  <w:noWrap w:val="0"/>
                  <w:vAlign w:val="center"/>
                </w:tcPr>
                <w:p w14:paraId="7E400BF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辐射源点至关注点的距离R（m）</w:t>
                  </w:r>
                </w:p>
              </w:tc>
              <w:tc>
                <w:tcPr>
                  <w:tcW w:w="371" w:type="pct"/>
                  <w:noWrap w:val="0"/>
                  <w:vAlign w:val="center"/>
                </w:tcPr>
                <w:p w14:paraId="459F619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屏蔽铅当量（mmPb）</w:t>
                  </w:r>
                </w:p>
              </w:tc>
              <w:tc>
                <w:tcPr>
                  <w:tcW w:w="381" w:type="pct"/>
                  <w:noWrap w:val="0"/>
                  <w:vAlign w:val="center"/>
                </w:tcPr>
                <w:p w14:paraId="4DAC3CC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α</w:t>
                  </w:r>
                </w:p>
              </w:tc>
              <w:tc>
                <w:tcPr>
                  <w:tcW w:w="371" w:type="pct"/>
                  <w:noWrap w:val="0"/>
                  <w:vAlign w:val="center"/>
                </w:tcPr>
                <w:p w14:paraId="4BED715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β</w:t>
                  </w:r>
                </w:p>
              </w:tc>
              <w:tc>
                <w:tcPr>
                  <w:tcW w:w="408" w:type="pct"/>
                  <w:noWrap w:val="0"/>
                  <w:vAlign w:val="center"/>
                </w:tcPr>
                <w:p w14:paraId="50EE65E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γ</w:t>
                  </w:r>
                </w:p>
              </w:tc>
              <w:tc>
                <w:tcPr>
                  <w:tcW w:w="334" w:type="pct"/>
                  <w:noWrap w:val="0"/>
                  <w:vAlign w:val="center"/>
                </w:tcPr>
                <w:p w14:paraId="28F72EC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B</w:t>
                  </w:r>
                </w:p>
              </w:tc>
              <w:tc>
                <w:tcPr>
                  <w:tcW w:w="352" w:type="pct"/>
                  <w:noWrap w:val="0"/>
                  <w:vAlign w:val="center"/>
                </w:tcPr>
                <w:p w14:paraId="290C7C0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Hs(μSv/h)</w:t>
                  </w:r>
                </w:p>
              </w:tc>
            </w:tr>
            <w:tr w14:paraId="7F85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noWrap w:val="0"/>
                  <w:vAlign w:val="center"/>
                </w:tcPr>
                <w:p w14:paraId="15F4BEE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75KV透视模式</w:t>
                  </w:r>
                </w:p>
              </w:tc>
              <w:tc>
                <w:tcPr>
                  <w:tcW w:w="287" w:type="pct"/>
                  <w:noWrap w:val="0"/>
                  <w:vAlign w:val="center"/>
                </w:tcPr>
                <w:p w14:paraId="43BC77D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816" w:type="pct"/>
                  <w:noWrap w:val="0"/>
                  <w:vAlign w:val="center"/>
                </w:tcPr>
                <w:p w14:paraId="792C1C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position w:val="0"/>
                      <w:sz w:val="18"/>
                      <w:szCs w:val="18"/>
                      <w:highlight w:val="none"/>
                      <w:vertAlign w:val="baseline"/>
                      <w:lang w:val="en-US" w:eastAsia="zh-CN"/>
                    </w:rPr>
                    <w:t>控制室铅玻璃外30cm</w:t>
                  </w:r>
                </w:p>
              </w:tc>
              <w:tc>
                <w:tcPr>
                  <w:tcW w:w="919" w:type="pct"/>
                  <w:noWrap w:val="0"/>
                  <w:vAlign w:val="center"/>
                </w:tcPr>
                <w:p w14:paraId="13D8EA4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4.0mm铅玻璃</w:t>
                  </w:r>
                </w:p>
              </w:tc>
              <w:tc>
                <w:tcPr>
                  <w:tcW w:w="530" w:type="pct"/>
                  <w:noWrap w:val="0"/>
                  <w:vAlign w:val="center"/>
                </w:tcPr>
                <w:p w14:paraId="439D565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3.6</w:t>
                  </w:r>
                </w:p>
              </w:tc>
              <w:tc>
                <w:tcPr>
                  <w:tcW w:w="371" w:type="pct"/>
                  <w:noWrap w:val="0"/>
                  <w:vAlign w:val="center"/>
                </w:tcPr>
                <w:p w14:paraId="62D1B00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w:t>
                  </w:r>
                </w:p>
              </w:tc>
              <w:tc>
                <w:tcPr>
                  <w:tcW w:w="381" w:type="pct"/>
                  <w:noWrap w:val="0"/>
                  <w:vAlign w:val="center"/>
                </w:tcPr>
                <w:p w14:paraId="688C870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7304131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46DF3DE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1D1EF5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550D64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1.93E-07</w:t>
                  </w:r>
                </w:p>
              </w:tc>
            </w:tr>
            <w:tr w14:paraId="4C10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5C24E43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09513E7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w:t>
                  </w:r>
                </w:p>
              </w:tc>
              <w:tc>
                <w:tcPr>
                  <w:tcW w:w="816" w:type="pct"/>
                  <w:noWrap w:val="0"/>
                  <w:vAlign w:val="center"/>
                </w:tcPr>
                <w:p w14:paraId="42F8B6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position w:val="0"/>
                      <w:sz w:val="18"/>
                      <w:szCs w:val="18"/>
                      <w:highlight w:val="none"/>
                      <w:vertAlign w:val="baseline"/>
                      <w:lang w:val="en-US" w:eastAsia="zh-CN"/>
                    </w:rPr>
                    <w:t>控制室墙体外30cm</w:t>
                  </w:r>
                </w:p>
              </w:tc>
              <w:tc>
                <w:tcPr>
                  <w:tcW w:w="919" w:type="pct"/>
                  <w:noWrap w:val="0"/>
                  <w:vAlign w:val="center"/>
                </w:tcPr>
                <w:p w14:paraId="12881E9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4.0mm铅板</w:t>
                  </w:r>
                </w:p>
              </w:tc>
              <w:tc>
                <w:tcPr>
                  <w:tcW w:w="530" w:type="pct"/>
                  <w:noWrap w:val="0"/>
                  <w:vAlign w:val="center"/>
                </w:tcPr>
                <w:p w14:paraId="70232B3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3.67</w:t>
                  </w:r>
                </w:p>
              </w:tc>
              <w:tc>
                <w:tcPr>
                  <w:tcW w:w="371" w:type="pct"/>
                  <w:noWrap w:val="0"/>
                  <w:vAlign w:val="center"/>
                </w:tcPr>
                <w:p w14:paraId="4F01211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6677C75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66F6D93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3E08101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32B63C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2D97BD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1.85E-07</w:t>
                  </w:r>
                </w:p>
              </w:tc>
            </w:tr>
            <w:tr w14:paraId="4099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399235E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3678879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3</w:t>
                  </w:r>
                </w:p>
              </w:tc>
              <w:tc>
                <w:tcPr>
                  <w:tcW w:w="816" w:type="pct"/>
                  <w:noWrap w:val="0"/>
                  <w:vAlign w:val="center"/>
                </w:tcPr>
                <w:p w14:paraId="4DBD9E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控制室铅门外30cm</w:t>
                  </w:r>
                </w:p>
              </w:tc>
              <w:tc>
                <w:tcPr>
                  <w:tcW w:w="919" w:type="pct"/>
                  <w:noWrap w:val="0"/>
                  <w:vAlign w:val="center"/>
                </w:tcPr>
                <w:p w14:paraId="6B18DA0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4.0mm铅门</w:t>
                  </w:r>
                </w:p>
              </w:tc>
              <w:tc>
                <w:tcPr>
                  <w:tcW w:w="530" w:type="pct"/>
                  <w:noWrap w:val="0"/>
                  <w:vAlign w:val="center"/>
                </w:tcPr>
                <w:p w14:paraId="3626145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3.98</w:t>
                  </w:r>
                </w:p>
              </w:tc>
              <w:tc>
                <w:tcPr>
                  <w:tcW w:w="371" w:type="pct"/>
                  <w:noWrap w:val="0"/>
                  <w:vAlign w:val="center"/>
                </w:tcPr>
                <w:p w14:paraId="447C39B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1FA92BC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6986A8E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2D55E08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29A772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3F61B1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1.58E-07</w:t>
                  </w:r>
                </w:p>
              </w:tc>
            </w:tr>
            <w:tr w14:paraId="1475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2DFD805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794D4AB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w:t>
                  </w:r>
                </w:p>
              </w:tc>
              <w:tc>
                <w:tcPr>
                  <w:tcW w:w="816" w:type="pct"/>
                  <w:noWrap w:val="0"/>
                  <w:vAlign w:val="center"/>
                </w:tcPr>
                <w:p w14:paraId="0E4658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机房北面墙体外30cm（洁净通道）</w:t>
                  </w:r>
                </w:p>
              </w:tc>
              <w:tc>
                <w:tcPr>
                  <w:tcW w:w="919" w:type="pct"/>
                  <w:noWrap w:val="0"/>
                  <w:vAlign w:val="center"/>
                </w:tcPr>
                <w:p w14:paraId="7ADA2F2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00EB424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4.3</w:t>
                  </w:r>
                </w:p>
              </w:tc>
              <w:tc>
                <w:tcPr>
                  <w:tcW w:w="371" w:type="pct"/>
                  <w:noWrap w:val="0"/>
                  <w:vAlign w:val="center"/>
                </w:tcPr>
                <w:p w14:paraId="3913748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7B8A400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66C2CB1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770F5A7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17B6D9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13211A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1.35E-07</w:t>
                  </w:r>
                </w:p>
              </w:tc>
            </w:tr>
            <w:tr w14:paraId="056F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10705CB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1A9C445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5</w:t>
                  </w:r>
                </w:p>
              </w:tc>
              <w:tc>
                <w:tcPr>
                  <w:tcW w:w="816" w:type="pct"/>
                  <w:noWrap w:val="0"/>
                  <w:vAlign w:val="center"/>
                </w:tcPr>
                <w:p w14:paraId="5152FC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患者通道铅门外30cm</w:t>
                  </w:r>
                </w:p>
              </w:tc>
              <w:tc>
                <w:tcPr>
                  <w:tcW w:w="919" w:type="pct"/>
                  <w:noWrap w:val="0"/>
                  <w:vAlign w:val="center"/>
                </w:tcPr>
                <w:p w14:paraId="37FCBE7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4.0mm铅门</w:t>
                  </w:r>
                </w:p>
              </w:tc>
              <w:tc>
                <w:tcPr>
                  <w:tcW w:w="530" w:type="pct"/>
                  <w:noWrap w:val="0"/>
                  <w:vAlign w:val="center"/>
                </w:tcPr>
                <w:p w14:paraId="3A8AFFE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5.18</w:t>
                  </w:r>
                </w:p>
              </w:tc>
              <w:tc>
                <w:tcPr>
                  <w:tcW w:w="371" w:type="pct"/>
                  <w:noWrap w:val="0"/>
                  <w:vAlign w:val="center"/>
                </w:tcPr>
                <w:p w14:paraId="5653D8D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76A54B9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6C780C9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328978D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7A02BF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039F59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9.31E-08</w:t>
                  </w:r>
                </w:p>
              </w:tc>
            </w:tr>
            <w:tr w14:paraId="4D96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020F726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5A37A7E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6</w:t>
                  </w:r>
                </w:p>
              </w:tc>
              <w:tc>
                <w:tcPr>
                  <w:tcW w:w="816" w:type="pct"/>
                  <w:noWrap w:val="0"/>
                  <w:vAlign w:val="center"/>
                </w:tcPr>
                <w:p w14:paraId="32D5F0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机房北面墙体外30cm（洁净通道）</w:t>
                  </w:r>
                </w:p>
              </w:tc>
              <w:tc>
                <w:tcPr>
                  <w:tcW w:w="919" w:type="pct"/>
                  <w:noWrap w:val="0"/>
                  <w:vAlign w:val="center"/>
                </w:tcPr>
                <w:p w14:paraId="2221766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300mm钢筋混凝土</w:t>
                  </w:r>
                  <w:r>
                    <w:rPr>
                      <w:rFonts w:hint="default" w:ascii="Times New Roman" w:hAnsi="Times New Roman" w:eastAsia="宋体" w:cs="Times New Roman"/>
                      <w:color w:val="auto"/>
                      <w:kern w:val="2"/>
                      <w:sz w:val="18"/>
                      <w:szCs w:val="18"/>
                      <w:highlight w:val="none"/>
                      <w:lang w:val="en-US" w:eastAsia="zh-CN" w:bidi="ar-SA"/>
                    </w:rPr>
                    <w:t>剪力墙+</w:t>
                  </w:r>
                  <w:r>
                    <w:rPr>
                      <w:rFonts w:hint="eastAsia" w:cs="Times New Roman"/>
                      <w:color w:val="auto"/>
                      <w:kern w:val="2"/>
                      <w:sz w:val="18"/>
                      <w:szCs w:val="18"/>
                      <w:highlight w:val="none"/>
                      <w:lang w:val="en-US" w:eastAsia="zh-CN" w:bidi="ar-SA"/>
                    </w:rPr>
                    <w:t>2</w:t>
                  </w:r>
                  <w:r>
                    <w:rPr>
                      <w:rFonts w:hint="default" w:ascii="Times New Roman" w:hAnsi="Times New Roman" w:eastAsia="宋体" w:cs="Times New Roman"/>
                      <w:color w:val="auto"/>
                      <w:kern w:val="2"/>
                      <w:sz w:val="18"/>
                      <w:szCs w:val="18"/>
                      <w:highlight w:val="none"/>
                      <w:lang w:val="en-US" w:eastAsia="zh-CN" w:bidi="ar-SA"/>
                    </w:rPr>
                    <w:t>0mm硫酸钡防护涂料</w:t>
                  </w:r>
                </w:p>
              </w:tc>
              <w:tc>
                <w:tcPr>
                  <w:tcW w:w="530" w:type="pct"/>
                  <w:noWrap w:val="0"/>
                  <w:vAlign w:val="center"/>
                </w:tcPr>
                <w:p w14:paraId="2109FBE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5.9</w:t>
                  </w:r>
                </w:p>
              </w:tc>
              <w:tc>
                <w:tcPr>
                  <w:tcW w:w="371" w:type="pct"/>
                  <w:noWrap w:val="0"/>
                  <w:vAlign w:val="center"/>
                </w:tcPr>
                <w:p w14:paraId="0BFE41D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6.18</w:t>
                  </w:r>
                </w:p>
              </w:tc>
              <w:tc>
                <w:tcPr>
                  <w:tcW w:w="381" w:type="pct"/>
                  <w:noWrap w:val="0"/>
                  <w:vAlign w:val="center"/>
                </w:tcPr>
                <w:p w14:paraId="759D5F6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6C69B3F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1C58288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209578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2.07E-14</w:t>
                  </w:r>
                </w:p>
              </w:tc>
              <w:tc>
                <w:tcPr>
                  <w:tcW w:w="352" w:type="pct"/>
                  <w:noWrap w:val="0"/>
                  <w:vAlign w:val="center"/>
                </w:tcPr>
                <w:p w14:paraId="4150AC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2.74E-12</w:t>
                  </w:r>
                </w:p>
              </w:tc>
            </w:tr>
            <w:tr w14:paraId="2EF8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03F73EF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198E258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7</w:t>
                  </w:r>
                </w:p>
              </w:tc>
              <w:tc>
                <w:tcPr>
                  <w:tcW w:w="816" w:type="pct"/>
                  <w:noWrap w:val="0"/>
                  <w:vAlign w:val="center"/>
                </w:tcPr>
                <w:p w14:paraId="4D7460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机房东面墙体外30cm（16号手术室）</w:t>
                  </w:r>
                </w:p>
              </w:tc>
              <w:tc>
                <w:tcPr>
                  <w:tcW w:w="919" w:type="pct"/>
                  <w:noWrap w:val="0"/>
                  <w:vAlign w:val="center"/>
                </w:tcPr>
                <w:p w14:paraId="08A1F61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300mm钢筋混凝土剪力墙+</w:t>
                  </w:r>
                  <w:r>
                    <w:rPr>
                      <w:rFonts w:hint="eastAsia" w:cs="Times New Roman"/>
                      <w:color w:val="auto"/>
                      <w:kern w:val="2"/>
                      <w:sz w:val="18"/>
                      <w:szCs w:val="18"/>
                      <w:highlight w:val="none"/>
                      <w:lang w:val="en-US" w:eastAsia="zh-CN" w:bidi="ar-SA"/>
                    </w:rPr>
                    <w:t>2</w:t>
                  </w:r>
                  <w:r>
                    <w:rPr>
                      <w:rFonts w:hint="default" w:ascii="Times New Roman" w:hAnsi="Times New Roman" w:eastAsia="宋体" w:cs="Times New Roman"/>
                      <w:color w:val="auto"/>
                      <w:kern w:val="2"/>
                      <w:sz w:val="18"/>
                      <w:szCs w:val="18"/>
                      <w:highlight w:val="none"/>
                      <w:lang w:val="en-US" w:eastAsia="zh-CN" w:bidi="ar-SA"/>
                    </w:rPr>
                    <w:t>0mm硫酸钡防护涂料</w:t>
                  </w:r>
                </w:p>
              </w:tc>
              <w:tc>
                <w:tcPr>
                  <w:tcW w:w="530" w:type="pct"/>
                  <w:noWrap w:val="0"/>
                  <w:vAlign w:val="center"/>
                </w:tcPr>
                <w:p w14:paraId="5CB2282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6.93</w:t>
                  </w:r>
                </w:p>
              </w:tc>
              <w:tc>
                <w:tcPr>
                  <w:tcW w:w="371" w:type="pct"/>
                  <w:noWrap w:val="0"/>
                  <w:vAlign w:val="center"/>
                </w:tcPr>
                <w:p w14:paraId="249F75C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6.18</w:t>
                  </w:r>
                </w:p>
              </w:tc>
              <w:tc>
                <w:tcPr>
                  <w:tcW w:w="381" w:type="pct"/>
                  <w:noWrap w:val="0"/>
                  <w:vAlign w:val="center"/>
                </w:tcPr>
                <w:p w14:paraId="2014CC4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24624DD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45ABAA3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35FDB7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2.07E-14</w:t>
                  </w:r>
                </w:p>
              </w:tc>
              <w:tc>
                <w:tcPr>
                  <w:tcW w:w="352" w:type="pct"/>
                  <w:noWrap w:val="0"/>
                  <w:vAlign w:val="center"/>
                </w:tcPr>
                <w:p w14:paraId="4325EC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1.99E-12</w:t>
                  </w:r>
                </w:p>
              </w:tc>
            </w:tr>
            <w:tr w14:paraId="4952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7940209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171D856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8</w:t>
                  </w:r>
                </w:p>
              </w:tc>
              <w:tc>
                <w:tcPr>
                  <w:tcW w:w="816" w:type="pct"/>
                  <w:noWrap w:val="0"/>
                  <w:vAlign w:val="center"/>
                </w:tcPr>
                <w:p w14:paraId="1B02B5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机房东面墙体外30cm（16号手术室）</w:t>
                  </w:r>
                </w:p>
              </w:tc>
              <w:tc>
                <w:tcPr>
                  <w:tcW w:w="919" w:type="pct"/>
                  <w:noWrap w:val="0"/>
                  <w:vAlign w:val="center"/>
                </w:tcPr>
                <w:p w14:paraId="06DCFED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0226329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6.9</w:t>
                  </w:r>
                </w:p>
              </w:tc>
              <w:tc>
                <w:tcPr>
                  <w:tcW w:w="371" w:type="pct"/>
                  <w:noWrap w:val="0"/>
                  <w:vAlign w:val="center"/>
                </w:tcPr>
                <w:p w14:paraId="7C8292E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0C7E377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3DD7350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20FD296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0F4EA1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17717A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5.25E-08</w:t>
                  </w:r>
                </w:p>
              </w:tc>
            </w:tr>
            <w:tr w14:paraId="16FB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6E3F60F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5397C4A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9</w:t>
                  </w:r>
                </w:p>
              </w:tc>
              <w:tc>
                <w:tcPr>
                  <w:tcW w:w="816" w:type="pct"/>
                  <w:noWrap w:val="0"/>
                  <w:vAlign w:val="center"/>
                </w:tcPr>
                <w:p w14:paraId="57E17D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机房南面墙体外30cm（污物通道）</w:t>
                  </w:r>
                </w:p>
              </w:tc>
              <w:tc>
                <w:tcPr>
                  <w:tcW w:w="919" w:type="pct"/>
                  <w:noWrap w:val="0"/>
                  <w:vAlign w:val="center"/>
                </w:tcPr>
                <w:p w14:paraId="5BB1214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300mm钢筋混凝土剪力墙+20mm硫酸钡防护涂料</w:t>
                  </w:r>
                </w:p>
              </w:tc>
              <w:tc>
                <w:tcPr>
                  <w:tcW w:w="530" w:type="pct"/>
                  <w:noWrap w:val="0"/>
                  <w:vAlign w:val="center"/>
                </w:tcPr>
                <w:p w14:paraId="6B370D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6.67</w:t>
                  </w:r>
                </w:p>
              </w:tc>
              <w:tc>
                <w:tcPr>
                  <w:tcW w:w="371" w:type="pct"/>
                  <w:noWrap w:val="0"/>
                  <w:vAlign w:val="center"/>
                </w:tcPr>
                <w:p w14:paraId="48A9038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6.18</w:t>
                  </w:r>
                </w:p>
              </w:tc>
              <w:tc>
                <w:tcPr>
                  <w:tcW w:w="381" w:type="pct"/>
                  <w:noWrap w:val="0"/>
                  <w:vAlign w:val="center"/>
                </w:tcPr>
                <w:p w14:paraId="2853DF8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35EAEF2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1C54F71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0D0115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2.07E-14</w:t>
                  </w:r>
                </w:p>
              </w:tc>
              <w:tc>
                <w:tcPr>
                  <w:tcW w:w="352" w:type="pct"/>
                  <w:noWrap w:val="0"/>
                  <w:vAlign w:val="center"/>
                </w:tcPr>
                <w:p w14:paraId="1D1218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2.15E-12</w:t>
                  </w:r>
                </w:p>
              </w:tc>
            </w:tr>
            <w:tr w14:paraId="5B86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149F1A2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7423359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10</w:t>
                  </w:r>
                </w:p>
              </w:tc>
              <w:tc>
                <w:tcPr>
                  <w:tcW w:w="816" w:type="pct"/>
                  <w:noWrap w:val="0"/>
                  <w:vAlign w:val="center"/>
                </w:tcPr>
                <w:p w14:paraId="4C4446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污物通道铅门</w:t>
                  </w:r>
                </w:p>
              </w:tc>
              <w:tc>
                <w:tcPr>
                  <w:tcW w:w="919" w:type="pct"/>
                  <w:noWrap w:val="0"/>
                  <w:vAlign w:val="center"/>
                </w:tcPr>
                <w:p w14:paraId="031FA2C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4.0mm铅门</w:t>
                  </w:r>
                </w:p>
              </w:tc>
              <w:tc>
                <w:tcPr>
                  <w:tcW w:w="530" w:type="pct"/>
                  <w:noWrap w:val="0"/>
                  <w:vAlign w:val="center"/>
                </w:tcPr>
                <w:p w14:paraId="3B5571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6.13</w:t>
                  </w:r>
                </w:p>
              </w:tc>
              <w:tc>
                <w:tcPr>
                  <w:tcW w:w="371" w:type="pct"/>
                  <w:noWrap w:val="0"/>
                  <w:vAlign w:val="center"/>
                </w:tcPr>
                <w:p w14:paraId="4893B6D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54A130A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545000C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444BB9C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3D8A0D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3A30F0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6.65E-08</w:t>
                  </w:r>
                </w:p>
              </w:tc>
            </w:tr>
            <w:tr w14:paraId="2B53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3C7FC9F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34D5B85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w:t>
                  </w:r>
                </w:p>
              </w:tc>
              <w:tc>
                <w:tcPr>
                  <w:tcW w:w="816" w:type="pct"/>
                  <w:noWrap w:val="0"/>
                  <w:vAlign w:val="center"/>
                </w:tcPr>
                <w:p w14:paraId="4C7780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机房南面墙体外30cm（污物通道）</w:t>
                  </w:r>
                </w:p>
              </w:tc>
              <w:tc>
                <w:tcPr>
                  <w:tcW w:w="919" w:type="pct"/>
                  <w:noWrap w:val="0"/>
                  <w:vAlign w:val="center"/>
                </w:tcPr>
                <w:p w14:paraId="4A1A75D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1897F4F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5.94</w:t>
                  </w:r>
                </w:p>
              </w:tc>
              <w:tc>
                <w:tcPr>
                  <w:tcW w:w="371" w:type="pct"/>
                  <w:noWrap w:val="0"/>
                  <w:vAlign w:val="center"/>
                </w:tcPr>
                <w:p w14:paraId="13EA988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0A3D81B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727429A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633AEE9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34578D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3724D6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7.08E-08</w:t>
                  </w:r>
                </w:p>
              </w:tc>
            </w:tr>
            <w:tr w14:paraId="24E3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3F64567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0C6BE1B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12</w:t>
                  </w:r>
                </w:p>
              </w:tc>
              <w:tc>
                <w:tcPr>
                  <w:tcW w:w="816" w:type="pct"/>
                  <w:noWrap w:val="0"/>
                  <w:vAlign w:val="center"/>
                </w:tcPr>
                <w:p w14:paraId="2659DD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机房南面墙体外30cm（设备间）</w:t>
                  </w:r>
                </w:p>
              </w:tc>
              <w:tc>
                <w:tcPr>
                  <w:tcW w:w="919" w:type="pct"/>
                  <w:noWrap w:val="0"/>
                  <w:vAlign w:val="center"/>
                </w:tcPr>
                <w:p w14:paraId="25D6AE7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3AC7866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4.3</w:t>
                  </w:r>
                </w:p>
              </w:tc>
              <w:tc>
                <w:tcPr>
                  <w:tcW w:w="371" w:type="pct"/>
                  <w:noWrap w:val="0"/>
                  <w:vAlign w:val="center"/>
                </w:tcPr>
                <w:p w14:paraId="3737A2D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7BE9CDA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2001EAA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2CD60A5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2C9240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5.42E-10</w:t>
                  </w:r>
                </w:p>
              </w:tc>
              <w:tc>
                <w:tcPr>
                  <w:tcW w:w="352" w:type="pct"/>
                  <w:noWrap w:val="0"/>
                  <w:vAlign w:val="center"/>
                </w:tcPr>
                <w:p w14:paraId="0E4D4B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1.35E-07</w:t>
                  </w:r>
                </w:p>
              </w:tc>
            </w:tr>
            <w:tr w14:paraId="7607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5EAF9B1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0DAFA0F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13</w:t>
                  </w:r>
                </w:p>
              </w:tc>
              <w:tc>
                <w:tcPr>
                  <w:tcW w:w="816" w:type="pct"/>
                  <w:noWrap w:val="0"/>
                  <w:vAlign w:val="center"/>
                </w:tcPr>
                <w:p w14:paraId="20C1FA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拟建机房楼上100cm（神经外科病房）</w:t>
                  </w:r>
                </w:p>
              </w:tc>
              <w:tc>
                <w:tcPr>
                  <w:tcW w:w="919" w:type="pct"/>
                  <w:noWrap w:val="0"/>
                  <w:vAlign w:val="center"/>
                </w:tcPr>
                <w:p w14:paraId="20177E1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120mm钢筋混凝土楼板+4mm铅板</w:t>
                  </w:r>
                </w:p>
              </w:tc>
              <w:tc>
                <w:tcPr>
                  <w:tcW w:w="530" w:type="pct"/>
                  <w:noWrap w:val="0"/>
                  <w:vAlign w:val="center"/>
                </w:tcPr>
                <w:p w14:paraId="20DBFDC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4.0</w:t>
                  </w:r>
                </w:p>
              </w:tc>
              <w:tc>
                <w:tcPr>
                  <w:tcW w:w="371" w:type="pct"/>
                  <w:noWrap w:val="0"/>
                  <w:vAlign w:val="center"/>
                </w:tcPr>
                <w:p w14:paraId="119009C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5.44</w:t>
                  </w:r>
                </w:p>
              </w:tc>
              <w:tc>
                <w:tcPr>
                  <w:tcW w:w="381" w:type="pct"/>
                  <w:noWrap w:val="0"/>
                  <w:vAlign w:val="center"/>
                </w:tcPr>
                <w:p w14:paraId="7D49F11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764093D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4D0D275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1A459D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6.54E-13</w:t>
                  </w:r>
                </w:p>
              </w:tc>
              <w:tc>
                <w:tcPr>
                  <w:tcW w:w="352" w:type="pct"/>
                  <w:noWrap w:val="0"/>
                  <w:vAlign w:val="center"/>
                </w:tcPr>
                <w:p w14:paraId="06B195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1.88E-10</w:t>
                  </w:r>
                </w:p>
              </w:tc>
            </w:tr>
            <w:tr w14:paraId="6095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5C984F8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50ECFE2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14</w:t>
                  </w:r>
                </w:p>
              </w:tc>
              <w:tc>
                <w:tcPr>
                  <w:tcW w:w="816" w:type="pct"/>
                  <w:noWrap w:val="0"/>
                  <w:vAlign w:val="center"/>
                </w:tcPr>
                <w:p w14:paraId="6C54BB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拟建机房楼下1.7m（器械预清洗/敷料打包/库房/2号手术室）</w:t>
                  </w:r>
                </w:p>
              </w:tc>
              <w:tc>
                <w:tcPr>
                  <w:tcW w:w="919" w:type="pct"/>
                  <w:noWrap w:val="0"/>
                  <w:vAlign w:val="center"/>
                </w:tcPr>
                <w:p w14:paraId="3A18441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120mm钢筋混凝土楼板+40mm硫酸钡涂料</w:t>
                  </w:r>
                </w:p>
              </w:tc>
              <w:tc>
                <w:tcPr>
                  <w:tcW w:w="530" w:type="pct"/>
                  <w:noWrap w:val="0"/>
                  <w:vAlign w:val="center"/>
                </w:tcPr>
                <w:p w14:paraId="13A344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pPr>
                  <w:r>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t>4.3</w:t>
                  </w:r>
                </w:p>
              </w:tc>
              <w:tc>
                <w:tcPr>
                  <w:tcW w:w="371" w:type="pct"/>
                  <w:noWrap w:val="0"/>
                  <w:vAlign w:val="center"/>
                </w:tcPr>
                <w:p w14:paraId="48267EF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t>5.16</w:t>
                  </w:r>
                </w:p>
              </w:tc>
              <w:tc>
                <w:tcPr>
                  <w:tcW w:w="381" w:type="pct"/>
                  <w:noWrap w:val="0"/>
                  <w:vAlign w:val="center"/>
                </w:tcPr>
                <w:p w14:paraId="1B264FD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4EA6E84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187ECE3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2C8E95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2.42E-12</w:t>
                  </w:r>
                </w:p>
              </w:tc>
              <w:tc>
                <w:tcPr>
                  <w:tcW w:w="352" w:type="pct"/>
                  <w:noWrap w:val="0"/>
                  <w:vAlign w:val="center"/>
                </w:tcPr>
                <w:p w14:paraId="4CDE19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6.02E-10</w:t>
                  </w:r>
                </w:p>
              </w:tc>
            </w:tr>
            <w:tr w14:paraId="420A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72B0617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26BAF8C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15</w:t>
                  </w:r>
                </w:p>
              </w:tc>
              <w:tc>
                <w:tcPr>
                  <w:tcW w:w="816" w:type="pct"/>
                  <w:noWrap w:val="0"/>
                  <w:vAlign w:val="center"/>
                </w:tcPr>
                <w:p w14:paraId="53165C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拟建机房楼上30cm</w:t>
                  </w:r>
                </w:p>
              </w:tc>
              <w:tc>
                <w:tcPr>
                  <w:tcW w:w="919" w:type="pct"/>
                  <w:noWrap w:val="0"/>
                  <w:vAlign w:val="center"/>
                </w:tcPr>
                <w:p w14:paraId="45E474B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120mm钢筋混凝土楼板+4mm铅板</w:t>
                  </w:r>
                </w:p>
              </w:tc>
              <w:tc>
                <w:tcPr>
                  <w:tcW w:w="530" w:type="pct"/>
                  <w:noWrap w:val="0"/>
                  <w:vAlign w:val="center"/>
                </w:tcPr>
                <w:p w14:paraId="0EE5134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3.3</w:t>
                  </w:r>
                </w:p>
              </w:tc>
              <w:tc>
                <w:tcPr>
                  <w:tcW w:w="371" w:type="pct"/>
                  <w:noWrap w:val="0"/>
                  <w:vAlign w:val="center"/>
                </w:tcPr>
                <w:p w14:paraId="21796BF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5.44</w:t>
                  </w:r>
                </w:p>
              </w:tc>
              <w:tc>
                <w:tcPr>
                  <w:tcW w:w="381" w:type="pct"/>
                  <w:noWrap w:val="0"/>
                  <w:vAlign w:val="center"/>
                </w:tcPr>
                <w:p w14:paraId="6C2AFB0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4B4CCF5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7EDE6FA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459277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6.54E-13</w:t>
                  </w:r>
                </w:p>
              </w:tc>
              <w:tc>
                <w:tcPr>
                  <w:tcW w:w="352" w:type="pct"/>
                  <w:noWrap w:val="0"/>
                  <w:vAlign w:val="center"/>
                </w:tcPr>
                <w:p w14:paraId="7D3E98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2.77E-10</w:t>
                  </w:r>
                </w:p>
              </w:tc>
            </w:tr>
            <w:tr w14:paraId="0E1F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68D790B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70C5FDD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16</w:t>
                  </w:r>
                </w:p>
              </w:tc>
              <w:tc>
                <w:tcPr>
                  <w:tcW w:w="816" w:type="pct"/>
                  <w:noWrap w:val="0"/>
                  <w:vAlign w:val="center"/>
                </w:tcPr>
                <w:p w14:paraId="35BB76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拟建机房楼下30cm</w:t>
                  </w:r>
                </w:p>
              </w:tc>
              <w:tc>
                <w:tcPr>
                  <w:tcW w:w="919" w:type="pct"/>
                  <w:noWrap w:val="0"/>
                  <w:vAlign w:val="center"/>
                </w:tcPr>
                <w:p w14:paraId="316CCC1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120mm钢筋混凝土楼板+40mm硫酸钡涂料</w:t>
                  </w:r>
                </w:p>
              </w:tc>
              <w:tc>
                <w:tcPr>
                  <w:tcW w:w="530" w:type="pct"/>
                  <w:noWrap w:val="0"/>
                  <w:vAlign w:val="center"/>
                </w:tcPr>
                <w:p w14:paraId="652CE02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1.5</w:t>
                  </w:r>
                </w:p>
              </w:tc>
              <w:tc>
                <w:tcPr>
                  <w:tcW w:w="371" w:type="pct"/>
                  <w:noWrap w:val="0"/>
                  <w:vAlign w:val="center"/>
                </w:tcPr>
                <w:p w14:paraId="56252A1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t>5.16</w:t>
                  </w:r>
                </w:p>
              </w:tc>
              <w:tc>
                <w:tcPr>
                  <w:tcW w:w="381" w:type="pct"/>
                  <w:noWrap w:val="0"/>
                  <w:vAlign w:val="center"/>
                </w:tcPr>
                <w:p w14:paraId="5E19D16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2CB695E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2061A2E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1E129A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2.42E-12</w:t>
                  </w:r>
                </w:p>
              </w:tc>
              <w:tc>
                <w:tcPr>
                  <w:tcW w:w="352" w:type="pct"/>
                  <w:noWrap w:val="0"/>
                  <w:vAlign w:val="center"/>
                </w:tcPr>
                <w:p w14:paraId="303CCD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4.95E-09</w:t>
                  </w:r>
                </w:p>
              </w:tc>
            </w:tr>
            <w:tr w14:paraId="0DB6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4605EC8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7F9B985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w:t>
                  </w:r>
                </w:p>
              </w:tc>
              <w:tc>
                <w:tcPr>
                  <w:tcW w:w="816" w:type="pct"/>
                  <w:noWrap w:val="0"/>
                  <w:vAlign w:val="center"/>
                </w:tcPr>
                <w:p w14:paraId="680786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第一术者位（仅透视）</w:t>
                  </w:r>
                </w:p>
              </w:tc>
              <w:tc>
                <w:tcPr>
                  <w:tcW w:w="919" w:type="pct"/>
                  <w:noWrap w:val="0"/>
                  <w:vAlign w:val="center"/>
                </w:tcPr>
                <w:p w14:paraId="635171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铅帘及个人防护用品一套</w:t>
                  </w:r>
                </w:p>
              </w:tc>
              <w:tc>
                <w:tcPr>
                  <w:tcW w:w="530" w:type="pct"/>
                  <w:noWrap w:val="0"/>
                  <w:vAlign w:val="center"/>
                </w:tcPr>
                <w:p w14:paraId="24D4EE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0.3</w:t>
                  </w:r>
                </w:p>
              </w:tc>
              <w:tc>
                <w:tcPr>
                  <w:tcW w:w="371" w:type="pct"/>
                  <w:noWrap w:val="0"/>
                  <w:vAlign w:val="center"/>
                </w:tcPr>
                <w:p w14:paraId="615B82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1</w:t>
                  </w:r>
                </w:p>
              </w:tc>
              <w:tc>
                <w:tcPr>
                  <w:tcW w:w="381" w:type="pct"/>
                  <w:noWrap w:val="0"/>
                  <w:vAlign w:val="center"/>
                </w:tcPr>
                <w:p w14:paraId="3016306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7D1C17B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4A87B48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7DEC6D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6.89E-04</w:t>
                  </w:r>
                </w:p>
              </w:tc>
              <w:tc>
                <w:tcPr>
                  <w:tcW w:w="352" w:type="pct"/>
                  <w:noWrap w:val="0"/>
                  <w:vAlign w:val="center"/>
                </w:tcPr>
                <w:p w14:paraId="056338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3.53E+01</w:t>
                  </w:r>
                </w:p>
              </w:tc>
            </w:tr>
            <w:tr w14:paraId="7615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1867777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627110E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18</w:t>
                  </w:r>
                </w:p>
              </w:tc>
              <w:tc>
                <w:tcPr>
                  <w:tcW w:w="816" w:type="pct"/>
                  <w:noWrap w:val="0"/>
                  <w:vAlign w:val="center"/>
                </w:tcPr>
                <w:p w14:paraId="37F0C2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第二术者位（仅透视）</w:t>
                  </w:r>
                </w:p>
              </w:tc>
              <w:tc>
                <w:tcPr>
                  <w:tcW w:w="919" w:type="pct"/>
                  <w:noWrap w:val="0"/>
                  <w:vAlign w:val="center"/>
                </w:tcPr>
                <w:p w14:paraId="3CF159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个人防护用品一套</w:t>
                  </w:r>
                </w:p>
              </w:tc>
              <w:tc>
                <w:tcPr>
                  <w:tcW w:w="530" w:type="pct"/>
                  <w:noWrap w:val="0"/>
                  <w:vAlign w:val="center"/>
                </w:tcPr>
                <w:p w14:paraId="2427C0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0.</w:t>
                  </w:r>
                  <w:r>
                    <w:rPr>
                      <w:rFonts w:hint="eastAsia" w:cs="Times New Roman"/>
                      <w:color w:val="auto"/>
                      <w:spacing w:val="0"/>
                      <w:kern w:val="2"/>
                      <w:position w:val="0"/>
                      <w:sz w:val="18"/>
                      <w:szCs w:val="18"/>
                      <w:highlight w:val="none"/>
                      <w:lang w:val="en-US" w:eastAsia="zh-CN" w:bidi="ar-SA"/>
                    </w:rPr>
                    <w:t>9</w:t>
                  </w:r>
                </w:p>
              </w:tc>
              <w:tc>
                <w:tcPr>
                  <w:tcW w:w="371" w:type="pct"/>
                  <w:noWrap w:val="0"/>
                  <w:vAlign w:val="center"/>
                </w:tcPr>
                <w:p w14:paraId="2915FF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eastAsia" w:cs="Times New Roman"/>
                      <w:color w:val="auto"/>
                      <w:spacing w:val="0"/>
                      <w:position w:val="0"/>
                      <w:sz w:val="18"/>
                      <w:szCs w:val="18"/>
                      <w:highlight w:val="none"/>
                      <w:lang w:val="en-US" w:eastAsia="zh-CN"/>
                    </w:rPr>
                    <w:t>0.5</w:t>
                  </w:r>
                </w:p>
              </w:tc>
              <w:tc>
                <w:tcPr>
                  <w:tcW w:w="381" w:type="pct"/>
                  <w:noWrap w:val="0"/>
                  <w:vAlign w:val="center"/>
                </w:tcPr>
                <w:p w14:paraId="08EB061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4.666</w:t>
                  </w:r>
                </w:p>
              </w:tc>
              <w:tc>
                <w:tcPr>
                  <w:tcW w:w="371" w:type="pct"/>
                  <w:noWrap w:val="0"/>
                  <w:vAlign w:val="center"/>
                </w:tcPr>
                <w:p w14:paraId="1B5BE15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22.69</w:t>
                  </w:r>
                </w:p>
              </w:tc>
              <w:tc>
                <w:tcPr>
                  <w:tcW w:w="408" w:type="pct"/>
                  <w:noWrap w:val="0"/>
                  <w:vAlign w:val="center"/>
                </w:tcPr>
                <w:p w14:paraId="755D30B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0.6618</w:t>
                  </w:r>
                </w:p>
              </w:tc>
              <w:tc>
                <w:tcPr>
                  <w:tcW w:w="334" w:type="pct"/>
                  <w:noWrap w:val="0"/>
                  <w:vAlign w:val="center"/>
                </w:tcPr>
                <w:p w14:paraId="472320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9.00E-03</w:t>
                  </w:r>
                </w:p>
              </w:tc>
              <w:tc>
                <w:tcPr>
                  <w:tcW w:w="352" w:type="pct"/>
                  <w:noWrap w:val="0"/>
                  <w:vAlign w:val="center"/>
                </w:tcPr>
                <w:p w14:paraId="23764D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5.12</w:t>
                  </w:r>
                  <w:r>
                    <w:rPr>
                      <w:rFonts w:hint="default" w:ascii="Times New Roman" w:hAnsi="Times New Roman" w:eastAsia="宋体" w:cs="Times New Roman"/>
                      <w:i w:val="0"/>
                      <w:iCs w:val="0"/>
                      <w:color w:val="auto"/>
                      <w:kern w:val="0"/>
                      <w:sz w:val="18"/>
                      <w:szCs w:val="18"/>
                      <w:highlight w:val="none"/>
                      <w:u w:val="none"/>
                      <w:lang w:val="en-US" w:eastAsia="zh-CN" w:bidi="ar"/>
                    </w:rPr>
                    <w:t>E+01</w:t>
                  </w:r>
                </w:p>
              </w:tc>
            </w:tr>
            <w:tr w14:paraId="3A55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noWrap w:val="0"/>
                  <w:vAlign w:val="center"/>
                </w:tcPr>
                <w:p w14:paraId="54D5F9C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95kV减影模式</w:t>
                  </w:r>
                </w:p>
              </w:tc>
              <w:tc>
                <w:tcPr>
                  <w:tcW w:w="287" w:type="pct"/>
                  <w:noWrap w:val="0"/>
                  <w:vAlign w:val="center"/>
                </w:tcPr>
                <w:p w14:paraId="768FAB4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w:t>
                  </w:r>
                </w:p>
              </w:tc>
              <w:tc>
                <w:tcPr>
                  <w:tcW w:w="816" w:type="pct"/>
                  <w:noWrap w:val="0"/>
                  <w:vAlign w:val="center"/>
                </w:tcPr>
                <w:p w14:paraId="4E4B9A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position w:val="0"/>
                      <w:sz w:val="18"/>
                      <w:szCs w:val="18"/>
                      <w:highlight w:val="none"/>
                      <w:vertAlign w:val="baseline"/>
                      <w:lang w:val="en-US" w:eastAsia="zh-CN"/>
                    </w:rPr>
                    <w:t>控制室铅玻璃外30cm</w:t>
                  </w:r>
                </w:p>
              </w:tc>
              <w:tc>
                <w:tcPr>
                  <w:tcW w:w="919" w:type="pct"/>
                  <w:noWrap w:val="0"/>
                  <w:vAlign w:val="center"/>
                </w:tcPr>
                <w:p w14:paraId="6E85287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4.0mm铅玻璃</w:t>
                  </w:r>
                </w:p>
              </w:tc>
              <w:tc>
                <w:tcPr>
                  <w:tcW w:w="530" w:type="pct"/>
                  <w:noWrap w:val="0"/>
                  <w:vAlign w:val="center"/>
                </w:tcPr>
                <w:p w14:paraId="298A4A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3.6</w:t>
                  </w:r>
                </w:p>
              </w:tc>
              <w:tc>
                <w:tcPr>
                  <w:tcW w:w="371" w:type="pct"/>
                  <w:noWrap w:val="0"/>
                  <w:vAlign w:val="center"/>
                </w:tcPr>
                <w:p w14:paraId="6F3004A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w:t>
                  </w:r>
                </w:p>
              </w:tc>
              <w:tc>
                <w:tcPr>
                  <w:tcW w:w="381" w:type="pct"/>
                  <w:noWrap w:val="0"/>
                  <w:vAlign w:val="center"/>
                </w:tcPr>
                <w:p w14:paraId="4DB0450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1A3CF1E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2F8C28D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08E75C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47162B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3.28E-02</w:t>
                  </w:r>
                </w:p>
              </w:tc>
            </w:tr>
            <w:tr w14:paraId="6F2D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0235A56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4937114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w:t>
                  </w:r>
                </w:p>
              </w:tc>
              <w:tc>
                <w:tcPr>
                  <w:tcW w:w="816" w:type="pct"/>
                  <w:noWrap w:val="0"/>
                  <w:vAlign w:val="center"/>
                </w:tcPr>
                <w:p w14:paraId="53B46F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position w:val="0"/>
                      <w:sz w:val="18"/>
                      <w:szCs w:val="18"/>
                      <w:highlight w:val="none"/>
                      <w:vertAlign w:val="baseline"/>
                      <w:lang w:val="en-US" w:eastAsia="zh-CN"/>
                    </w:rPr>
                    <w:t>控制室墙体外30cm</w:t>
                  </w:r>
                </w:p>
              </w:tc>
              <w:tc>
                <w:tcPr>
                  <w:tcW w:w="919" w:type="pct"/>
                  <w:noWrap w:val="0"/>
                  <w:vAlign w:val="center"/>
                </w:tcPr>
                <w:p w14:paraId="2F05720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4.0mm铅板</w:t>
                  </w:r>
                </w:p>
              </w:tc>
              <w:tc>
                <w:tcPr>
                  <w:tcW w:w="530" w:type="pct"/>
                  <w:noWrap w:val="0"/>
                  <w:vAlign w:val="center"/>
                </w:tcPr>
                <w:p w14:paraId="175436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3.67</w:t>
                  </w:r>
                </w:p>
              </w:tc>
              <w:tc>
                <w:tcPr>
                  <w:tcW w:w="371" w:type="pct"/>
                  <w:noWrap w:val="0"/>
                  <w:vAlign w:val="center"/>
                </w:tcPr>
                <w:p w14:paraId="72813C5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1F21B1F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09AFB2C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092CE75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14B494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4BB888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3.15E-02</w:t>
                  </w:r>
                </w:p>
              </w:tc>
            </w:tr>
            <w:tr w14:paraId="47D6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4A5AA0A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4990823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3</w:t>
                  </w:r>
                </w:p>
              </w:tc>
              <w:tc>
                <w:tcPr>
                  <w:tcW w:w="816" w:type="pct"/>
                  <w:noWrap w:val="0"/>
                  <w:vAlign w:val="center"/>
                </w:tcPr>
                <w:p w14:paraId="7D8EE1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控制室铅门外30cm</w:t>
                  </w:r>
                </w:p>
              </w:tc>
              <w:tc>
                <w:tcPr>
                  <w:tcW w:w="919" w:type="pct"/>
                  <w:noWrap w:val="0"/>
                  <w:vAlign w:val="center"/>
                </w:tcPr>
                <w:p w14:paraId="5FEBA88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4.0mm铅门</w:t>
                  </w:r>
                </w:p>
              </w:tc>
              <w:tc>
                <w:tcPr>
                  <w:tcW w:w="530" w:type="pct"/>
                  <w:noWrap w:val="0"/>
                  <w:vAlign w:val="center"/>
                </w:tcPr>
                <w:p w14:paraId="3419F7F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3.98</w:t>
                  </w:r>
                </w:p>
              </w:tc>
              <w:tc>
                <w:tcPr>
                  <w:tcW w:w="371" w:type="pct"/>
                  <w:noWrap w:val="0"/>
                  <w:vAlign w:val="center"/>
                </w:tcPr>
                <w:p w14:paraId="03E6E39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1C669BE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75DB342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6EBA151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514486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461B9B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2.68E-02</w:t>
                  </w:r>
                </w:p>
              </w:tc>
            </w:tr>
            <w:tr w14:paraId="082E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60D1F35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1EE6419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4</w:t>
                  </w:r>
                </w:p>
              </w:tc>
              <w:tc>
                <w:tcPr>
                  <w:tcW w:w="816" w:type="pct"/>
                  <w:noWrap w:val="0"/>
                  <w:vAlign w:val="center"/>
                </w:tcPr>
                <w:p w14:paraId="764487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机房北面墙体外30cm（洁净通道）</w:t>
                  </w:r>
                </w:p>
              </w:tc>
              <w:tc>
                <w:tcPr>
                  <w:tcW w:w="919" w:type="pct"/>
                  <w:noWrap w:val="0"/>
                  <w:vAlign w:val="center"/>
                </w:tcPr>
                <w:p w14:paraId="3B94EC1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3A49EA2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4.3</w:t>
                  </w:r>
                </w:p>
              </w:tc>
              <w:tc>
                <w:tcPr>
                  <w:tcW w:w="371" w:type="pct"/>
                  <w:noWrap w:val="0"/>
                  <w:vAlign w:val="center"/>
                </w:tcPr>
                <w:p w14:paraId="79D8C27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2C11BD4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2E9A0A2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4E00FB2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4D7138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43102A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2.30E-02</w:t>
                  </w:r>
                </w:p>
              </w:tc>
            </w:tr>
            <w:tr w14:paraId="75C4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1B30AE5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24B5278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5</w:t>
                  </w:r>
                </w:p>
              </w:tc>
              <w:tc>
                <w:tcPr>
                  <w:tcW w:w="816" w:type="pct"/>
                  <w:noWrap w:val="0"/>
                  <w:vAlign w:val="center"/>
                </w:tcPr>
                <w:p w14:paraId="6BD688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患者通道铅门外30cm</w:t>
                  </w:r>
                </w:p>
              </w:tc>
              <w:tc>
                <w:tcPr>
                  <w:tcW w:w="919" w:type="pct"/>
                  <w:noWrap w:val="0"/>
                  <w:vAlign w:val="center"/>
                </w:tcPr>
                <w:p w14:paraId="3B009BB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4.0mm铅门</w:t>
                  </w:r>
                </w:p>
              </w:tc>
              <w:tc>
                <w:tcPr>
                  <w:tcW w:w="530" w:type="pct"/>
                  <w:noWrap w:val="0"/>
                  <w:vAlign w:val="center"/>
                </w:tcPr>
                <w:p w14:paraId="1E3B912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5.18</w:t>
                  </w:r>
                </w:p>
              </w:tc>
              <w:tc>
                <w:tcPr>
                  <w:tcW w:w="371" w:type="pct"/>
                  <w:noWrap w:val="0"/>
                  <w:vAlign w:val="center"/>
                </w:tcPr>
                <w:p w14:paraId="0D9008A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4D3E453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601AB4D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31BE899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22EC89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7C037B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1.58E-02</w:t>
                  </w:r>
                </w:p>
              </w:tc>
            </w:tr>
            <w:tr w14:paraId="6F09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792075A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624DCEB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6</w:t>
                  </w:r>
                </w:p>
              </w:tc>
              <w:tc>
                <w:tcPr>
                  <w:tcW w:w="816" w:type="pct"/>
                  <w:noWrap w:val="0"/>
                  <w:vAlign w:val="center"/>
                </w:tcPr>
                <w:p w14:paraId="18FF9A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机房北面墙体外30cm（洁净通道）</w:t>
                  </w:r>
                </w:p>
              </w:tc>
              <w:tc>
                <w:tcPr>
                  <w:tcW w:w="919" w:type="pct"/>
                  <w:noWrap w:val="0"/>
                  <w:vAlign w:val="center"/>
                </w:tcPr>
                <w:p w14:paraId="1F8419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300mm钢筋混凝土剪力墙+</w:t>
                  </w:r>
                  <w:r>
                    <w:rPr>
                      <w:rFonts w:hint="eastAsia" w:cs="Times New Roman"/>
                      <w:color w:val="auto"/>
                      <w:kern w:val="2"/>
                      <w:sz w:val="18"/>
                      <w:szCs w:val="18"/>
                      <w:highlight w:val="none"/>
                      <w:lang w:val="en-US" w:eastAsia="zh-CN" w:bidi="ar-SA"/>
                    </w:rPr>
                    <w:t>2</w:t>
                  </w:r>
                  <w:r>
                    <w:rPr>
                      <w:rFonts w:hint="default" w:ascii="Times New Roman" w:hAnsi="Times New Roman" w:eastAsia="宋体" w:cs="Times New Roman"/>
                      <w:color w:val="auto"/>
                      <w:kern w:val="2"/>
                      <w:sz w:val="18"/>
                      <w:szCs w:val="18"/>
                      <w:highlight w:val="none"/>
                      <w:lang w:val="en-US" w:eastAsia="zh-CN" w:bidi="ar-SA"/>
                    </w:rPr>
                    <w:t>0mm硫酸钡防护涂料</w:t>
                  </w:r>
                </w:p>
              </w:tc>
              <w:tc>
                <w:tcPr>
                  <w:tcW w:w="530" w:type="pct"/>
                  <w:noWrap w:val="0"/>
                  <w:vAlign w:val="center"/>
                </w:tcPr>
                <w:p w14:paraId="193990F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5.9</w:t>
                  </w:r>
                </w:p>
              </w:tc>
              <w:tc>
                <w:tcPr>
                  <w:tcW w:w="371" w:type="pct"/>
                  <w:noWrap w:val="0"/>
                  <w:vAlign w:val="center"/>
                </w:tcPr>
                <w:p w14:paraId="12B4954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6.18</w:t>
                  </w:r>
                </w:p>
              </w:tc>
              <w:tc>
                <w:tcPr>
                  <w:tcW w:w="381" w:type="pct"/>
                  <w:noWrap w:val="0"/>
                  <w:vAlign w:val="center"/>
                </w:tcPr>
                <w:p w14:paraId="4A8D293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37DE849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1FB078A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025866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3.59E-09</w:t>
                  </w:r>
                </w:p>
              </w:tc>
              <w:tc>
                <w:tcPr>
                  <w:tcW w:w="352" w:type="pct"/>
                  <w:noWrap w:val="0"/>
                  <w:vAlign w:val="center"/>
                </w:tcPr>
                <w:p w14:paraId="5C8AE9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3.17E-05</w:t>
                  </w:r>
                </w:p>
              </w:tc>
            </w:tr>
            <w:tr w14:paraId="40E0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6CF29B0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58A5B12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7</w:t>
                  </w:r>
                </w:p>
              </w:tc>
              <w:tc>
                <w:tcPr>
                  <w:tcW w:w="816" w:type="pct"/>
                  <w:noWrap w:val="0"/>
                  <w:vAlign w:val="center"/>
                </w:tcPr>
                <w:p w14:paraId="2C15D6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机房东面墙体外30cm（16号手术室）</w:t>
                  </w:r>
                </w:p>
              </w:tc>
              <w:tc>
                <w:tcPr>
                  <w:tcW w:w="919" w:type="pct"/>
                  <w:noWrap w:val="0"/>
                  <w:vAlign w:val="center"/>
                </w:tcPr>
                <w:p w14:paraId="1223A8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300mm钢筋混凝土剪力墙+</w:t>
                  </w:r>
                  <w:r>
                    <w:rPr>
                      <w:rFonts w:hint="eastAsia" w:cs="Times New Roman"/>
                      <w:color w:val="auto"/>
                      <w:kern w:val="2"/>
                      <w:sz w:val="18"/>
                      <w:szCs w:val="18"/>
                      <w:highlight w:val="none"/>
                      <w:lang w:val="en-US" w:eastAsia="zh-CN" w:bidi="ar-SA"/>
                    </w:rPr>
                    <w:t>2</w:t>
                  </w:r>
                  <w:r>
                    <w:rPr>
                      <w:rFonts w:hint="default" w:ascii="Times New Roman" w:hAnsi="Times New Roman" w:eastAsia="宋体" w:cs="Times New Roman"/>
                      <w:color w:val="auto"/>
                      <w:kern w:val="2"/>
                      <w:sz w:val="18"/>
                      <w:szCs w:val="18"/>
                      <w:highlight w:val="none"/>
                      <w:lang w:val="en-US" w:eastAsia="zh-CN" w:bidi="ar-SA"/>
                    </w:rPr>
                    <w:t>0mm硫酸钡防护涂料</w:t>
                  </w:r>
                </w:p>
              </w:tc>
              <w:tc>
                <w:tcPr>
                  <w:tcW w:w="530" w:type="pct"/>
                  <w:noWrap w:val="0"/>
                  <w:vAlign w:val="center"/>
                </w:tcPr>
                <w:p w14:paraId="3AFFE73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6.93</w:t>
                  </w:r>
                </w:p>
              </w:tc>
              <w:tc>
                <w:tcPr>
                  <w:tcW w:w="371" w:type="pct"/>
                  <w:noWrap w:val="0"/>
                  <w:vAlign w:val="center"/>
                </w:tcPr>
                <w:p w14:paraId="48E7DE6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6.18</w:t>
                  </w:r>
                </w:p>
              </w:tc>
              <w:tc>
                <w:tcPr>
                  <w:tcW w:w="381" w:type="pct"/>
                  <w:noWrap w:val="0"/>
                  <w:vAlign w:val="center"/>
                </w:tcPr>
                <w:p w14:paraId="4C1B609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5CD279E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2CC5943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7B1F1C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3.59E-09</w:t>
                  </w:r>
                </w:p>
              </w:tc>
              <w:tc>
                <w:tcPr>
                  <w:tcW w:w="352" w:type="pct"/>
                  <w:noWrap w:val="0"/>
                  <w:vAlign w:val="center"/>
                </w:tcPr>
                <w:p w14:paraId="4D9E99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2.30E-05</w:t>
                  </w:r>
                </w:p>
              </w:tc>
            </w:tr>
            <w:tr w14:paraId="653C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21380DA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5621120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8</w:t>
                  </w:r>
                </w:p>
              </w:tc>
              <w:tc>
                <w:tcPr>
                  <w:tcW w:w="816" w:type="pct"/>
                  <w:noWrap w:val="0"/>
                  <w:vAlign w:val="center"/>
                </w:tcPr>
                <w:p w14:paraId="09E374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机房东面墙体外30cm（16号手术室）</w:t>
                  </w:r>
                </w:p>
              </w:tc>
              <w:tc>
                <w:tcPr>
                  <w:tcW w:w="919" w:type="pct"/>
                  <w:noWrap w:val="0"/>
                  <w:vAlign w:val="center"/>
                </w:tcPr>
                <w:p w14:paraId="147FE5F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7678430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6.9</w:t>
                  </w:r>
                </w:p>
              </w:tc>
              <w:tc>
                <w:tcPr>
                  <w:tcW w:w="371" w:type="pct"/>
                  <w:noWrap w:val="0"/>
                  <w:vAlign w:val="center"/>
                </w:tcPr>
                <w:p w14:paraId="7C493E7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1C20BE3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4F61DA8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58F608C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47BA42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7D0156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8.92E-03</w:t>
                  </w:r>
                </w:p>
              </w:tc>
            </w:tr>
            <w:tr w14:paraId="1B2C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0F88C7D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477A32A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9</w:t>
                  </w:r>
                </w:p>
              </w:tc>
              <w:tc>
                <w:tcPr>
                  <w:tcW w:w="816" w:type="pct"/>
                  <w:noWrap w:val="0"/>
                  <w:vAlign w:val="center"/>
                </w:tcPr>
                <w:p w14:paraId="624C71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机房南面墙体外30cm（污物通道）</w:t>
                  </w:r>
                </w:p>
              </w:tc>
              <w:tc>
                <w:tcPr>
                  <w:tcW w:w="919" w:type="pct"/>
                  <w:noWrap w:val="0"/>
                  <w:vAlign w:val="center"/>
                </w:tcPr>
                <w:p w14:paraId="0EAB62B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300mm钢筋混凝土剪力墙+20mm硫酸钡防护涂料</w:t>
                  </w:r>
                </w:p>
              </w:tc>
              <w:tc>
                <w:tcPr>
                  <w:tcW w:w="530" w:type="pct"/>
                  <w:noWrap w:val="0"/>
                  <w:vAlign w:val="center"/>
                </w:tcPr>
                <w:p w14:paraId="2A20157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6.67</w:t>
                  </w:r>
                </w:p>
              </w:tc>
              <w:tc>
                <w:tcPr>
                  <w:tcW w:w="371" w:type="pct"/>
                  <w:noWrap w:val="0"/>
                  <w:vAlign w:val="center"/>
                </w:tcPr>
                <w:p w14:paraId="0B668C2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eastAsia" w:cs="Times New Roman"/>
                      <w:color w:val="auto"/>
                      <w:kern w:val="2"/>
                      <w:sz w:val="18"/>
                      <w:szCs w:val="18"/>
                      <w:highlight w:val="none"/>
                      <w:lang w:val="en-US" w:eastAsia="zh-CN" w:bidi="ar-SA"/>
                    </w:rPr>
                    <w:t>6.18</w:t>
                  </w:r>
                </w:p>
              </w:tc>
              <w:tc>
                <w:tcPr>
                  <w:tcW w:w="381" w:type="pct"/>
                  <w:noWrap w:val="0"/>
                  <w:vAlign w:val="center"/>
                </w:tcPr>
                <w:p w14:paraId="69D3A2C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76BA649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722E566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2970EA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3.59E-09</w:t>
                  </w:r>
                </w:p>
              </w:tc>
              <w:tc>
                <w:tcPr>
                  <w:tcW w:w="352" w:type="pct"/>
                  <w:noWrap w:val="0"/>
                  <w:vAlign w:val="center"/>
                </w:tcPr>
                <w:p w14:paraId="4BF8E7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2.48E-05</w:t>
                  </w:r>
                </w:p>
              </w:tc>
            </w:tr>
            <w:tr w14:paraId="1ADB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46F7CD7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77A105E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10</w:t>
                  </w:r>
                </w:p>
              </w:tc>
              <w:tc>
                <w:tcPr>
                  <w:tcW w:w="816" w:type="pct"/>
                  <w:noWrap w:val="0"/>
                  <w:vAlign w:val="center"/>
                </w:tcPr>
                <w:p w14:paraId="4E7394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污物通道铅门</w:t>
                  </w:r>
                </w:p>
              </w:tc>
              <w:tc>
                <w:tcPr>
                  <w:tcW w:w="919" w:type="pct"/>
                  <w:noWrap w:val="0"/>
                  <w:vAlign w:val="center"/>
                </w:tcPr>
                <w:p w14:paraId="07B5722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4.0mm铅门</w:t>
                  </w:r>
                </w:p>
              </w:tc>
              <w:tc>
                <w:tcPr>
                  <w:tcW w:w="530" w:type="pct"/>
                  <w:noWrap w:val="0"/>
                  <w:vAlign w:val="center"/>
                </w:tcPr>
                <w:p w14:paraId="020DCFF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6.13</w:t>
                  </w:r>
                </w:p>
              </w:tc>
              <w:tc>
                <w:tcPr>
                  <w:tcW w:w="371" w:type="pct"/>
                  <w:noWrap w:val="0"/>
                  <w:vAlign w:val="center"/>
                </w:tcPr>
                <w:p w14:paraId="1AF5E53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298DE55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079D151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656BC9B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68EAB5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6C70E6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1.13E-02</w:t>
                  </w:r>
                </w:p>
              </w:tc>
            </w:tr>
            <w:tr w14:paraId="1B94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05F8A7C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6DCCB57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11</w:t>
                  </w:r>
                </w:p>
              </w:tc>
              <w:tc>
                <w:tcPr>
                  <w:tcW w:w="816" w:type="pct"/>
                  <w:noWrap w:val="0"/>
                  <w:vAlign w:val="center"/>
                </w:tcPr>
                <w:p w14:paraId="327220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vertAlign w:val="baseline"/>
                      <w:lang w:val="en-US" w:eastAsia="zh-CN" w:bidi="ar-SA"/>
                    </w:rPr>
                  </w:pPr>
                  <w:r>
                    <w:rPr>
                      <w:rFonts w:hint="default" w:ascii="Times New Roman" w:hAnsi="Times New Roman" w:eastAsia="宋体" w:cs="Times New Roman"/>
                      <w:color w:val="auto"/>
                      <w:spacing w:val="0"/>
                      <w:kern w:val="2"/>
                      <w:position w:val="0"/>
                      <w:sz w:val="18"/>
                      <w:szCs w:val="18"/>
                      <w:highlight w:val="none"/>
                      <w:vertAlign w:val="baseline"/>
                      <w:lang w:val="en-US" w:eastAsia="zh-CN" w:bidi="ar-SA"/>
                    </w:rPr>
                    <w:t>机房南面墙体外30cm（污物通道）</w:t>
                  </w:r>
                </w:p>
              </w:tc>
              <w:tc>
                <w:tcPr>
                  <w:tcW w:w="919" w:type="pct"/>
                  <w:noWrap w:val="0"/>
                  <w:vAlign w:val="center"/>
                </w:tcPr>
                <w:p w14:paraId="01793AA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7E02B0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5.94</w:t>
                  </w:r>
                </w:p>
              </w:tc>
              <w:tc>
                <w:tcPr>
                  <w:tcW w:w="371" w:type="pct"/>
                  <w:noWrap w:val="0"/>
                  <w:vAlign w:val="center"/>
                </w:tcPr>
                <w:p w14:paraId="6F51BB8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68413F3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324F2BB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6FCEC73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6AE0DC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1235A3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1.20E-02</w:t>
                  </w:r>
                </w:p>
              </w:tc>
            </w:tr>
            <w:tr w14:paraId="45D9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62C1247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1D10D5E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12</w:t>
                  </w:r>
                </w:p>
              </w:tc>
              <w:tc>
                <w:tcPr>
                  <w:tcW w:w="816" w:type="pct"/>
                  <w:noWrap w:val="0"/>
                  <w:vAlign w:val="center"/>
                </w:tcPr>
                <w:p w14:paraId="39B0DE0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机房南面墙体外30cm（设备间）</w:t>
                  </w:r>
                </w:p>
              </w:tc>
              <w:tc>
                <w:tcPr>
                  <w:tcW w:w="919" w:type="pct"/>
                  <w:noWrap w:val="0"/>
                  <w:vAlign w:val="center"/>
                </w:tcPr>
                <w:p w14:paraId="60551E3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4.0mm铅板</w:t>
                  </w:r>
                </w:p>
              </w:tc>
              <w:tc>
                <w:tcPr>
                  <w:tcW w:w="530" w:type="pct"/>
                  <w:noWrap w:val="0"/>
                  <w:vAlign w:val="center"/>
                </w:tcPr>
                <w:p w14:paraId="5181C6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4.3</w:t>
                  </w:r>
                </w:p>
              </w:tc>
              <w:tc>
                <w:tcPr>
                  <w:tcW w:w="371" w:type="pct"/>
                  <w:noWrap w:val="0"/>
                  <w:vAlign w:val="center"/>
                </w:tcPr>
                <w:p w14:paraId="3178824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4</w:t>
                  </w:r>
                </w:p>
              </w:tc>
              <w:tc>
                <w:tcPr>
                  <w:tcW w:w="381" w:type="pct"/>
                  <w:noWrap w:val="0"/>
                  <w:vAlign w:val="center"/>
                </w:tcPr>
                <w:p w14:paraId="1ABF06A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65C4FDE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47769EA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0F916C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1.38E-06</w:t>
                  </w:r>
                </w:p>
              </w:tc>
              <w:tc>
                <w:tcPr>
                  <w:tcW w:w="352" w:type="pct"/>
                  <w:noWrap w:val="0"/>
                  <w:vAlign w:val="center"/>
                </w:tcPr>
                <w:p w14:paraId="2F6E37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2.30E-02</w:t>
                  </w:r>
                </w:p>
              </w:tc>
            </w:tr>
            <w:tr w14:paraId="2677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0CDB3F7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258B5DA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13</w:t>
                  </w:r>
                </w:p>
              </w:tc>
              <w:tc>
                <w:tcPr>
                  <w:tcW w:w="816" w:type="pct"/>
                  <w:noWrap w:val="0"/>
                  <w:vAlign w:val="center"/>
                </w:tcPr>
                <w:p w14:paraId="058AAF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拟建机房楼上100cm（神经外科病房）</w:t>
                  </w:r>
                </w:p>
              </w:tc>
              <w:tc>
                <w:tcPr>
                  <w:tcW w:w="919" w:type="pct"/>
                  <w:noWrap w:val="0"/>
                  <w:vAlign w:val="center"/>
                </w:tcPr>
                <w:p w14:paraId="2DDE990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120mm钢筋混凝土楼板+4mm铅板</w:t>
                  </w:r>
                </w:p>
              </w:tc>
              <w:tc>
                <w:tcPr>
                  <w:tcW w:w="530" w:type="pct"/>
                  <w:noWrap w:val="0"/>
                  <w:vAlign w:val="center"/>
                </w:tcPr>
                <w:p w14:paraId="7BB7EE4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4.0</w:t>
                  </w:r>
                </w:p>
              </w:tc>
              <w:tc>
                <w:tcPr>
                  <w:tcW w:w="371" w:type="pct"/>
                  <w:noWrap w:val="0"/>
                  <w:vAlign w:val="center"/>
                </w:tcPr>
                <w:p w14:paraId="507FA30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5.44</w:t>
                  </w:r>
                </w:p>
              </w:tc>
              <w:tc>
                <w:tcPr>
                  <w:tcW w:w="381" w:type="pct"/>
                  <w:noWrap w:val="0"/>
                  <w:vAlign w:val="center"/>
                </w:tcPr>
                <w:p w14:paraId="7964EAC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474CB3B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46B2F62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465F66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2.71E-08</w:t>
                  </w:r>
                </w:p>
              </w:tc>
              <w:tc>
                <w:tcPr>
                  <w:tcW w:w="352" w:type="pct"/>
                  <w:noWrap w:val="0"/>
                  <w:vAlign w:val="center"/>
                </w:tcPr>
                <w:p w14:paraId="3DC75D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5.20E-04</w:t>
                  </w:r>
                </w:p>
              </w:tc>
            </w:tr>
            <w:tr w14:paraId="3635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1125037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62DA9D4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14</w:t>
                  </w:r>
                </w:p>
              </w:tc>
              <w:tc>
                <w:tcPr>
                  <w:tcW w:w="816" w:type="pct"/>
                  <w:noWrap w:val="0"/>
                  <w:vAlign w:val="center"/>
                </w:tcPr>
                <w:p w14:paraId="27784F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拟建机房楼下1.7m（器械预清洗/敷料打包/库房/2号手术室）</w:t>
                  </w:r>
                </w:p>
              </w:tc>
              <w:tc>
                <w:tcPr>
                  <w:tcW w:w="919" w:type="pct"/>
                  <w:noWrap w:val="0"/>
                  <w:vAlign w:val="center"/>
                </w:tcPr>
                <w:p w14:paraId="794C334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120mm钢筋混凝土楼板+40mm硫酸钡涂料</w:t>
                  </w:r>
                </w:p>
              </w:tc>
              <w:tc>
                <w:tcPr>
                  <w:tcW w:w="530" w:type="pct"/>
                  <w:noWrap w:val="0"/>
                  <w:vAlign w:val="center"/>
                </w:tcPr>
                <w:p w14:paraId="21F46B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pPr>
                  <w:r>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t>4.3</w:t>
                  </w:r>
                </w:p>
              </w:tc>
              <w:tc>
                <w:tcPr>
                  <w:tcW w:w="371" w:type="pct"/>
                  <w:noWrap w:val="0"/>
                  <w:vAlign w:val="center"/>
                </w:tcPr>
                <w:p w14:paraId="547D8CB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t>5.16</w:t>
                  </w:r>
                </w:p>
              </w:tc>
              <w:tc>
                <w:tcPr>
                  <w:tcW w:w="381" w:type="pct"/>
                  <w:noWrap w:val="0"/>
                  <w:vAlign w:val="center"/>
                </w:tcPr>
                <w:p w14:paraId="4B97A5A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705D199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7F7BEF5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5F534B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5.82E-08</w:t>
                  </w:r>
                </w:p>
              </w:tc>
              <w:tc>
                <w:tcPr>
                  <w:tcW w:w="352" w:type="pct"/>
                  <w:noWrap w:val="0"/>
                  <w:vAlign w:val="center"/>
                </w:tcPr>
                <w:p w14:paraId="36459F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9.67E-04</w:t>
                  </w:r>
                </w:p>
              </w:tc>
            </w:tr>
            <w:tr w14:paraId="4D90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7462521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087CA08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15</w:t>
                  </w:r>
                </w:p>
              </w:tc>
              <w:tc>
                <w:tcPr>
                  <w:tcW w:w="816" w:type="pct"/>
                  <w:noWrap w:val="0"/>
                  <w:vAlign w:val="center"/>
                </w:tcPr>
                <w:p w14:paraId="224AD2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拟建机房楼上30cm</w:t>
                  </w:r>
                </w:p>
              </w:tc>
              <w:tc>
                <w:tcPr>
                  <w:tcW w:w="919" w:type="pct"/>
                  <w:noWrap w:val="0"/>
                  <w:vAlign w:val="center"/>
                </w:tcPr>
                <w:p w14:paraId="2E1ECC7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120mm钢筋混凝土楼板+4mm铅板</w:t>
                  </w:r>
                </w:p>
              </w:tc>
              <w:tc>
                <w:tcPr>
                  <w:tcW w:w="530" w:type="pct"/>
                  <w:noWrap w:val="0"/>
                  <w:vAlign w:val="center"/>
                </w:tcPr>
                <w:p w14:paraId="577B4DD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3.3</w:t>
                  </w:r>
                </w:p>
              </w:tc>
              <w:tc>
                <w:tcPr>
                  <w:tcW w:w="371" w:type="pct"/>
                  <w:noWrap w:val="0"/>
                  <w:vAlign w:val="center"/>
                </w:tcPr>
                <w:p w14:paraId="7244D39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pacing w:val="0"/>
                      <w:kern w:val="2"/>
                      <w:position w:val="0"/>
                      <w:sz w:val="18"/>
                      <w:szCs w:val="18"/>
                      <w:highlight w:val="none"/>
                      <w:lang w:val="en-US" w:eastAsia="zh-CN" w:bidi="ar-SA"/>
                    </w:rPr>
                    <w:t>5.44</w:t>
                  </w:r>
                </w:p>
              </w:tc>
              <w:tc>
                <w:tcPr>
                  <w:tcW w:w="381" w:type="pct"/>
                  <w:noWrap w:val="0"/>
                  <w:vAlign w:val="center"/>
                </w:tcPr>
                <w:p w14:paraId="4476DEE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6C2D757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01E6EAE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4D4801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2.71E-08</w:t>
                  </w:r>
                </w:p>
              </w:tc>
              <w:tc>
                <w:tcPr>
                  <w:tcW w:w="352" w:type="pct"/>
                  <w:noWrap w:val="0"/>
                  <w:vAlign w:val="center"/>
                </w:tcPr>
                <w:p w14:paraId="40656C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7.64E-04</w:t>
                  </w:r>
                </w:p>
              </w:tc>
            </w:tr>
            <w:tr w14:paraId="5942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noWrap w:val="0"/>
                  <w:vAlign w:val="center"/>
                </w:tcPr>
                <w:p w14:paraId="7163BAC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p>
              </w:tc>
              <w:tc>
                <w:tcPr>
                  <w:tcW w:w="287" w:type="pct"/>
                  <w:noWrap w:val="0"/>
                  <w:vAlign w:val="center"/>
                </w:tcPr>
                <w:p w14:paraId="0D0D4B8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16</w:t>
                  </w:r>
                </w:p>
              </w:tc>
              <w:tc>
                <w:tcPr>
                  <w:tcW w:w="816" w:type="pct"/>
                  <w:noWrap w:val="0"/>
                  <w:vAlign w:val="center"/>
                </w:tcPr>
                <w:p w14:paraId="7B1D67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highlight w:val="none"/>
                      <w:lang w:val="en-US" w:eastAsia="zh-CN" w:bidi="ar-SA"/>
                    </w:rPr>
                  </w:pPr>
                  <w:r>
                    <w:rPr>
                      <w:rFonts w:hint="default" w:ascii="Times New Roman" w:hAnsi="Times New Roman" w:eastAsia="宋体" w:cs="Times New Roman"/>
                      <w:color w:val="auto"/>
                      <w:spacing w:val="0"/>
                      <w:position w:val="0"/>
                      <w:sz w:val="18"/>
                      <w:szCs w:val="18"/>
                      <w:highlight w:val="none"/>
                      <w:lang w:val="en-US" w:eastAsia="zh-CN"/>
                    </w:rPr>
                    <w:t>拟建机房楼下30cm</w:t>
                  </w:r>
                </w:p>
              </w:tc>
              <w:tc>
                <w:tcPr>
                  <w:tcW w:w="919" w:type="pct"/>
                  <w:noWrap w:val="0"/>
                  <w:vAlign w:val="center"/>
                </w:tcPr>
                <w:p w14:paraId="0EE8D45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120mm钢筋混凝土楼板+40mm硫酸钡涂料</w:t>
                  </w:r>
                </w:p>
              </w:tc>
              <w:tc>
                <w:tcPr>
                  <w:tcW w:w="530" w:type="pct"/>
                  <w:noWrap w:val="0"/>
                  <w:vAlign w:val="center"/>
                </w:tcPr>
                <w:p w14:paraId="2BA144F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1.5</w:t>
                  </w:r>
                </w:p>
              </w:tc>
              <w:tc>
                <w:tcPr>
                  <w:tcW w:w="371" w:type="pct"/>
                  <w:noWrap w:val="0"/>
                  <w:vAlign w:val="center"/>
                </w:tcPr>
                <w:p w14:paraId="39AC06E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 w:val="0"/>
                      <w:bCs w:val="0"/>
                      <w:color w:val="auto"/>
                      <w:spacing w:val="0"/>
                      <w:kern w:val="0"/>
                      <w:position w:val="0"/>
                      <w:sz w:val="18"/>
                      <w:szCs w:val="18"/>
                      <w:highlight w:val="none"/>
                      <w:vertAlign w:val="baseline"/>
                      <w:lang w:val="en-US" w:eastAsia="zh-CN" w:bidi="ar"/>
                    </w:rPr>
                    <w:t>5.16</w:t>
                  </w:r>
                </w:p>
              </w:tc>
              <w:tc>
                <w:tcPr>
                  <w:tcW w:w="381" w:type="pct"/>
                  <w:noWrap w:val="0"/>
                  <w:vAlign w:val="center"/>
                </w:tcPr>
                <w:p w14:paraId="06B57F7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2.731</w:t>
                  </w:r>
                </w:p>
              </w:tc>
              <w:tc>
                <w:tcPr>
                  <w:tcW w:w="371" w:type="pct"/>
                  <w:noWrap w:val="0"/>
                  <w:vAlign w:val="center"/>
                </w:tcPr>
                <w:p w14:paraId="1939A70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17.07</w:t>
                  </w:r>
                </w:p>
              </w:tc>
              <w:tc>
                <w:tcPr>
                  <w:tcW w:w="408" w:type="pct"/>
                  <w:noWrap w:val="0"/>
                  <w:vAlign w:val="center"/>
                </w:tcPr>
                <w:p w14:paraId="3FA16A0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0.7714</w:t>
                  </w:r>
                </w:p>
              </w:tc>
              <w:tc>
                <w:tcPr>
                  <w:tcW w:w="334" w:type="pct"/>
                  <w:noWrap w:val="0"/>
                  <w:vAlign w:val="center"/>
                </w:tcPr>
                <w:p w14:paraId="477CCE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5.82E-08</w:t>
                  </w:r>
                </w:p>
              </w:tc>
              <w:tc>
                <w:tcPr>
                  <w:tcW w:w="352" w:type="pct"/>
                  <w:noWrap w:val="0"/>
                  <w:vAlign w:val="center"/>
                </w:tcPr>
                <w:p w14:paraId="1EEA85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7.95E-03</w:t>
                  </w:r>
                </w:p>
              </w:tc>
            </w:tr>
          </w:tbl>
          <w:p w14:paraId="6C9DBA6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由表11-1计算结果可知，DSA机房外各关注点处散射辐射剂量率水平最大值为3.</w:t>
            </w:r>
            <w:r>
              <w:rPr>
                <w:rFonts w:hint="eastAsia" w:cs="Times New Roman"/>
                <w:color w:val="auto"/>
                <w:kern w:val="0"/>
                <w:sz w:val="24"/>
                <w:szCs w:val="24"/>
                <w:lang w:val="en-US" w:eastAsia="zh-CN" w:bidi="ar"/>
              </w:rPr>
              <w:t>28</w:t>
            </w:r>
            <w:r>
              <w:rPr>
                <w:rFonts w:hint="default" w:ascii="Times New Roman" w:hAnsi="Times New Roman" w:eastAsia="宋体" w:cs="Times New Roman"/>
                <w:i w:val="0"/>
                <w:iCs w:val="0"/>
                <w:color w:val="auto"/>
                <w:kern w:val="0"/>
                <w:sz w:val="24"/>
                <w:szCs w:val="24"/>
                <w:u w:val="none"/>
                <w:lang w:val="en-US" w:eastAsia="zh-CN" w:bidi="ar"/>
              </w:rPr>
              <w:t>E-02</w:t>
            </w:r>
            <w:r>
              <w:rPr>
                <w:rFonts w:hint="default" w:ascii="Times New Roman" w:hAnsi="Times New Roman" w:eastAsia="宋体" w:cs="Times New Roman"/>
                <w:color w:val="auto"/>
                <w:kern w:val="0"/>
                <w:sz w:val="24"/>
                <w:szCs w:val="24"/>
                <w:lang w:val="en-US" w:eastAsia="zh-CN" w:bidi="ar"/>
              </w:rPr>
              <w:t>μSv/h。</w:t>
            </w:r>
          </w:p>
          <w:p w14:paraId="2EF6FC4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auto"/>
                <w:spacing w:val="0"/>
                <w:position w:val="0"/>
                <w:lang w:val="en-US" w:eastAsia="zh-CN"/>
              </w:rPr>
            </w:pPr>
            <w:r>
              <w:rPr>
                <w:rFonts w:hint="default" w:ascii="Times New Roman" w:hAnsi="Times New Roman" w:eastAsia="宋体" w:cs="Times New Roman"/>
                <w:b/>
                <w:bCs/>
                <w:color w:val="auto"/>
                <w:spacing w:val="0"/>
                <w:position w:val="0"/>
                <w:lang w:val="en-US" w:eastAsia="zh-CN"/>
              </w:rPr>
              <w:t>②泄漏辐射剂量率估算</w:t>
            </w:r>
          </w:p>
          <w:p w14:paraId="3869910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sz w:val="24"/>
                <w:szCs w:val="24"/>
                <w:highlight w:val="none"/>
                <w:lang w:val="en-US" w:eastAsia="zh-CN" w:bidi="ar"/>
              </w:rPr>
              <w:t>根据国际放射防护委员会第33号出版物《医用外照射源的辐射防护》“（77）用于诊断目的每一个X射线管必须封闭在管套内，以使得位于该套管内的X射线管在制造厂规定的每个额定值时，离焦点1m处所测得的泄漏辐射在空气中的比释动能不超过1mGy/h”（在距离源1m处不超过100cm</w:t>
            </w:r>
            <w:r>
              <w:rPr>
                <w:rFonts w:hint="default" w:ascii="Times New Roman" w:hAnsi="Times New Roman" w:eastAsia="宋体" w:cs="Times New Roman"/>
                <w:color w:val="auto"/>
                <w:spacing w:val="0"/>
                <w:kern w:val="0"/>
                <w:sz w:val="24"/>
                <w:szCs w:val="24"/>
                <w:highlight w:val="none"/>
                <w:vertAlign w:val="superscript"/>
                <w:lang w:val="en-US" w:eastAsia="zh-CN" w:bidi="ar"/>
              </w:rPr>
              <w:t>2</w:t>
            </w:r>
            <w:r>
              <w:rPr>
                <w:rFonts w:hint="default" w:ascii="Times New Roman" w:hAnsi="Times New Roman" w:eastAsia="宋体" w:cs="Times New Roman"/>
                <w:color w:val="auto"/>
                <w:spacing w:val="0"/>
                <w:kern w:val="0"/>
                <w:sz w:val="24"/>
                <w:szCs w:val="24"/>
                <w:highlight w:val="none"/>
                <w:lang w:val="en-US" w:eastAsia="zh-CN" w:bidi="ar"/>
              </w:rPr>
              <w:t>的面积上或者在离管或源壳5cm处的10cm</w:t>
            </w:r>
            <w:r>
              <w:rPr>
                <w:rFonts w:hint="default" w:ascii="Times New Roman" w:hAnsi="Times New Roman" w:eastAsia="宋体" w:cs="Times New Roman"/>
                <w:color w:val="auto"/>
                <w:spacing w:val="0"/>
                <w:kern w:val="0"/>
                <w:sz w:val="24"/>
                <w:szCs w:val="24"/>
                <w:highlight w:val="none"/>
                <w:vertAlign w:val="superscript"/>
                <w:lang w:val="en-US" w:eastAsia="zh-CN" w:bidi="ar"/>
              </w:rPr>
              <w:t>2</w:t>
            </w:r>
            <w:r>
              <w:rPr>
                <w:rFonts w:hint="default" w:ascii="Times New Roman" w:hAnsi="Times New Roman" w:eastAsia="宋体" w:cs="Times New Roman"/>
                <w:color w:val="auto"/>
                <w:spacing w:val="0"/>
                <w:kern w:val="0"/>
                <w:sz w:val="24"/>
                <w:szCs w:val="24"/>
                <w:highlight w:val="none"/>
                <w:lang w:val="en-US" w:eastAsia="zh-CN" w:bidi="ar"/>
              </w:rPr>
              <w:t>面积上进行平均测量）；《医用电气设备 第1部分：安全通用要求 三.并列标准诊断X射线设备辐射防护通用要求》（GB9706.12-1997）中29.204.3的相应要求；根据NCRP147号报告第138页C.2可知，DSA的漏射线剂量率很小，泄漏辐射距焦点1m处，在任一100cm</w:t>
            </w:r>
            <w:r>
              <w:rPr>
                <w:rFonts w:hint="default" w:ascii="Times New Roman" w:hAnsi="Times New Roman" w:eastAsia="宋体" w:cs="Times New Roman"/>
                <w:color w:val="auto"/>
                <w:spacing w:val="0"/>
                <w:kern w:val="0"/>
                <w:sz w:val="24"/>
                <w:szCs w:val="24"/>
                <w:highlight w:val="none"/>
                <w:vertAlign w:val="superscript"/>
                <w:lang w:val="en-US" w:eastAsia="zh-CN" w:bidi="ar"/>
              </w:rPr>
              <w:t>2</w:t>
            </w:r>
            <w:r>
              <w:rPr>
                <w:rFonts w:hint="default" w:ascii="Times New Roman" w:hAnsi="Times New Roman" w:eastAsia="宋体" w:cs="Times New Roman"/>
                <w:color w:val="auto"/>
                <w:spacing w:val="0"/>
                <w:kern w:val="0"/>
                <w:sz w:val="24"/>
                <w:szCs w:val="24"/>
                <w:highlight w:val="none"/>
                <w:lang w:val="en-US" w:eastAsia="zh-CN" w:bidi="ar"/>
              </w:rPr>
              <w:t>区域内的平均空气比释动能不超过1mGy/h。因此本项目DSA离焦点1m处的泄漏辐射空气比释动能率H</w:t>
            </w:r>
            <w:r>
              <w:rPr>
                <w:rFonts w:hint="default" w:ascii="Times New Roman" w:hAnsi="Times New Roman" w:eastAsia="宋体" w:cs="Times New Roman"/>
                <w:color w:val="auto"/>
                <w:spacing w:val="0"/>
                <w:kern w:val="0"/>
                <w:sz w:val="24"/>
                <w:szCs w:val="24"/>
                <w:highlight w:val="none"/>
                <w:vertAlign w:val="subscript"/>
                <w:lang w:val="en-US" w:eastAsia="zh-CN" w:bidi="ar"/>
              </w:rPr>
              <w:t>0</w:t>
            </w:r>
            <w:r>
              <w:rPr>
                <w:rFonts w:hint="default" w:ascii="Times New Roman" w:hAnsi="Times New Roman" w:eastAsia="宋体" w:cs="Times New Roman"/>
                <w:color w:val="auto"/>
                <w:spacing w:val="0"/>
                <w:kern w:val="0"/>
                <w:sz w:val="24"/>
                <w:szCs w:val="24"/>
                <w:highlight w:val="none"/>
                <w:lang w:val="en-US" w:eastAsia="zh-CN" w:bidi="ar"/>
              </w:rPr>
              <w:t>为1.0mGy/h。</w:t>
            </w:r>
          </w:p>
          <w:p w14:paraId="1A3BF84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sz w:val="24"/>
                <w:szCs w:val="24"/>
                <w:highlight w:val="none"/>
                <w:lang w:val="en-US" w:eastAsia="zh-CN" w:bidi="ar"/>
              </w:rPr>
              <w:t>根据GBZ 130-2020附录C和周围剂量当量率与距离平方成反比计算各关注点剂量率水平，详见公式。</w:t>
            </w:r>
          </w:p>
          <w:p w14:paraId="1B3010C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position w:val="-24"/>
                <w:sz w:val="24"/>
                <w:szCs w:val="24"/>
                <w:highlight w:val="none"/>
                <w:lang w:val="en-US" w:eastAsia="zh-CN" w:bidi="ar"/>
              </w:rPr>
              <w:object>
                <v:shape id="_x0000_i1030" o:spt="75" type="#_x0000_t75" style="height:31.2pt;width:80.75pt;" o:ole="t" filled="f" o:preferrelative="t" stroked="f" coordsize="21600,21600">
                  <v:path/>
                  <v:fill on="f" focussize="0,0"/>
                  <v:stroke on="f"/>
                  <v:imagedata r:id="rId57" o:title=""/>
                  <o:lock v:ext="edit" aspectratio="t"/>
                  <w10:wrap type="none"/>
                  <w10:anchorlock/>
                </v:shape>
                <o:OLEObject Type="Embed" ProgID="Equation.3" ShapeID="_x0000_i1030" DrawAspect="Content" ObjectID="_1468075730" r:id="rId56">
                  <o:LockedField>false</o:LockedField>
                </o:OLEObject>
              </w:object>
            </w:r>
            <w:r>
              <w:rPr>
                <w:rFonts w:hint="default" w:ascii="Times New Roman" w:hAnsi="Times New Roman" w:eastAsia="宋体" w:cs="Times New Roman"/>
                <w:color w:val="auto"/>
                <w:spacing w:val="0"/>
                <w:kern w:val="0"/>
                <w:sz w:val="24"/>
                <w:szCs w:val="24"/>
                <w:highlight w:val="none"/>
                <w:lang w:val="en-US" w:eastAsia="zh-CN" w:bidi="ar"/>
              </w:rPr>
              <w:t xml:space="preserve">     （公式11-3）</w:t>
            </w:r>
          </w:p>
          <w:p w14:paraId="6F8FD3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sz w:val="24"/>
                <w:szCs w:val="24"/>
                <w:highlight w:val="none"/>
                <w:lang w:val="en-US" w:eastAsia="zh-CN" w:bidi="ar"/>
              </w:rPr>
              <w:t>式中：H</w:t>
            </w:r>
            <w:r>
              <w:rPr>
                <w:rFonts w:hint="default" w:ascii="Times New Roman" w:hAnsi="Times New Roman" w:eastAsia="宋体" w:cs="Times New Roman"/>
                <w:color w:val="auto"/>
                <w:spacing w:val="0"/>
                <w:kern w:val="0"/>
                <w:sz w:val="24"/>
                <w:szCs w:val="24"/>
                <w:highlight w:val="none"/>
                <w:vertAlign w:val="subscript"/>
                <w:lang w:val="en-US" w:eastAsia="zh-CN" w:bidi="ar"/>
              </w:rPr>
              <w:t>L</w:t>
            </w:r>
            <w:r>
              <w:rPr>
                <w:rFonts w:hint="default" w:ascii="Times New Roman" w:hAnsi="Times New Roman" w:eastAsia="宋体" w:cs="Times New Roman"/>
                <w:color w:val="auto"/>
                <w:spacing w:val="0"/>
                <w:kern w:val="0"/>
                <w:sz w:val="24"/>
                <w:szCs w:val="24"/>
                <w:highlight w:val="none"/>
                <w:lang w:val="en-US" w:eastAsia="zh-CN" w:bidi="ar"/>
              </w:rPr>
              <w:t>：关注点处的泄漏辐射剂量率，μSv/h；</w:t>
            </w:r>
          </w:p>
          <w:p w14:paraId="187A6AE9">
            <w:pPr>
              <w:keepNext w:val="0"/>
              <w:keepLines w:val="0"/>
              <w:widowControl/>
              <w:suppressLineNumbers w:val="0"/>
              <w:spacing w:before="0" w:beforeAutospacing="0" w:after="0" w:afterAutospacing="0"/>
              <w:ind w:left="0" w:right="0" w:firstLine="1200" w:firstLineChars="500"/>
              <w:jc w:val="left"/>
              <w:rPr>
                <w:rFonts w:hint="eastAsia"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sz w:val="24"/>
                <w:szCs w:val="24"/>
                <w:highlight w:val="none"/>
                <w:lang w:val="en-US" w:eastAsia="zh-CN" w:bidi="ar"/>
              </w:rPr>
              <w:t>H</w:t>
            </w:r>
            <w:r>
              <w:rPr>
                <w:rFonts w:hint="default" w:ascii="Times New Roman" w:hAnsi="Times New Roman" w:eastAsia="宋体" w:cs="Times New Roman"/>
                <w:color w:val="auto"/>
                <w:spacing w:val="0"/>
                <w:kern w:val="0"/>
                <w:sz w:val="24"/>
                <w:szCs w:val="24"/>
                <w:highlight w:val="none"/>
                <w:vertAlign w:val="subscript"/>
                <w:lang w:val="en-US" w:eastAsia="zh-CN" w:bidi="ar"/>
              </w:rPr>
              <w:t>0</w:t>
            </w:r>
            <w:r>
              <w:rPr>
                <w:rFonts w:hint="eastAsia" w:ascii="Times New Roman" w:hAnsi="Times New Roman" w:eastAsia="宋体" w:cs="Times New Roman"/>
                <w:color w:val="auto"/>
                <w:spacing w:val="0"/>
                <w:kern w:val="0"/>
                <w:sz w:val="24"/>
                <w:szCs w:val="24"/>
                <w:highlight w:val="none"/>
                <w:vertAlign w:val="baseline"/>
                <w:lang w:val="en-US" w:eastAsia="zh-CN" w:bidi="ar"/>
              </w:rPr>
              <w:t>×f</w:t>
            </w:r>
            <w:r>
              <w:rPr>
                <w:rFonts w:hint="default" w:ascii="Times New Roman" w:hAnsi="Times New Roman" w:eastAsia="宋体" w:cs="Times New Roman"/>
                <w:color w:val="auto"/>
                <w:spacing w:val="0"/>
                <w:kern w:val="0"/>
                <w:sz w:val="24"/>
                <w:szCs w:val="24"/>
                <w:highlight w:val="none"/>
                <w:lang w:val="en-US" w:eastAsia="zh-CN" w:bidi="ar"/>
              </w:rPr>
              <w:t>：距源1m处的辐射剂量率，μSv/h</w:t>
            </w:r>
            <w:r>
              <w:rPr>
                <w:rFonts w:hint="eastAsia" w:ascii="Times New Roman" w:hAnsi="Times New Roman" w:eastAsia="宋体" w:cs="Times New Roman"/>
                <w:color w:val="auto"/>
                <w:spacing w:val="0"/>
                <w:kern w:val="0"/>
                <w:sz w:val="24"/>
                <w:szCs w:val="24"/>
                <w:highlight w:val="none"/>
                <w:lang w:val="en-US" w:eastAsia="zh-CN" w:bidi="ar"/>
              </w:rPr>
              <w:t>，即 1000μGy/h</w:t>
            </w:r>
          </w:p>
          <w:p w14:paraId="2699F3BE">
            <w:pPr>
              <w:keepNext w:val="0"/>
              <w:keepLines w:val="0"/>
              <w:widowControl/>
              <w:suppressLineNumbers w:val="0"/>
              <w:spacing w:before="0" w:beforeAutospacing="0" w:after="0" w:afterAutospacing="0"/>
              <w:ind w:left="0" w:right="0" w:firstLine="1200" w:firstLineChars="500"/>
              <w:jc w:val="left"/>
              <w:rPr>
                <w:rFonts w:hint="eastAsia"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sz w:val="24"/>
                <w:szCs w:val="24"/>
                <w:highlight w:val="none"/>
                <w:lang w:val="en-US" w:eastAsia="zh-CN" w:bidi="ar"/>
              </w:rPr>
              <w:t>B：透射因子</w:t>
            </w:r>
            <w:r>
              <w:rPr>
                <w:rFonts w:hint="eastAsia" w:ascii="Times New Roman" w:hAnsi="Times New Roman" w:eastAsia="宋体" w:cs="Times New Roman"/>
                <w:color w:val="auto"/>
                <w:spacing w:val="0"/>
                <w:kern w:val="0"/>
                <w:sz w:val="24"/>
                <w:szCs w:val="24"/>
                <w:highlight w:val="none"/>
                <w:lang w:val="en-US" w:eastAsia="zh-CN" w:bidi="ar"/>
              </w:rPr>
              <w:t>；</w:t>
            </w:r>
          </w:p>
          <w:p w14:paraId="15BE8780">
            <w:pPr>
              <w:keepNext w:val="0"/>
              <w:keepLines w:val="0"/>
              <w:widowControl/>
              <w:suppressLineNumbers w:val="0"/>
              <w:spacing w:before="0" w:beforeAutospacing="0" w:after="0" w:afterAutospacing="0"/>
              <w:ind w:left="0" w:right="0" w:firstLine="1200" w:firstLineChars="500"/>
              <w:jc w:val="left"/>
              <w:rPr>
                <w:rFonts w:hint="default"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sz w:val="24"/>
                <w:szCs w:val="24"/>
                <w:highlight w:val="none"/>
                <w:lang w:val="en-US" w:eastAsia="zh-CN" w:bidi="ar"/>
              </w:rPr>
              <w:t>d：关注点至靶点的距离，m；</w:t>
            </w:r>
          </w:p>
          <w:p w14:paraId="1D8C2F43">
            <w:pPr>
              <w:keepNext w:val="0"/>
              <w:keepLines w:val="0"/>
              <w:widowControl/>
              <w:suppressLineNumbers w:val="0"/>
              <w:spacing w:before="0" w:beforeAutospacing="0" w:after="0" w:afterAutospacing="0"/>
              <w:ind w:left="0" w:right="0" w:firstLine="1200" w:firstLineChars="500"/>
              <w:jc w:val="left"/>
              <w:rPr>
                <w:rFonts w:hint="default" w:ascii="Times New Roman" w:hAnsi="Times New Roman" w:eastAsia="宋体" w:cs="Times New Roman"/>
                <w:color w:val="auto"/>
                <w:spacing w:val="0"/>
                <w:kern w:val="0"/>
                <w:sz w:val="24"/>
                <w:szCs w:val="24"/>
                <w:highlight w:val="none"/>
                <w:lang w:val="en-US" w:eastAsia="zh-CN" w:bidi="ar"/>
              </w:rPr>
            </w:pPr>
            <w:r>
              <w:rPr>
                <w:rFonts w:hint="default" w:ascii="Times New Roman" w:hAnsi="Times New Roman" w:eastAsia="宋体" w:cs="Times New Roman"/>
                <w:color w:val="auto"/>
                <w:spacing w:val="0"/>
                <w:kern w:val="0"/>
                <w:sz w:val="24"/>
                <w:szCs w:val="24"/>
                <w:highlight w:val="none"/>
                <w:lang w:val="en-US" w:eastAsia="zh-CN" w:bidi="ar"/>
              </w:rPr>
              <w:t>f—对有用束为1，对泄漏辐射为泄漏辐射比率；</w:t>
            </w:r>
          </w:p>
          <w:p w14:paraId="22FBD25D">
            <w:pPr>
              <w:keepNext w:val="0"/>
              <w:keepLines w:val="0"/>
              <w:widowControl/>
              <w:suppressLineNumbers w:val="0"/>
              <w:spacing w:before="0" w:beforeAutospacing="0" w:after="0" w:afterAutospacing="0"/>
              <w:ind w:left="0" w:leftChars="0" w:right="0" w:firstLine="480" w:firstLineChars="20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pacing w:val="0"/>
                <w:kern w:val="0"/>
                <w:sz w:val="24"/>
                <w:szCs w:val="24"/>
                <w:highlight w:val="none"/>
                <w:lang w:val="en-US" w:eastAsia="zh-CN" w:bidi="ar"/>
              </w:rPr>
              <w:t>根据公式11-1，计算DSA各关注点泄露透射因子，</w:t>
            </w:r>
            <w:r>
              <w:rPr>
                <w:rFonts w:hint="default" w:ascii="Times New Roman" w:hAnsi="Times New Roman" w:eastAsia="宋体" w:cs="Times New Roman"/>
                <w:color w:val="auto"/>
                <w:lang w:val="en-US" w:eastAsia="zh-CN"/>
              </w:rPr>
              <w:t>根据公式 11-3，各关注点位泄漏辐射剂量率计算参数及结果见表11-2。</w:t>
            </w:r>
          </w:p>
          <w:p w14:paraId="003CD0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pacing w:val="0"/>
                <w:kern w:val="0"/>
                <w:position w:val="0"/>
                <w:sz w:val="21"/>
                <w:szCs w:val="21"/>
                <w:lang w:val="en-US" w:eastAsia="zh-CN" w:bidi="ar"/>
              </w:rPr>
            </w:pPr>
            <w:r>
              <w:rPr>
                <w:rFonts w:hint="default" w:ascii="Times New Roman" w:hAnsi="Times New Roman" w:eastAsia="宋体" w:cs="Times New Roman"/>
                <w:b/>
                <w:bCs/>
                <w:color w:val="auto"/>
                <w:spacing w:val="0"/>
                <w:kern w:val="0"/>
                <w:position w:val="0"/>
                <w:sz w:val="21"/>
                <w:szCs w:val="21"/>
                <w:lang w:val="en-US" w:eastAsia="zh-CN" w:bidi="ar"/>
              </w:rPr>
              <w:t>表11-2各关注点位泄漏辐射剂量率计算参数及结果</w:t>
            </w:r>
          </w:p>
          <w:tbl>
            <w:tblPr>
              <w:tblStyle w:val="21"/>
              <w:tblW w:w="49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gridCol w:w="471"/>
              <w:gridCol w:w="1762"/>
              <w:gridCol w:w="1711"/>
              <w:gridCol w:w="832"/>
              <w:gridCol w:w="642"/>
              <w:gridCol w:w="451"/>
              <w:gridCol w:w="451"/>
              <w:gridCol w:w="840"/>
              <w:gridCol w:w="667"/>
              <w:gridCol w:w="676"/>
            </w:tblGrid>
            <w:tr w14:paraId="1F0B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83" w:type="pct"/>
                  <w:noWrap w:val="0"/>
                  <w:vAlign w:val="center"/>
                </w:tcPr>
                <w:p w14:paraId="5F9F618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r>
                    <w:rPr>
                      <w:rFonts w:hint="default" w:ascii="Times New Roman" w:hAnsi="Times New Roman" w:eastAsia="宋体" w:cs="Times New Roman"/>
                      <w:color w:val="auto"/>
                      <w:spacing w:val="0"/>
                      <w:sz w:val="18"/>
                      <w:szCs w:val="18"/>
                      <w:lang w:val="en-US" w:eastAsia="zh-CN"/>
                    </w:rPr>
                    <w:t>模式</w:t>
                  </w:r>
                </w:p>
              </w:tc>
              <w:tc>
                <w:tcPr>
                  <w:tcW w:w="266" w:type="pct"/>
                  <w:noWrap w:val="0"/>
                  <w:vAlign w:val="center"/>
                </w:tcPr>
                <w:p w14:paraId="73A3F52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r>
                    <w:rPr>
                      <w:rFonts w:hint="default" w:ascii="Times New Roman" w:hAnsi="Times New Roman" w:eastAsia="宋体" w:cs="Times New Roman"/>
                      <w:color w:val="auto"/>
                      <w:spacing w:val="0"/>
                      <w:sz w:val="18"/>
                      <w:szCs w:val="18"/>
                      <w:lang w:val="en-US" w:eastAsia="zh-CN"/>
                    </w:rPr>
                    <w:t>编号</w:t>
                  </w:r>
                </w:p>
              </w:tc>
              <w:tc>
                <w:tcPr>
                  <w:tcW w:w="998" w:type="pct"/>
                  <w:noWrap w:val="0"/>
                  <w:vAlign w:val="center"/>
                </w:tcPr>
                <w:p w14:paraId="09CF775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r>
                    <w:rPr>
                      <w:rFonts w:hint="default" w:ascii="Times New Roman" w:hAnsi="Times New Roman" w:eastAsia="宋体" w:cs="Times New Roman"/>
                      <w:color w:val="auto"/>
                      <w:spacing w:val="0"/>
                      <w:sz w:val="18"/>
                      <w:szCs w:val="18"/>
                      <w:lang w:val="en-US" w:eastAsia="zh-CN"/>
                    </w:rPr>
                    <w:t>关注点位置</w:t>
                  </w:r>
                </w:p>
              </w:tc>
              <w:tc>
                <w:tcPr>
                  <w:tcW w:w="969" w:type="pct"/>
                  <w:noWrap w:val="0"/>
                  <w:vAlign w:val="center"/>
                </w:tcPr>
                <w:p w14:paraId="0BA4ADE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屏蔽材料</w:t>
                  </w:r>
                </w:p>
              </w:tc>
              <w:tc>
                <w:tcPr>
                  <w:tcW w:w="471" w:type="pct"/>
                  <w:noWrap w:val="0"/>
                  <w:vAlign w:val="center"/>
                </w:tcPr>
                <w:p w14:paraId="2CBF5AC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辐射源点至关注点的距离R（m）</w:t>
                  </w:r>
                </w:p>
              </w:tc>
              <w:tc>
                <w:tcPr>
                  <w:tcW w:w="363" w:type="pct"/>
                  <w:noWrap w:val="0"/>
                  <w:vAlign w:val="center"/>
                </w:tcPr>
                <w:p w14:paraId="38AE2C9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屏蔽铅当量（mmPb）</w:t>
                  </w:r>
                </w:p>
              </w:tc>
              <w:tc>
                <w:tcPr>
                  <w:tcW w:w="255" w:type="pct"/>
                  <w:noWrap w:val="0"/>
                  <w:vAlign w:val="center"/>
                </w:tcPr>
                <w:p w14:paraId="3EF0599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α</w:t>
                  </w:r>
                </w:p>
              </w:tc>
              <w:tc>
                <w:tcPr>
                  <w:tcW w:w="255" w:type="pct"/>
                  <w:noWrap w:val="0"/>
                  <w:vAlign w:val="center"/>
                </w:tcPr>
                <w:p w14:paraId="027DB38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β</w:t>
                  </w:r>
                </w:p>
              </w:tc>
              <w:tc>
                <w:tcPr>
                  <w:tcW w:w="475" w:type="pct"/>
                  <w:noWrap w:val="0"/>
                  <w:vAlign w:val="center"/>
                </w:tcPr>
                <w:p w14:paraId="6D53450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γ</w:t>
                  </w:r>
                </w:p>
              </w:tc>
              <w:tc>
                <w:tcPr>
                  <w:tcW w:w="377" w:type="pct"/>
                  <w:noWrap w:val="0"/>
                  <w:vAlign w:val="center"/>
                </w:tcPr>
                <w:p w14:paraId="44C8D06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r>
                    <w:rPr>
                      <w:rFonts w:hint="default" w:ascii="Times New Roman" w:hAnsi="Times New Roman" w:eastAsia="宋体" w:cs="Times New Roman"/>
                      <w:color w:val="auto"/>
                      <w:spacing w:val="0"/>
                      <w:sz w:val="18"/>
                      <w:szCs w:val="18"/>
                      <w:lang w:val="en-US" w:eastAsia="zh-CN"/>
                    </w:rPr>
                    <w:t>B</w:t>
                  </w:r>
                </w:p>
              </w:tc>
              <w:tc>
                <w:tcPr>
                  <w:tcW w:w="382" w:type="pct"/>
                  <w:noWrap w:val="0"/>
                  <w:vAlign w:val="center"/>
                </w:tcPr>
                <w:p w14:paraId="08A4B51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r>
                    <w:rPr>
                      <w:rFonts w:hint="default" w:ascii="Times New Roman" w:hAnsi="Times New Roman" w:eastAsia="宋体" w:cs="Times New Roman"/>
                      <w:color w:val="auto"/>
                      <w:spacing w:val="0"/>
                      <w:sz w:val="18"/>
                      <w:szCs w:val="18"/>
                      <w:lang w:val="en-US" w:eastAsia="zh-CN"/>
                    </w:rPr>
                    <w:t>HL</w:t>
                  </w:r>
                </w:p>
                <w:p w14:paraId="760F422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r>
                    <w:rPr>
                      <w:rFonts w:hint="default" w:ascii="Times New Roman" w:hAnsi="Times New Roman" w:eastAsia="宋体" w:cs="Times New Roman"/>
                      <w:color w:val="auto"/>
                      <w:spacing w:val="0"/>
                      <w:sz w:val="18"/>
                      <w:szCs w:val="18"/>
                      <w:lang w:val="en-US" w:eastAsia="zh-CN"/>
                    </w:rPr>
                    <w:t>(μSv/h)</w:t>
                  </w:r>
                </w:p>
              </w:tc>
            </w:tr>
            <w:tr w14:paraId="437E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 w:type="pct"/>
                  <w:vMerge w:val="restart"/>
                  <w:noWrap w:val="0"/>
                  <w:vAlign w:val="center"/>
                </w:tcPr>
                <w:p w14:paraId="5656457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75KV透视模式</w:t>
                  </w:r>
                </w:p>
                <w:p w14:paraId="1435B0C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7FA8E93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p>
              </w:tc>
              <w:tc>
                <w:tcPr>
                  <w:tcW w:w="998" w:type="pct"/>
                  <w:noWrap w:val="0"/>
                  <w:vAlign w:val="center"/>
                </w:tcPr>
                <w:p w14:paraId="6FBE83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position w:val="0"/>
                      <w:sz w:val="18"/>
                      <w:szCs w:val="18"/>
                      <w:vertAlign w:val="baseline"/>
                      <w:lang w:val="en-US" w:eastAsia="zh-CN"/>
                    </w:rPr>
                    <w:t>控制室铅玻璃外30cm</w:t>
                  </w:r>
                </w:p>
              </w:tc>
              <w:tc>
                <w:tcPr>
                  <w:tcW w:w="969" w:type="pct"/>
                  <w:noWrap w:val="0"/>
                  <w:vAlign w:val="center"/>
                </w:tcPr>
                <w:p w14:paraId="26C0F94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4.0mm铅玻璃</w:t>
                  </w:r>
                </w:p>
              </w:tc>
              <w:tc>
                <w:tcPr>
                  <w:tcW w:w="471" w:type="pct"/>
                  <w:noWrap w:val="0"/>
                  <w:vAlign w:val="center"/>
                </w:tcPr>
                <w:p w14:paraId="35769B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3.6</w:t>
                  </w:r>
                </w:p>
              </w:tc>
              <w:tc>
                <w:tcPr>
                  <w:tcW w:w="363" w:type="pct"/>
                  <w:noWrap w:val="0"/>
                  <w:vAlign w:val="center"/>
                </w:tcPr>
                <w:p w14:paraId="5CDA213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255" w:type="pct"/>
                  <w:noWrap w:val="0"/>
                  <w:vAlign w:val="center"/>
                </w:tcPr>
                <w:p w14:paraId="7072F0F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0D91A7A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04214DF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098604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007FAE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4.18E-08</w:t>
                  </w:r>
                </w:p>
              </w:tc>
            </w:tr>
            <w:tr w14:paraId="6B8B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 w:type="pct"/>
                  <w:vMerge w:val="continue"/>
                  <w:noWrap w:val="0"/>
                  <w:vAlign w:val="center"/>
                </w:tcPr>
                <w:p w14:paraId="68F48FA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34C9C4B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998" w:type="pct"/>
                  <w:noWrap w:val="0"/>
                  <w:vAlign w:val="center"/>
                </w:tcPr>
                <w:p w14:paraId="1C4182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position w:val="0"/>
                      <w:sz w:val="18"/>
                      <w:szCs w:val="18"/>
                      <w:vertAlign w:val="baseline"/>
                      <w:lang w:val="en-US" w:eastAsia="zh-CN"/>
                    </w:rPr>
                    <w:t>控制室墙体外30cm</w:t>
                  </w:r>
                </w:p>
              </w:tc>
              <w:tc>
                <w:tcPr>
                  <w:tcW w:w="969" w:type="pct"/>
                  <w:noWrap w:val="0"/>
                  <w:vAlign w:val="center"/>
                </w:tcPr>
                <w:p w14:paraId="6D0780E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4.0mm铅板</w:t>
                  </w:r>
                </w:p>
              </w:tc>
              <w:tc>
                <w:tcPr>
                  <w:tcW w:w="471" w:type="pct"/>
                  <w:noWrap w:val="0"/>
                  <w:vAlign w:val="center"/>
                </w:tcPr>
                <w:p w14:paraId="39D76B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3.67</w:t>
                  </w:r>
                </w:p>
              </w:tc>
              <w:tc>
                <w:tcPr>
                  <w:tcW w:w="363" w:type="pct"/>
                  <w:noWrap w:val="0"/>
                  <w:vAlign w:val="center"/>
                </w:tcPr>
                <w:p w14:paraId="32725B6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59591EF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5936187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17DBE9C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22522A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00FF53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4.02E-08</w:t>
                  </w:r>
                </w:p>
              </w:tc>
            </w:tr>
            <w:tr w14:paraId="7979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 w:type="pct"/>
                  <w:vMerge w:val="continue"/>
                  <w:noWrap w:val="0"/>
                  <w:vAlign w:val="center"/>
                </w:tcPr>
                <w:p w14:paraId="08C9706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4D0E436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3</w:t>
                  </w:r>
                </w:p>
              </w:tc>
              <w:tc>
                <w:tcPr>
                  <w:tcW w:w="998" w:type="pct"/>
                  <w:noWrap w:val="0"/>
                  <w:vAlign w:val="center"/>
                </w:tcPr>
                <w:p w14:paraId="0CEABC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控制室铅门外30cm</w:t>
                  </w:r>
                </w:p>
              </w:tc>
              <w:tc>
                <w:tcPr>
                  <w:tcW w:w="969" w:type="pct"/>
                  <w:noWrap w:val="0"/>
                  <w:vAlign w:val="center"/>
                </w:tcPr>
                <w:p w14:paraId="18396B2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4.0mm铅门</w:t>
                  </w:r>
                </w:p>
              </w:tc>
              <w:tc>
                <w:tcPr>
                  <w:tcW w:w="471" w:type="pct"/>
                  <w:noWrap w:val="0"/>
                  <w:vAlign w:val="center"/>
                </w:tcPr>
                <w:p w14:paraId="38E78B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3.98</w:t>
                  </w:r>
                </w:p>
              </w:tc>
              <w:tc>
                <w:tcPr>
                  <w:tcW w:w="363" w:type="pct"/>
                  <w:noWrap w:val="0"/>
                  <w:vAlign w:val="center"/>
                </w:tcPr>
                <w:p w14:paraId="57CDC7C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11BC05D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368058F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345373F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1FF850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67CB7B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3.42E-08</w:t>
                  </w:r>
                </w:p>
              </w:tc>
            </w:tr>
            <w:tr w14:paraId="2601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2284543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307AEDF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998" w:type="pct"/>
                  <w:noWrap w:val="0"/>
                  <w:vAlign w:val="center"/>
                </w:tcPr>
                <w:p w14:paraId="3DB501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机房北面墙体外30cm（洁净通道）</w:t>
                  </w:r>
                </w:p>
              </w:tc>
              <w:tc>
                <w:tcPr>
                  <w:tcW w:w="969" w:type="pct"/>
                  <w:noWrap w:val="0"/>
                  <w:vAlign w:val="center"/>
                </w:tcPr>
                <w:p w14:paraId="56648FD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33121DA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4.3</w:t>
                  </w:r>
                </w:p>
              </w:tc>
              <w:tc>
                <w:tcPr>
                  <w:tcW w:w="363" w:type="pct"/>
                  <w:noWrap w:val="0"/>
                  <w:vAlign w:val="center"/>
                </w:tcPr>
                <w:p w14:paraId="656B3C0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2C1395B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0824511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6B9F071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6E6024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5C3502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2.93E-08</w:t>
                  </w:r>
                </w:p>
              </w:tc>
            </w:tr>
            <w:tr w14:paraId="60A5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535125C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29FCD60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5</w:t>
                  </w:r>
                </w:p>
              </w:tc>
              <w:tc>
                <w:tcPr>
                  <w:tcW w:w="998" w:type="pct"/>
                  <w:noWrap w:val="0"/>
                  <w:vAlign w:val="center"/>
                </w:tcPr>
                <w:p w14:paraId="4E37DA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position w:val="0"/>
                      <w:sz w:val="18"/>
                      <w:szCs w:val="18"/>
                      <w:lang w:val="en-US" w:eastAsia="zh-CN"/>
                    </w:rPr>
                    <w:t>患者通道铅门外30cm</w:t>
                  </w:r>
                </w:p>
              </w:tc>
              <w:tc>
                <w:tcPr>
                  <w:tcW w:w="969" w:type="pct"/>
                  <w:noWrap w:val="0"/>
                  <w:vAlign w:val="center"/>
                </w:tcPr>
                <w:p w14:paraId="3028452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4.0mm铅门</w:t>
                  </w:r>
                </w:p>
              </w:tc>
              <w:tc>
                <w:tcPr>
                  <w:tcW w:w="471" w:type="pct"/>
                  <w:noWrap w:val="0"/>
                  <w:vAlign w:val="center"/>
                </w:tcPr>
                <w:p w14:paraId="0A48A5B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5.18</w:t>
                  </w:r>
                </w:p>
              </w:tc>
              <w:tc>
                <w:tcPr>
                  <w:tcW w:w="363" w:type="pct"/>
                  <w:noWrap w:val="0"/>
                  <w:vAlign w:val="center"/>
                </w:tcPr>
                <w:p w14:paraId="3B5BF41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7588DBA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0022B25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7169441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7C1279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670BD6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2.02E-08</w:t>
                  </w:r>
                </w:p>
              </w:tc>
            </w:tr>
            <w:tr w14:paraId="0651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607EF87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39B5989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6</w:t>
                  </w:r>
                </w:p>
              </w:tc>
              <w:tc>
                <w:tcPr>
                  <w:tcW w:w="998" w:type="pct"/>
                  <w:noWrap w:val="0"/>
                  <w:vAlign w:val="center"/>
                </w:tcPr>
                <w:p w14:paraId="232471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机房北面墙体外30cm（洁净通道）</w:t>
                  </w:r>
                </w:p>
              </w:tc>
              <w:tc>
                <w:tcPr>
                  <w:tcW w:w="969" w:type="pct"/>
                  <w:noWrap w:val="0"/>
                  <w:vAlign w:val="center"/>
                </w:tcPr>
                <w:p w14:paraId="365EFC0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300mm钢筋混凝土</w:t>
                  </w:r>
                  <w:r>
                    <w:rPr>
                      <w:rFonts w:hint="default" w:ascii="Times New Roman" w:hAnsi="Times New Roman" w:eastAsia="宋体" w:cs="Times New Roman"/>
                      <w:color w:val="auto"/>
                      <w:kern w:val="2"/>
                      <w:sz w:val="18"/>
                      <w:szCs w:val="18"/>
                      <w:lang w:val="en-US" w:eastAsia="zh-CN" w:bidi="ar-SA"/>
                    </w:rPr>
                    <w:t>剪力墙+</w:t>
                  </w:r>
                  <w:r>
                    <w:rPr>
                      <w:rFonts w:hint="eastAsia" w:cs="Times New Roman"/>
                      <w:color w:val="auto"/>
                      <w:kern w:val="2"/>
                      <w:sz w:val="18"/>
                      <w:szCs w:val="18"/>
                      <w:lang w:val="en-US" w:eastAsia="zh-CN" w:bidi="ar-SA"/>
                    </w:rPr>
                    <w:t>2</w:t>
                  </w:r>
                  <w:r>
                    <w:rPr>
                      <w:rFonts w:hint="default" w:ascii="Times New Roman" w:hAnsi="Times New Roman" w:eastAsia="宋体" w:cs="Times New Roman"/>
                      <w:color w:val="auto"/>
                      <w:kern w:val="2"/>
                      <w:sz w:val="18"/>
                      <w:szCs w:val="18"/>
                      <w:lang w:val="en-US" w:eastAsia="zh-CN" w:bidi="ar-SA"/>
                    </w:rPr>
                    <w:t>0mm硫酸钡防护涂料</w:t>
                  </w:r>
                </w:p>
              </w:tc>
              <w:tc>
                <w:tcPr>
                  <w:tcW w:w="471" w:type="pct"/>
                  <w:noWrap w:val="0"/>
                  <w:vAlign w:val="center"/>
                </w:tcPr>
                <w:p w14:paraId="735BF96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5.9</w:t>
                  </w:r>
                </w:p>
              </w:tc>
              <w:tc>
                <w:tcPr>
                  <w:tcW w:w="363" w:type="pct"/>
                  <w:noWrap w:val="0"/>
                  <w:vAlign w:val="center"/>
                </w:tcPr>
                <w:p w14:paraId="4959471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6.18</w:t>
                  </w:r>
                </w:p>
              </w:tc>
              <w:tc>
                <w:tcPr>
                  <w:tcW w:w="255" w:type="pct"/>
                  <w:noWrap w:val="0"/>
                  <w:vAlign w:val="center"/>
                </w:tcPr>
                <w:p w14:paraId="2E9C6AF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41A71F8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086EA4C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16743C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2.07E-14</w:t>
                  </w:r>
                </w:p>
              </w:tc>
              <w:tc>
                <w:tcPr>
                  <w:tcW w:w="382" w:type="pct"/>
                  <w:noWrap w:val="0"/>
                  <w:vAlign w:val="center"/>
                </w:tcPr>
                <w:p w14:paraId="63E5A7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5.95E-13</w:t>
                  </w:r>
                </w:p>
              </w:tc>
            </w:tr>
            <w:tr w14:paraId="487A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83" w:type="pct"/>
                  <w:vMerge w:val="continue"/>
                  <w:noWrap w:val="0"/>
                  <w:vAlign w:val="center"/>
                </w:tcPr>
                <w:p w14:paraId="5886DE7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2061922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7</w:t>
                  </w:r>
                </w:p>
              </w:tc>
              <w:tc>
                <w:tcPr>
                  <w:tcW w:w="998" w:type="pct"/>
                  <w:noWrap w:val="0"/>
                  <w:vAlign w:val="center"/>
                </w:tcPr>
                <w:p w14:paraId="020F24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机房东面墙体外30cm（16号手术室）</w:t>
                  </w:r>
                </w:p>
              </w:tc>
              <w:tc>
                <w:tcPr>
                  <w:tcW w:w="969" w:type="pct"/>
                  <w:noWrap w:val="0"/>
                  <w:vAlign w:val="center"/>
                </w:tcPr>
                <w:p w14:paraId="58F2D52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300mm钢筋混凝土剪力墙+</w:t>
                  </w:r>
                  <w:r>
                    <w:rPr>
                      <w:rFonts w:hint="eastAsia" w:cs="Times New Roman"/>
                      <w:color w:val="auto"/>
                      <w:kern w:val="2"/>
                      <w:sz w:val="18"/>
                      <w:szCs w:val="18"/>
                      <w:lang w:val="en-US" w:eastAsia="zh-CN" w:bidi="ar-SA"/>
                    </w:rPr>
                    <w:t>2</w:t>
                  </w:r>
                  <w:r>
                    <w:rPr>
                      <w:rFonts w:hint="default" w:ascii="Times New Roman" w:hAnsi="Times New Roman" w:eastAsia="宋体" w:cs="Times New Roman"/>
                      <w:color w:val="auto"/>
                      <w:kern w:val="2"/>
                      <w:sz w:val="18"/>
                      <w:szCs w:val="18"/>
                      <w:lang w:val="en-US" w:eastAsia="zh-CN" w:bidi="ar-SA"/>
                    </w:rPr>
                    <w:t>0mm硫酸钡防护涂料</w:t>
                  </w:r>
                </w:p>
              </w:tc>
              <w:tc>
                <w:tcPr>
                  <w:tcW w:w="471" w:type="pct"/>
                  <w:noWrap w:val="0"/>
                  <w:vAlign w:val="center"/>
                </w:tcPr>
                <w:p w14:paraId="60E64C8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6.93</w:t>
                  </w:r>
                </w:p>
              </w:tc>
              <w:tc>
                <w:tcPr>
                  <w:tcW w:w="363" w:type="pct"/>
                  <w:noWrap w:val="0"/>
                  <w:vAlign w:val="center"/>
                </w:tcPr>
                <w:p w14:paraId="448C3CA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6.18</w:t>
                  </w:r>
                </w:p>
              </w:tc>
              <w:tc>
                <w:tcPr>
                  <w:tcW w:w="255" w:type="pct"/>
                  <w:noWrap w:val="0"/>
                  <w:vAlign w:val="center"/>
                </w:tcPr>
                <w:p w14:paraId="6344C84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7A98FC0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02DD85D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33F5C2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2.07E-14</w:t>
                  </w:r>
                </w:p>
              </w:tc>
              <w:tc>
                <w:tcPr>
                  <w:tcW w:w="382" w:type="pct"/>
                  <w:noWrap w:val="0"/>
                  <w:vAlign w:val="center"/>
                </w:tcPr>
                <w:p w14:paraId="3A9725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4.31E-13</w:t>
                  </w:r>
                </w:p>
              </w:tc>
            </w:tr>
            <w:tr w14:paraId="0AE4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54B4C3A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08577A4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8</w:t>
                  </w:r>
                </w:p>
              </w:tc>
              <w:tc>
                <w:tcPr>
                  <w:tcW w:w="998" w:type="pct"/>
                  <w:noWrap w:val="0"/>
                  <w:vAlign w:val="center"/>
                </w:tcPr>
                <w:p w14:paraId="068C73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机房东面墙体外30cm（16号手术室）</w:t>
                  </w:r>
                </w:p>
              </w:tc>
              <w:tc>
                <w:tcPr>
                  <w:tcW w:w="969" w:type="pct"/>
                  <w:noWrap w:val="0"/>
                  <w:vAlign w:val="center"/>
                </w:tcPr>
                <w:p w14:paraId="45F45B0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52D6DF9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6.9</w:t>
                  </w:r>
                </w:p>
              </w:tc>
              <w:tc>
                <w:tcPr>
                  <w:tcW w:w="363" w:type="pct"/>
                  <w:noWrap w:val="0"/>
                  <w:vAlign w:val="center"/>
                </w:tcPr>
                <w:p w14:paraId="0C2B1E9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3F3DDF8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43AA438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680B3BF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58AE8E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7271D3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1.14E-08</w:t>
                  </w:r>
                </w:p>
              </w:tc>
            </w:tr>
            <w:tr w14:paraId="717F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7A5792D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AB18BC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9</w:t>
                  </w:r>
                </w:p>
              </w:tc>
              <w:tc>
                <w:tcPr>
                  <w:tcW w:w="998" w:type="pct"/>
                  <w:noWrap w:val="0"/>
                  <w:vAlign w:val="center"/>
                </w:tcPr>
                <w:p w14:paraId="5465D2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机房南面墙体外30cm（污物通道）</w:t>
                  </w:r>
                </w:p>
              </w:tc>
              <w:tc>
                <w:tcPr>
                  <w:tcW w:w="969" w:type="pct"/>
                  <w:noWrap w:val="0"/>
                  <w:vAlign w:val="center"/>
                </w:tcPr>
                <w:p w14:paraId="428E2CF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300mm钢筋混凝土剪力墙+20mm硫酸钡防护涂料</w:t>
                  </w:r>
                </w:p>
              </w:tc>
              <w:tc>
                <w:tcPr>
                  <w:tcW w:w="471" w:type="pct"/>
                  <w:noWrap w:val="0"/>
                  <w:vAlign w:val="center"/>
                </w:tcPr>
                <w:p w14:paraId="005D2BF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6.67</w:t>
                  </w:r>
                </w:p>
              </w:tc>
              <w:tc>
                <w:tcPr>
                  <w:tcW w:w="363" w:type="pct"/>
                  <w:noWrap w:val="0"/>
                  <w:vAlign w:val="center"/>
                </w:tcPr>
                <w:p w14:paraId="35640D7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6.18</w:t>
                  </w:r>
                </w:p>
              </w:tc>
              <w:tc>
                <w:tcPr>
                  <w:tcW w:w="255" w:type="pct"/>
                  <w:noWrap w:val="0"/>
                  <w:vAlign w:val="center"/>
                </w:tcPr>
                <w:p w14:paraId="58F9AC6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63C556D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442E9A5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31EF82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2.07E-14</w:t>
                  </w:r>
                </w:p>
              </w:tc>
              <w:tc>
                <w:tcPr>
                  <w:tcW w:w="382" w:type="pct"/>
                  <w:noWrap w:val="0"/>
                  <w:vAlign w:val="center"/>
                </w:tcPr>
                <w:p w14:paraId="3E7314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4.65E-13</w:t>
                  </w:r>
                </w:p>
              </w:tc>
            </w:tr>
            <w:tr w14:paraId="156B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2A285D4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1030E0A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10</w:t>
                  </w:r>
                </w:p>
              </w:tc>
              <w:tc>
                <w:tcPr>
                  <w:tcW w:w="998" w:type="pct"/>
                  <w:noWrap w:val="0"/>
                  <w:vAlign w:val="center"/>
                </w:tcPr>
                <w:p w14:paraId="24ECBE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污物通道铅门</w:t>
                  </w:r>
                </w:p>
              </w:tc>
              <w:tc>
                <w:tcPr>
                  <w:tcW w:w="969" w:type="pct"/>
                  <w:noWrap w:val="0"/>
                  <w:vAlign w:val="center"/>
                </w:tcPr>
                <w:p w14:paraId="27E6ACF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4.0mm铅门</w:t>
                  </w:r>
                </w:p>
              </w:tc>
              <w:tc>
                <w:tcPr>
                  <w:tcW w:w="471" w:type="pct"/>
                  <w:noWrap w:val="0"/>
                  <w:vAlign w:val="center"/>
                </w:tcPr>
                <w:p w14:paraId="4F75CF3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6.13</w:t>
                  </w:r>
                </w:p>
              </w:tc>
              <w:tc>
                <w:tcPr>
                  <w:tcW w:w="363" w:type="pct"/>
                  <w:noWrap w:val="0"/>
                  <w:vAlign w:val="center"/>
                </w:tcPr>
                <w:p w14:paraId="09DCDA4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6C69B66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2AD64A6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357C1CE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5E9195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7561FF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1.44E-08</w:t>
                  </w:r>
                </w:p>
              </w:tc>
            </w:tr>
            <w:tr w14:paraId="6179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4E5647E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24E825D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11</w:t>
                  </w:r>
                </w:p>
              </w:tc>
              <w:tc>
                <w:tcPr>
                  <w:tcW w:w="998" w:type="pct"/>
                  <w:noWrap w:val="0"/>
                  <w:vAlign w:val="center"/>
                </w:tcPr>
                <w:p w14:paraId="5979C0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机房南面墙体外30cm（污物通道）</w:t>
                  </w:r>
                </w:p>
              </w:tc>
              <w:tc>
                <w:tcPr>
                  <w:tcW w:w="969" w:type="pct"/>
                  <w:noWrap w:val="0"/>
                  <w:vAlign w:val="center"/>
                </w:tcPr>
                <w:p w14:paraId="5869D63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3B7EA5B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5.94</w:t>
                  </w:r>
                </w:p>
              </w:tc>
              <w:tc>
                <w:tcPr>
                  <w:tcW w:w="363" w:type="pct"/>
                  <w:noWrap w:val="0"/>
                  <w:vAlign w:val="center"/>
                </w:tcPr>
                <w:p w14:paraId="49BECBA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2139794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7048827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185B7D2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1667E2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6E7C9B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1.54E-08</w:t>
                  </w:r>
                </w:p>
              </w:tc>
            </w:tr>
            <w:tr w14:paraId="43CF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404AE53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73B9D3F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w:t>
                  </w:r>
                </w:p>
              </w:tc>
              <w:tc>
                <w:tcPr>
                  <w:tcW w:w="998" w:type="pct"/>
                  <w:noWrap w:val="0"/>
                  <w:vAlign w:val="center"/>
                </w:tcPr>
                <w:p w14:paraId="2F5CDB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机房南面墙体外30cm（设备间）</w:t>
                  </w:r>
                </w:p>
              </w:tc>
              <w:tc>
                <w:tcPr>
                  <w:tcW w:w="969" w:type="pct"/>
                  <w:noWrap w:val="0"/>
                  <w:vAlign w:val="center"/>
                </w:tcPr>
                <w:p w14:paraId="0EF94E6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5A54C5F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4.3</w:t>
                  </w:r>
                </w:p>
              </w:tc>
              <w:tc>
                <w:tcPr>
                  <w:tcW w:w="363" w:type="pct"/>
                  <w:noWrap w:val="0"/>
                  <w:vAlign w:val="center"/>
                </w:tcPr>
                <w:p w14:paraId="6CA8584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66312F5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4D9ABF3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29479A8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4A3B56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5.42E-10</w:t>
                  </w:r>
                </w:p>
              </w:tc>
              <w:tc>
                <w:tcPr>
                  <w:tcW w:w="382" w:type="pct"/>
                  <w:noWrap w:val="0"/>
                  <w:vAlign w:val="center"/>
                </w:tcPr>
                <w:p w14:paraId="36B07B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2.93E-08</w:t>
                  </w:r>
                </w:p>
              </w:tc>
            </w:tr>
            <w:tr w14:paraId="0CDF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0AC1863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0CDF71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13</w:t>
                  </w:r>
                </w:p>
              </w:tc>
              <w:tc>
                <w:tcPr>
                  <w:tcW w:w="998" w:type="pct"/>
                  <w:noWrap w:val="0"/>
                  <w:vAlign w:val="center"/>
                </w:tcPr>
                <w:p w14:paraId="5152E2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拟建机房楼上100cm（神经外科病房）</w:t>
                  </w:r>
                </w:p>
              </w:tc>
              <w:tc>
                <w:tcPr>
                  <w:tcW w:w="969" w:type="pct"/>
                  <w:noWrap w:val="0"/>
                  <w:vAlign w:val="center"/>
                </w:tcPr>
                <w:p w14:paraId="3EC9987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120mm钢筋混凝土楼板+4mm铅板</w:t>
                  </w:r>
                </w:p>
              </w:tc>
              <w:tc>
                <w:tcPr>
                  <w:tcW w:w="471" w:type="pct"/>
                  <w:noWrap w:val="0"/>
                  <w:vAlign w:val="center"/>
                </w:tcPr>
                <w:p w14:paraId="2F5B8D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4.6</w:t>
                  </w:r>
                </w:p>
              </w:tc>
              <w:tc>
                <w:tcPr>
                  <w:tcW w:w="363" w:type="pct"/>
                  <w:noWrap w:val="0"/>
                  <w:vAlign w:val="center"/>
                </w:tcPr>
                <w:p w14:paraId="208510F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5.44</w:t>
                  </w:r>
                </w:p>
              </w:tc>
              <w:tc>
                <w:tcPr>
                  <w:tcW w:w="255" w:type="pct"/>
                  <w:noWrap w:val="0"/>
                  <w:vAlign w:val="center"/>
                </w:tcPr>
                <w:p w14:paraId="38323B6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4DEBCBD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1CFB239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028152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6.54E-13</w:t>
                  </w:r>
                </w:p>
              </w:tc>
              <w:tc>
                <w:tcPr>
                  <w:tcW w:w="382" w:type="pct"/>
                  <w:noWrap w:val="0"/>
                  <w:vAlign w:val="center"/>
                </w:tcPr>
                <w:p w14:paraId="2B6637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3.09E-11</w:t>
                  </w:r>
                </w:p>
              </w:tc>
            </w:tr>
            <w:tr w14:paraId="7260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69D7831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5545F4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14</w:t>
                  </w:r>
                </w:p>
              </w:tc>
              <w:tc>
                <w:tcPr>
                  <w:tcW w:w="998" w:type="pct"/>
                  <w:noWrap w:val="0"/>
                  <w:vAlign w:val="center"/>
                </w:tcPr>
                <w:p w14:paraId="6258F5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拟建机房楼下1.7m（器械预清洗/敷料打包/库房/2号手术室）</w:t>
                  </w:r>
                </w:p>
              </w:tc>
              <w:tc>
                <w:tcPr>
                  <w:tcW w:w="969" w:type="pct"/>
                  <w:noWrap w:val="0"/>
                  <w:vAlign w:val="center"/>
                </w:tcPr>
                <w:p w14:paraId="65BA577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120mm钢筋混凝土楼板+40mm硫酸钡涂料</w:t>
                  </w:r>
                </w:p>
              </w:tc>
              <w:tc>
                <w:tcPr>
                  <w:tcW w:w="471" w:type="pct"/>
                  <w:noWrap w:val="0"/>
                  <w:vAlign w:val="center"/>
                </w:tcPr>
                <w:p w14:paraId="7474BE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0"/>
                      <w:position w:val="0"/>
                      <w:sz w:val="18"/>
                      <w:szCs w:val="18"/>
                      <w:vertAlign w:val="baseline"/>
                      <w:lang w:val="en-US" w:eastAsia="zh-CN" w:bidi="ar"/>
                    </w:rPr>
                  </w:pPr>
                  <w:r>
                    <w:rPr>
                      <w:rFonts w:hint="default" w:ascii="Times New Roman" w:hAnsi="Times New Roman" w:eastAsia="宋体" w:cs="Times New Roman"/>
                      <w:b w:val="0"/>
                      <w:bCs w:val="0"/>
                      <w:color w:val="auto"/>
                      <w:spacing w:val="0"/>
                      <w:kern w:val="0"/>
                      <w:position w:val="0"/>
                      <w:sz w:val="18"/>
                      <w:szCs w:val="18"/>
                      <w:vertAlign w:val="baseline"/>
                      <w:lang w:val="en-US" w:eastAsia="zh-CN" w:bidi="ar"/>
                    </w:rPr>
                    <w:t>3.7</w:t>
                  </w:r>
                </w:p>
              </w:tc>
              <w:tc>
                <w:tcPr>
                  <w:tcW w:w="363" w:type="pct"/>
                  <w:noWrap w:val="0"/>
                  <w:vAlign w:val="center"/>
                </w:tcPr>
                <w:p w14:paraId="2EB5C91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b w:val="0"/>
                      <w:bCs w:val="0"/>
                      <w:color w:val="auto"/>
                      <w:spacing w:val="0"/>
                      <w:kern w:val="0"/>
                      <w:position w:val="0"/>
                      <w:sz w:val="18"/>
                      <w:szCs w:val="18"/>
                      <w:vertAlign w:val="baseline"/>
                      <w:lang w:val="en-US" w:eastAsia="zh-CN" w:bidi="ar"/>
                    </w:rPr>
                    <w:t>5.16</w:t>
                  </w:r>
                </w:p>
              </w:tc>
              <w:tc>
                <w:tcPr>
                  <w:tcW w:w="255" w:type="pct"/>
                  <w:noWrap w:val="0"/>
                  <w:vAlign w:val="center"/>
                </w:tcPr>
                <w:p w14:paraId="16419C7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5CAF3A3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22619F5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749B94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2.42E-12</w:t>
                  </w:r>
                </w:p>
              </w:tc>
              <w:tc>
                <w:tcPr>
                  <w:tcW w:w="382" w:type="pct"/>
                  <w:noWrap w:val="0"/>
                  <w:vAlign w:val="center"/>
                </w:tcPr>
                <w:p w14:paraId="19C75E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1.76E-10</w:t>
                  </w:r>
                </w:p>
              </w:tc>
            </w:tr>
            <w:tr w14:paraId="08FF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607F88B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4676817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15</w:t>
                  </w:r>
                </w:p>
              </w:tc>
              <w:tc>
                <w:tcPr>
                  <w:tcW w:w="998" w:type="pct"/>
                  <w:noWrap w:val="0"/>
                  <w:vAlign w:val="center"/>
                </w:tcPr>
                <w:p w14:paraId="3F1C59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拟建机房楼上30cm</w:t>
                  </w:r>
                </w:p>
              </w:tc>
              <w:tc>
                <w:tcPr>
                  <w:tcW w:w="969" w:type="pct"/>
                  <w:noWrap w:val="0"/>
                  <w:vAlign w:val="center"/>
                </w:tcPr>
                <w:p w14:paraId="62EBDD7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120mm钢筋混凝土楼板+4mm铅板</w:t>
                  </w:r>
                </w:p>
              </w:tc>
              <w:tc>
                <w:tcPr>
                  <w:tcW w:w="471" w:type="pct"/>
                  <w:noWrap w:val="0"/>
                  <w:vAlign w:val="center"/>
                </w:tcPr>
                <w:p w14:paraId="2720CDC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3.9</w:t>
                  </w:r>
                </w:p>
              </w:tc>
              <w:tc>
                <w:tcPr>
                  <w:tcW w:w="363" w:type="pct"/>
                  <w:noWrap w:val="0"/>
                  <w:vAlign w:val="center"/>
                </w:tcPr>
                <w:p w14:paraId="3DF47DE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5.44</w:t>
                  </w:r>
                </w:p>
              </w:tc>
              <w:tc>
                <w:tcPr>
                  <w:tcW w:w="255" w:type="pct"/>
                  <w:noWrap w:val="0"/>
                  <w:vAlign w:val="center"/>
                </w:tcPr>
                <w:p w14:paraId="5625AB9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77CD6E1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04E3745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6189D9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6.54E-13</w:t>
                  </w:r>
                </w:p>
              </w:tc>
              <w:tc>
                <w:tcPr>
                  <w:tcW w:w="382" w:type="pct"/>
                  <w:noWrap w:val="0"/>
                  <w:vAlign w:val="center"/>
                </w:tcPr>
                <w:p w14:paraId="1BC372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4.30E-11</w:t>
                  </w:r>
                </w:p>
              </w:tc>
            </w:tr>
            <w:tr w14:paraId="5101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4C7ED0C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2562E86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16</w:t>
                  </w:r>
                </w:p>
              </w:tc>
              <w:tc>
                <w:tcPr>
                  <w:tcW w:w="998" w:type="pct"/>
                  <w:noWrap w:val="0"/>
                  <w:vAlign w:val="center"/>
                </w:tcPr>
                <w:p w14:paraId="4479C0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拟建机房楼下30cm</w:t>
                  </w:r>
                </w:p>
              </w:tc>
              <w:tc>
                <w:tcPr>
                  <w:tcW w:w="969" w:type="pct"/>
                  <w:noWrap w:val="0"/>
                  <w:vAlign w:val="center"/>
                </w:tcPr>
                <w:p w14:paraId="3979B4F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120mm钢筋混凝土楼板+40mm硫酸钡涂料</w:t>
                  </w:r>
                </w:p>
              </w:tc>
              <w:tc>
                <w:tcPr>
                  <w:tcW w:w="471" w:type="pct"/>
                  <w:noWrap w:val="0"/>
                  <w:vAlign w:val="center"/>
                </w:tcPr>
                <w:p w14:paraId="159CBD4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0.9</w:t>
                  </w:r>
                </w:p>
              </w:tc>
              <w:tc>
                <w:tcPr>
                  <w:tcW w:w="363" w:type="pct"/>
                  <w:noWrap w:val="0"/>
                  <w:vAlign w:val="center"/>
                </w:tcPr>
                <w:p w14:paraId="26C3DED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b w:val="0"/>
                      <w:bCs w:val="0"/>
                      <w:color w:val="auto"/>
                      <w:spacing w:val="0"/>
                      <w:kern w:val="0"/>
                      <w:position w:val="0"/>
                      <w:sz w:val="18"/>
                      <w:szCs w:val="18"/>
                      <w:vertAlign w:val="baseline"/>
                      <w:lang w:val="en-US" w:eastAsia="zh-CN" w:bidi="ar"/>
                    </w:rPr>
                    <w:t>5.16</w:t>
                  </w:r>
                </w:p>
              </w:tc>
              <w:tc>
                <w:tcPr>
                  <w:tcW w:w="255" w:type="pct"/>
                  <w:noWrap w:val="0"/>
                  <w:vAlign w:val="center"/>
                </w:tcPr>
                <w:p w14:paraId="3CC95DE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0BDCAFE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4EE3502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242F0B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2.42E-12</w:t>
                  </w:r>
                </w:p>
              </w:tc>
              <w:tc>
                <w:tcPr>
                  <w:tcW w:w="382" w:type="pct"/>
                  <w:noWrap w:val="0"/>
                  <w:vAlign w:val="center"/>
                </w:tcPr>
                <w:p w14:paraId="4F4635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2.98E-09</w:t>
                  </w:r>
                </w:p>
              </w:tc>
            </w:tr>
            <w:tr w14:paraId="7B35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580022C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1A77E1E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w:t>
                  </w:r>
                </w:p>
              </w:tc>
              <w:tc>
                <w:tcPr>
                  <w:tcW w:w="998" w:type="pct"/>
                  <w:noWrap w:val="0"/>
                  <w:vAlign w:val="center"/>
                </w:tcPr>
                <w:p w14:paraId="3B8199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第一术者位（仅透视）</w:t>
                  </w:r>
                </w:p>
              </w:tc>
              <w:tc>
                <w:tcPr>
                  <w:tcW w:w="969" w:type="pct"/>
                  <w:noWrap w:val="0"/>
                  <w:vAlign w:val="center"/>
                </w:tcPr>
                <w:p w14:paraId="022BD7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铅帘及个人防护用品一套</w:t>
                  </w:r>
                </w:p>
              </w:tc>
              <w:tc>
                <w:tcPr>
                  <w:tcW w:w="471" w:type="pct"/>
                  <w:noWrap w:val="0"/>
                  <w:vAlign w:val="center"/>
                </w:tcPr>
                <w:p w14:paraId="02F8A3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0"/>
                      <w:sz w:val="18"/>
                      <w:szCs w:val="18"/>
                      <w:vertAlign w:val="baseline"/>
                      <w:lang w:val="en-US" w:eastAsia="zh-CN" w:bidi="ar"/>
                    </w:rPr>
                  </w:pPr>
                  <w:r>
                    <w:rPr>
                      <w:rFonts w:hint="default" w:ascii="Times New Roman" w:hAnsi="Times New Roman" w:eastAsia="宋体" w:cs="Times New Roman"/>
                      <w:b w:val="0"/>
                      <w:bCs w:val="0"/>
                      <w:color w:val="auto"/>
                      <w:spacing w:val="0"/>
                      <w:kern w:val="0"/>
                      <w:sz w:val="18"/>
                      <w:szCs w:val="18"/>
                      <w:vertAlign w:val="baseline"/>
                      <w:lang w:val="en-US" w:eastAsia="zh-CN" w:bidi="ar"/>
                    </w:rPr>
                    <w:t>0.3</w:t>
                  </w:r>
                </w:p>
              </w:tc>
              <w:tc>
                <w:tcPr>
                  <w:tcW w:w="363" w:type="pct"/>
                  <w:noWrap w:val="0"/>
                  <w:vAlign w:val="center"/>
                </w:tcPr>
                <w:p w14:paraId="0250D2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1</w:t>
                  </w:r>
                </w:p>
              </w:tc>
              <w:tc>
                <w:tcPr>
                  <w:tcW w:w="255" w:type="pct"/>
                  <w:noWrap w:val="0"/>
                  <w:vAlign w:val="center"/>
                </w:tcPr>
                <w:p w14:paraId="474AD20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0CD0643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582EE51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7C4FCF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6.89E-04</w:t>
                  </w:r>
                </w:p>
              </w:tc>
              <w:tc>
                <w:tcPr>
                  <w:tcW w:w="382" w:type="pct"/>
                  <w:noWrap w:val="0"/>
                  <w:vAlign w:val="center"/>
                </w:tcPr>
                <w:p w14:paraId="58B5FF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7.66E+00</w:t>
                  </w:r>
                </w:p>
              </w:tc>
            </w:tr>
            <w:tr w14:paraId="05DE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07C5542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764F67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18</w:t>
                  </w:r>
                </w:p>
              </w:tc>
              <w:tc>
                <w:tcPr>
                  <w:tcW w:w="998" w:type="pct"/>
                  <w:noWrap w:val="0"/>
                  <w:vAlign w:val="center"/>
                </w:tcPr>
                <w:p w14:paraId="5CC5F3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第二术者位（仅透视）</w:t>
                  </w:r>
                </w:p>
              </w:tc>
              <w:tc>
                <w:tcPr>
                  <w:tcW w:w="969" w:type="pct"/>
                  <w:noWrap w:val="0"/>
                  <w:vAlign w:val="center"/>
                </w:tcPr>
                <w:p w14:paraId="43C619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个人防护用品一套</w:t>
                  </w:r>
                </w:p>
              </w:tc>
              <w:tc>
                <w:tcPr>
                  <w:tcW w:w="471" w:type="pct"/>
                  <w:noWrap w:val="0"/>
                  <w:vAlign w:val="center"/>
                </w:tcPr>
                <w:p w14:paraId="3A4C25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0"/>
                      <w:sz w:val="18"/>
                      <w:szCs w:val="18"/>
                      <w:vertAlign w:val="baseline"/>
                      <w:lang w:val="en-US" w:eastAsia="zh-CN" w:bidi="ar"/>
                    </w:rPr>
                  </w:pPr>
                  <w:r>
                    <w:rPr>
                      <w:rFonts w:hint="default" w:ascii="Times New Roman" w:hAnsi="Times New Roman" w:eastAsia="宋体" w:cs="Times New Roman"/>
                      <w:b w:val="0"/>
                      <w:bCs w:val="0"/>
                      <w:color w:val="auto"/>
                      <w:spacing w:val="0"/>
                      <w:kern w:val="0"/>
                      <w:sz w:val="18"/>
                      <w:szCs w:val="18"/>
                      <w:vertAlign w:val="baseline"/>
                      <w:lang w:val="en-US" w:eastAsia="zh-CN" w:bidi="ar"/>
                    </w:rPr>
                    <w:t>0.</w:t>
                  </w:r>
                  <w:r>
                    <w:rPr>
                      <w:rFonts w:hint="eastAsia" w:cs="Times New Roman"/>
                      <w:b w:val="0"/>
                      <w:bCs w:val="0"/>
                      <w:color w:val="auto"/>
                      <w:spacing w:val="0"/>
                      <w:kern w:val="0"/>
                      <w:sz w:val="18"/>
                      <w:szCs w:val="18"/>
                      <w:vertAlign w:val="baseline"/>
                      <w:lang w:val="en-US" w:eastAsia="zh-CN" w:bidi="ar"/>
                    </w:rPr>
                    <w:t>9</w:t>
                  </w:r>
                </w:p>
              </w:tc>
              <w:tc>
                <w:tcPr>
                  <w:tcW w:w="363" w:type="pct"/>
                  <w:noWrap w:val="0"/>
                  <w:vAlign w:val="center"/>
                </w:tcPr>
                <w:p w14:paraId="64827E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eastAsia" w:cs="Times New Roman"/>
                      <w:color w:val="auto"/>
                      <w:spacing w:val="0"/>
                      <w:position w:val="0"/>
                      <w:sz w:val="18"/>
                      <w:szCs w:val="18"/>
                      <w:lang w:val="en-US" w:eastAsia="zh-CN"/>
                    </w:rPr>
                    <w:t>0.5</w:t>
                  </w:r>
                </w:p>
              </w:tc>
              <w:tc>
                <w:tcPr>
                  <w:tcW w:w="255" w:type="pct"/>
                  <w:noWrap w:val="0"/>
                  <w:vAlign w:val="center"/>
                </w:tcPr>
                <w:p w14:paraId="3405C97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4.666</w:t>
                  </w:r>
                </w:p>
              </w:tc>
              <w:tc>
                <w:tcPr>
                  <w:tcW w:w="255" w:type="pct"/>
                  <w:noWrap w:val="0"/>
                  <w:vAlign w:val="center"/>
                </w:tcPr>
                <w:p w14:paraId="62C58B4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22.69</w:t>
                  </w:r>
                </w:p>
              </w:tc>
              <w:tc>
                <w:tcPr>
                  <w:tcW w:w="475" w:type="pct"/>
                  <w:noWrap w:val="0"/>
                  <w:vAlign w:val="center"/>
                </w:tcPr>
                <w:p w14:paraId="64942AC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0.6618</w:t>
                  </w:r>
                </w:p>
              </w:tc>
              <w:tc>
                <w:tcPr>
                  <w:tcW w:w="377" w:type="pct"/>
                  <w:noWrap w:val="0"/>
                  <w:vAlign w:val="center"/>
                </w:tcPr>
                <w:p w14:paraId="7D06E8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9.00E-03</w:t>
                  </w:r>
                </w:p>
              </w:tc>
              <w:tc>
                <w:tcPr>
                  <w:tcW w:w="382" w:type="pct"/>
                  <w:noWrap w:val="0"/>
                  <w:vAlign w:val="center"/>
                </w:tcPr>
                <w:p w14:paraId="5CC26B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1.11E+01</w:t>
                  </w:r>
                </w:p>
              </w:tc>
            </w:tr>
            <w:tr w14:paraId="04B9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restart"/>
                  <w:noWrap w:val="0"/>
                  <w:vAlign w:val="center"/>
                </w:tcPr>
                <w:p w14:paraId="68145D9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95kV减影模式</w:t>
                  </w:r>
                </w:p>
              </w:tc>
              <w:tc>
                <w:tcPr>
                  <w:tcW w:w="266" w:type="pct"/>
                  <w:noWrap w:val="0"/>
                  <w:vAlign w:val="center"/>
                </w:tcPr>
                <w:p w14:paraId="3004A98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p>
              </w:tc>
              <w:tc>
                <w:tcPr>
                  <w:tcW w:w="998" w:type="pct"/>
                  <w:noWrap w:val="0"/>
                  <w:vAlign w:val="center"/>
                </w:tcPr>
                <w:p w14:paraId="715097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position w:val="0"/>
                      <w:sz w:val="18"/>
                      <w:szCs w:val="18"/>
                      <w:vertAlign w:val="baseline"/>
                      <w:lang w:val="en-US" w:eastAsia="zh-CN"/>
                    </w:rPr>
                    <w:t>控制室铅玻璃外30cm</w:t>
                  </w:r>
                </w:p>
              </w:tc>
              <w:tc>
                <w:tcPr>
                  <w:tcW w:w="969" w:type="pct"/>
                  <w:noWrap w:val="0"/>
                  <w:vAlign w:val="center"/>
                </w:tcPr>
                <w:p w14:paraId="48D9680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4.0mm铅玻璃</w:t>
                  </w:r>
                </w:p>
              </w:tc>
              <w:tc>
                <w:tcPr>
                  <w:tcW w:w="471" w:type="pct"/>
                  <w:noWrap w:val="0"/>
                  <w:vAlign w:val="center"/>
                </w:tcPr>
                <w:p w14:paraId="6453A15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3.6</w:t>
                  </w:r>
                </w:p>
              </w:tc>
              <w:tc>
                <w:tcPr>
                  <w:tcW w:w="363" w:type="pct"/>
                  <w:noWrap w:val="0"/>
                  <w:vAlign w:val="center"/>
                </w:tcPr>
                <w:p w14:paraId="5C0CF95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255" w:type="pct"/>
                  <w:noWrap w:val="0"/>
                  <w:vAlign w:val="center"/>
                </w:tcPr>
                <w:p w14:paraId="2FF5CD1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1F0101A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7D7924B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4BC490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25AD5E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1.07E-04</w:t>
                  </w:r>
                </w:p>
              </w:tc>
            </w:tr>
            <w:tr w14:paraId="44DE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7C753E2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2233F39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998" w:type="pct"/>
                  <w:noWrap w:val="0"/>
                  <w:vAlign w:val="center"/>
                </w:tcPr>
                <w:p w14:paraId="376BB3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position w:val="0"/>
                      <w:sz w:val="18"/>
                      <w:szCs w:val="18"/>
                      <w:vertAlign w:val="baseline"/>
                      <w:lang w:val="en-US" w:eastAsia="zh-CN"/>
                    </w:rPr>
                    <w:t>控制室墙体外30cm</w:t>
                  </w:r>
                </w:p>
              </w:tc>
              <w:tc>
                <w:tcPr>
                  <w:tcW w:w="969" w:type="pct"/>
                  <w:noWrap w:val="0"/>
                  <w:vAlign w:val="center"/>
                </w:tcPr>
                <w:p w14:paraId="63C0EA5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4.0mm铅板</w:t>
                  </w:r>
                </w:p>
              </w:tc>
              <w:tc>
                <w:tcPr>
                  <w:tcW w:w="471" w:type="pct"/>
                  <w:noWrap w:val="0"/>
                  <w:vAlign w:val="center"/>
                </w:tcPr>
                <w:p w14:paraId="5F2988D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3.67</w:t>
                  </w:r>
                </w:p>
              </w:tc>
              <w:tc>
                <w:tcPr>
                  <w:tcW w:w="363" w:type="pct"/>
                  <w:noWrap w:val="0"/>
                  <w:vAlign w:val="center"/>
                </w:tcPr>
                <w:p w14:paraId="62B3874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4AC7306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4CE4110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0A848E9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5258C0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320D6F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1.03E-04</w:t>
                  </w:r>
                </w:p>
              </w:tc>
            </w:tr>
            <w:tr w14:paraId="4E1A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446D923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9FBDF1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3</w:t>
                  </w:r>
                </w:p>
              </w:tc>
              <w:tc>
                <w:tcPr>
                  <w:tcW w:w="998" w:type="pct"/>
                  <w:noWrap w:val="0"/>
                  <w:vAlign w:val="center"/>
                </w:tcPr>
                <w:p w14:paraId="11169E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控制室铅门外30cm</w:t>
                  </w:r>
                </w:p>
              </w:tc>
              <w:tc>
                <w:tcPr>
                  <w:tcW w:w="969" w:type="pct"/>
                  <w:noWrap w:val="0"/>
                  <w:vAlign w:val="center"/>
                </w:tcPr>
                <w:p w14:paraId="42BF125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4.0mm铅门</w:t>
                  </w:r>
                </w:p>
              </w:tc>
              <w:tc>
                <w:tcPr>
                  <w:tcW w:w="471" w:type="pct"/>
                  <w:noWrap w:val="0"/>
                  <w:vAlign w:val="center"/>
                </w:tcPr>
                <w:p w14:paraId="65003C2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3.98</w:t>
                  </w:r>
                </w:p>
              </w:tc>
              <w:tc>
                <w:tcPr>
                  <w:tcW w:w="363" w:type="pct"/>
                  <w:noWrap w:val="0"/>
                  <w:vAlign w:val="center"/>
                </w:tcPr>
                <w:p w14:paraId="14909CD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71AE344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5B15506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2C68A41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108988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709CD6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8.73E-05</w:t>
                  </w:r>
                </w:p>
              </w:tc>
            </w:tr>
            <w:tr w14:paraId="0F16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469D055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5A84F4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998" w:type="pct"/>
                  <w:noWrap w:val="0"/>
                  <w:vAlign w:val="center"/>
                </w:tcPr>
                <w:p w14:paraId="470FEC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机房北面墙体外30cm（洁净通道）</w:t>
                  </w:r>
                </w:p>
              </w:tc>
              <w:tc>
                <w:tcPr>
                  <w:tcW w:w="969" w:type="pct"/>
                  <w:noWrap w:val="0"/>
                  <w:vAlign w:val="center"/>
                </w:tcPr>
                <w:p w14:paraId="158299D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1004588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4.3</w:t>
                  </w:r>
                </w:p>
              </w:tc>
              <w:tc>
                <w:tcPr>
                  <w:tcW w:w="363" w:type="pct"/>
                  <w:noWrap w:val="0"/>
                  <w:vAlign w:val="center"/>
                </w:tcPr>
                <w:p w14:paraId="399799F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3AD3887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0FC8688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20FBAAF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7EC783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1B9751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7.47E-05</w:t>
                  </w:r>
                </w:p>
              </w:tc>
            </w:tr>
            <w:tr w14:paraId="3029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4F0C31E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3F6CDC7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5</w:t>
                  </w:r>
                </w:p>
              </w:tc>
              <w:tc>
                <w:tcPr>
                  <w:tcW w:w="998" w:type="pct"/>
                  <w:noWrap w:val="0"/>
                  <w:vAlign w:val="center"/>
                </w:tcPr>
                <w:p w14:paraId="5C9DCB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position w:val="0"/>
                      <w:sz w:val="18"/>
                      <w:szCs w:val="18"/>
                      <w:lang w:val="en-US" w:eastAsia="zh-CN"/>
                    </w:rPr>
                    <w:t>患者通道铅门外30cm</w:t>
                  </w:r>
                </w:p>
              </w:tc>
              <w:tc>
                <w:tcPr>
                  <w:tcW w:w="969" w:type="pct"/>
                  <w:noWrap w:val="0"/>
                  <w:vAlign w:val="center"/>
                </w:tcPr>
                <w:p w14:paraId="18D03A1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4.0mm铅门</w:t>
                  </w:r>
                </w:p>
              </w:tc>
              <w:tc>
                <w:tcPr>
                  <w:tcW w:w="471" w:type="pct"/>
                  <w:noWrap w:val="0"/>
                  <w:vAlign w:val="center"/>
                </w:tcPr>
                <w:p w14:paraId="0A78408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5.18</w:t>
                  </w:r>
                </w:p>
              </w:tc>
              <w:tc>
                <w:tcPr>
                  <w:tcW w:w="363" w:type="pct"/>
                  <w:noWrap w:val="0"/>
                  <w:vAlign w:val="center"/>
                </w:tcPr>
                <w:p w14:paraId="755E267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0B19C76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54AA9E1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72182F8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7877E0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6B7746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5.15E-05</w:t>
                  </w:r>
                </w:p>
              </w:tc>
            </w:tr>
            <w:tr w14:paraId="626A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155302D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4027C7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6</w:t>
                  </w:r>
                </w:p>
              </w:tc>
              <w:tc>
                <w:tcPr>
                  <w:tcW w:w="998" w:type="pct"/>
                  <w:noWrap w:val="0"/>
                  <w:vAlign w:val="center"/>
                </w:tcPr>
                <w:p w14:paraId="372B7C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机房北面墙体外30cm（洁净通道）</w:t>
                  </w:r>
                </w:p>
              </w:tc>
              <w:tc>
                <w:tcPr>
                  <w:tcW w:w="969" w:type="pct"/>
                  <w:noWrap w:val="0"/>
                  <w:vAlign w:val="center"/>
                </w:tcPr>
                <w:p w14:paraId="47BCEBD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300mm钢筋混凝土</w:t>
                  </w:r>
                  <w:r>
                    <w:rPr>
                      <w:rFonts w:hint="default" w:ascii="Times New Roman" w:hAnsi="Times New Roman" w:eastAsia="宋体" w:cs="Times New Roman"/>
                      <w:color w:val="auto"/>
                      <w:kern w:val="2"/>
                      <w:sz w:val="18"/>
                      <w:szCs w:val="18"/>
                      <w:lang w:val="en-US" w:eastAsia="zh-CN" w:bidi="ar-SA"/>
                    </w:rPr>
                    <w:t>剪力墙+</w:t>
                  </w:r>
                  <w:r>
                    <w:rPr>
                      <w:rFonts w:hint="eastAsia" w:cs="Times New Roman"/>
                      <w:color w:val="auto"/>
                      <w:kern w:val="2"/>
                      <w:sz w:val="18"/>
                      <w:szCs w:val="18"/>
                      <w:lang w:val="en-US" w:eastAsia="zh-CN" w:bidi="ar-SA"/>
                    </w:rPr>
                    <w:t>2</w:t>
                  </w:r>
                  <w:r>
                    <w:rPr>
                      <w:rFonts w:hint="default" w:ascii="Times New Roman" w:hAnsi="Times New Roman" w:eastAsia="宋体" w:cs="Times New Roman"/>
                      <w:color w:val="auto"/>
                      <w:kern w:val="2"/>
                      <w:sz w:val="18"/>
                      <w:szCs w:val="18"/>
                      <w:lang w:val="en-US" w:eastAsia="zh-CN" w:bidi="ar-SA"/>
                    </w:rPr>
                    <w:t>0mm硫酸钡防护涂料</w:t>
                  </w:r>
                </w:p>
              </w:tc>
              <w:tc>
                <w:tcPr>
                  <w:tcW w:w="471" w:type="pct"/>
                  <w:noWrap w:val="0"/>
                  <w:vAlign w:val="center"/>
                </w:tcPr>
                <w:p w14:paraId="4CD4A9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5.9</w:t>
                  </w:r>
                </w:p>
              </w:tc>
              <w:tc>
                <w:tcPr>
                  <w:tcW w:w="363" w:type="pct"/>
                  <w:noWrap w:val="0"/>
                  <w:vAlign w:val="center"/>
                </w:tcPr>
                <w:p w14:paraId="1DBBE48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6.18</w:t>
                  </w:r>
                </w:p>
              </w:tc>
              <w:tc>
                <w:tcPr>
                  <w:tcW w:w="255" w:type="pct"/>
                  <w:noWrap w:val="0"/>
                  <w:vAlign w:val="center"/>
                </w:tcPr>
                <w:p w14:paraId="6EC72A4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46A9D7E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7323A45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6C151F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3.59E-09</w:t>
                  </w:r>
                </w:p>
              </w:tc>
              <w:tc>
                <w:tcPr>
                  <w:tcW w:w="382" w:type="pct"/>
                  <w:noWrap w:val="0"/>
                  <w:vAlign w:val="center"/>
                </w:tcPr>
                <w:p w14:paraId="37FBF6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1.03E-07</w:t>
                  </w:r>
                </w:p>
              </w:tc>
            </w:tr>
            <w:tr w14:paraId="6059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76EADD0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329E68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7</w:t>
                  </w:r>
                </w:p>
              </w:tc>
              <w:tc>
                <w:tcPr>
                  <w:tcW w:w="998" w:type="pct"/>
                  <w:noWrap w:val="0"/>
                  <w:vAlign w:val="center"/>
                </w:tcPr>
                <w:p w14:paraId="0BF6AF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机房东面墙体外30cm（16号手术室）</w:t>
                  </w:r>
                </w:p>
              </w:tc>
              <w:tc>
                <w:tcPr>
                  <w:tcW w:w="969" w:type="pct"/>
                  <w:noWrap w:val="0"/>
                  <w:vAlign w:val="center"/>
                </w:tcPr>
                <w:p w14:paraId="14B1411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300mm钢筋混凝土剪力墙+</w:t>
                  </w:r>
                  <w:r>
                    <w:rPr>
                      <w:rFonts w:hint="eastAsia" w:cs="Times New Roman"/>
                      <w:color w:val="auto"/>
                      <w:kern w:val="2"/>
                      <w:sz w:val="18"/>
                      <w:szCs w:val="18"/>
                      <w:lang w:val="en-US" w:eastAsia="zh-CN" w:bidi="ar-SA"/>
                    </w:rPr>
                    <w:t>2</w:t>
                  </w:r>
                  <w:r>
                    <w:rPr>
                      <w:rFonts w:hint="default" w:ascii="Times New Roman" w:hAnsi="Times New Roman" w:eastAsia="宋体" w:cs="Times New Roman"/>
                      <w:color w:val="auto"/>
                      <w:kern w:val="2"/>
                      <w:sz w:val="18"/>
                      <w:szCs w:val="18"/>
                      <w:lang w:val="en-US" w:eastAsia="zh-CN" w:bidi="ar-SA"/>
                    </w:rPr>
                    <w:t>0mm硫酸钡防护涂料</w:t>
                  </w:r>
                </w:p>
              </w:tc>
              <w:tc>
                <w:tcPr>
                  <w:tcW w:w="471" w:type="pct"/>
                  <w:noWrap w:val="0"/>
                  <w:vAlign w:val="center"/>
                </w:tcPr>
                <w:p w14:paraId="4038FB6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6.93</w:t>
                  </w:r>
                </w:p>
              </w:tc>
              <w:tc>
                <w:tcPr>
                  <w:tcW w:w="363" w:type="pct"/>
                  <w:noWrap w:val="0"/>
                  <w:vAlign w:val="center"/>
                </w:tcPr>
                <w:p w14:paraId="0FE0E4E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6.18</w:t>
                  </w:r>
                </w:p>
              </w:tc>
              <w:tc>
                <w:tcPr>
                  <w:tcW w:w="255" w:type="pct"/>
                  <w:noWrap w:val="0"/>
                  <w:vAlign w:val="center"/>
                </w:tcPr>
                <w:p w14:paraId="568E40C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5F1BDFB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2F43940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2C5617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3.59E-09</w:t>
                  </w:r>
                </w:p>
              </w:tc>
              <w:tc>
                <w:tcPr>
                  <w:tcW w:w="382" w:type="pct"/>
                  <w:noWrap w:val="0"/>
                  <w:vAlign w:val="center"/>
                </w:tcPr>
                <w:p w14:paraId="652217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7.47E-08</w:t>
                  </w:r>
                </w:p>
              </w:tc>
            </w:tr>
            <w:tr w14:paraId="4124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08DB30C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171DB26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8</w:t>
                  </w:r>
                </w:p>
              </w:tc>
              <w:tc>
                <w:tcPr>
                  <w:tcW w:w="998" w:type="pct"/>
                  <w:noWrap w:val="0"/>
                  <w:vAlign w:val="center"/>
                </w:tcPr>
                <w:p w14:paraId="74921F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机房东面墙体外30cm（16号手术室）</w:t>
                  </w:r>
                </w:p>
              </w:tc>
              <w:tc>
                <w:tcPr>
                  <w:tcW w:w="969" w:type="pct"/>
                  <w:noWrap w:val="0"/>
                  <w:vAlign w:val="center"/>
                </w:tcPr>
                <w:p w14:paraId="1F58BBB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2EA3777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6.9</w:t>
                  </w:r>
                </w:p>
              </w:tc>
              <w:tc>
                <w:tcPr>
                  <w:tcW w:w="363" w:type="pct"/>
                  <w:noWrap w:val="0"/>
                  <w:vAlign w:val="center"/>
                </w:tcPr>
                <w:p w14:paraId="53D029F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794A195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5AA2193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26892C2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7E68A3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350D3F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2.90E-05</w:t>
                  </w:r>
                </w:p>
              </w:tc>
            </w:tr>
            <w:tr w14:paraId="4192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3E93A50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32C221F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9</w:t>
                  </w:r>
                </w:p>
              </w:tc>
              <w:tc>
                <w:tcPr>
                  <w:tcW w:w="998" w:type="pct"/>
                  <w:noWrap w:val="0"/>
                  <w:vAlign w:val="center"/>
                </w:tcPr>
                <w:p w14:paraId="04843D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机房南面墙体外30cm（污物通道）</w:t>
                  </w:r>
                </w:p>
              </w:tc>
              <w:tc>
                <w:tcPr>
                  <w:tcW w:w="969" w:type="pct"/>
                  <w:noWrap w:val="0"/>
                  <w:vAlign w:val="center"/>
                </w:tcPr>
                <w:p w14:paraId="2D49EC6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300mm钢筋混凝土剪力墙+20mm硫酸钡防护涂料</w:t>
                  </w:r>
                </w:p>
              </w:tc>
              <w:tc>
                <w:tcPr>
                  <w:tcW w:w="471" w:type="pct"/>
                  <w:noWrap w:val="0"/>
                  <w:vAlign w:val="center"/>
                </w:tcPr>
                <w:p w14:paraId="7308859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6.67</w:t>
                  </w:r>
                </w:p>
              </w:tc>
              <w:tc>
                <w:tcPr>
                  <w:tcW w:w="363" w:type="pct"/>
                  <w:noWrap w:val="0"/>
                  <w:vAlign w:val="center"/>
                </w:tcPr>
                <w:p w14:paraId="7DB8109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6.18</w:t>
                  </w:r>
                </w:p>
              </w:tc>
              <w:tc>
                <w:tcPr>
                  <w:tcW w:w="255" w:type="pct"/>
                  <w:noWrap w:val="0"/>
                  <w:vAlign w:val="center"/>
                </w:tcPr>
                <w:p w14:paraId="4E2A242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0BE03D1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56E6DB2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14CA1A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3.59E-09</w:t>
                  </w:r>
                </w:p>
              </w:tc>
              <w:tc>
                <w:tcPr>
                  <w:tcW w:w="382" w:type="pct"/>
                  <w:noWrap w:val="0"/>
                  <w:vAlign w:val="center"/>
                </w:tcPr>
                <w:p w14:paraId="390B65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8.06E-08</w:t>
                  </w:r>
                </w:p>
              </w:tc>
            </w:tr>
            <w:tr w14:paraId="5690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4079ADB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271CBC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10</w:t>
                  </w:r>
                </w:p>
              </w:tc>
              <w:tc>
                <w:tcPr>
                  <w:tcW w:w="998" w:type="pct"/>
                  <w:noWrap w:val="0"/>
                  <w:vAlign w:val="center"/>
                </w:tcPr>
                <w:p w14:paraId="5C5298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污物通道铅门</w:t>
                  </w:r>
                </w:p>
              </w:tc>
              <w:tc>
                <w:tcPr>
                  <w:tcW w:w="969" w:type="pct"/>
                  <w:noWrap w:val="0"/>
                  <w:vAlign w:val="center"/>
                </w:tcPr>
                <w:p w14:paraId="45DF5BA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4.0mm铅门</w:t>
                  </w:r>
                </w:p>
              </w:tc>
              <w:tc>
                <w:tcPr>
                  <w:tcW w:w="471" w:type="pct"/>
                  <w:noWrap w:val="0"/>
                  <w:vAlign w:val="center"/>
                </w:tcPr>
                <w:p w14:paraId="0D59050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6.13</w:t>
                  </w:r>
                </w:p>
              </w:tc>
              <w:tc>
                <w:tcPr>
                  <w:tcW w:w="363" w:type="pct"/>
                  <w:noWrap w:val="0"/>
                  <w:vAlign w:val="center"/>
                </w:tcPr>
                <w:p w14:paraId="4F02164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365397F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41DA62F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209966D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2A0CC4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2CA915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3.68E-05</w:t>
                  </w:r>
                </w:p>
              </w:tc>
            </w:tr>
            <w:tr w14:paraId="47B9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798799C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41EF60E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11</w:t>
                  </w:r>
                </w:p>
              </w:tc>
              <w:tc>
                <w:tcPr>
                  <w:tcW w:w="998" w:type="pct"/>
                  <w:noWrap w:val="0"/>
                  <w:vAlign w:val="center"/>
                </w:tcPr>
                <w:p w14:paraId="3A8AAA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vertAlign w:val="baseline"/>
                      <w:lang w:val="en-US" w:eastAsia="zh-CN" w:bidi="ar-SA"/>
                    </w:rPr>
                  </w:pPr>
                  <w:r>
                    <w:rPr>
                      <w:rFonts w:hint="default" w:ascii="Times New Roman" w:hAnsi="Times New Roman" w:eastAsia="宋体" w:cs="Times New Roman"/>
                      <w:color w:val="auto"/>
                      <w:spacing w:val="0"/>
                      <w:kern w:val="2"/>
                      <w:position w:val="0"/>
                      <w:sz w:val="18"/>
                      <w:szCs w:val="18"/>
                      <w:vertAlign w:val="baseline"/>
                      <w:lang w:val="en-US" w:eastAsia="zh-CN" w:bidi="ar-SA"/>
                    </w:rPr>
                    <w:t>机房南面墙体外30cm（污物通道）</w:t>
                  </w:r>
                </w:p>
              </w:tc>
              <w:tc>
                <w:tcPr>
                  <w:tcW w:w="969" w:type="pct"/>
                  <w:noWrap w:val="0"/>
                  <w:vAlign w:val="center"/>
                </w:tcPr>
                <w:p w14:paraId="1C598BF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52348AB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5.94</w:t>
                  </w:r>
                </w:p>
              </w:tc>
              <w:tc>
                <w:tcPr>
                  <w:tcW w:w="363" w:type="pct"/>
                  <w:noWrap w:val="0"/>
                  <w:vAlign w:val="center"/>
                </w:tcPr>
                <w:p w14:paraId="375EC25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2DC04BC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5EDC7A7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44C4939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059B67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3234C1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3.92E-05</w:t>
                  </w:r>
                </w:p>
              </w:tc>
            </w:tr>
            <w:tr w14:paraId="7B2C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03FB6D9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140DE16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w:t>
                  </w:r>
                </w:p>
              </w:tc>
              <w:tc>
                <w:tcPr>
                  <w:tcW w:w="998" w:type="pct"/>
                  <w:noWrap w:val="0"/>
                  <w:vAlign w:val="center"/>
                </w:tcPr>
                <w:p w14:paraId="6E40DB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机房南面墙体外30cm（设备间）</w:t>
                  </w:r>
                </w:p>
              </w:tc>
              <w:tc>
                <w:tcPr>
                  <w:tcW w:w="969" w:type="pct"/>
                  <w:noWrap w:val="0"/>
                  <w:vAlign w:val="center"/>
                </w:tcPr>
                <w:p w14:paraId="0DA3FE65">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4.0mm铅板</w:t>
                  </w:r>
                </w:p>
              </w:tc>
              <w:tc>
                <w:tcPr>
                  <w:tcW w:w="471" w:type="pct"/>
                  <w:noWrap w:val="0"/>
                  <w:vAlign w:val="center"/>
                </w:tcPr>
                <w:p w14:paraId="0CA0F2D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4.3</w:t>
                  </w:r>
                </w:p>
              </w:tc>
              <w:tc>
                <w:tcPr>
                  <w:tcW w:w="363" w:type="pct"/>
                  <w:noWrap w:val="0"/>
                  <w:vAlign w:val="center"/>
                </w:tcPr>
                <w:p w14:paraId="72D37BC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4</w:t>
                  </w:r>
                </w:p>
              </w:tc>
              <w:tc>
                <w:tcPr>
                  <w:tcW w:w="255" w:type="pct"/>
                  <w:noWrap w:val="0"/>
                  <w:vAlign w:val="center"/>
                </w:tcPr>
                <w:p w14:paraId="3480413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43BAEF9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34A05B9D">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5CFE44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1.38E-06</w:t>
                  </w:r>
                </w:p>
              </w:tc>
              <w:tc>
                <w:tcPr>
                  <w:tcW w:w="382" w:type="pct"/>
                  <w:noWrap w:val="0"/>
                  <w:vAlign w:val="center"/>
                </w:tcPr>
                <w:p w14:paraId="3AA490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7.47E-05</w:t>
                  </w:r>
                </w:p>
              </w:tc>
            </w:tr>
            <w:tr w14:paraId="1678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63CC5328">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66E5E35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13</w:t>
                  </w:r>
                </w:p>
              </w:tc>
              <w:tc>
                <w:tcPr>
                  <w:tcW w:w="998" w:type="pct"/>
                  <w:noWrap w:val="0"/>
                  <w:vAlign w:val="center"/>
                </w:tcPr>
                <w:p w14:paraId="410D1E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拟建机房楼上100cm（神经外科病房）</w:t>
                  </w:r>
                </w:p>
              </w:tc>
              <w:tc>
                <w:tcPr>
                  <w:tcW w:w="969" w:type="pct"/>
                  <w:noWrap w:val="0"/>
                  <w:vAlign w:val="center"/>
                </w:tcPr>
                <w:p w14:paraId="1FBC9D9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120mm钢筋混凝土楼板+4mm铅板</w:t>
                  </w:r>
                </w:p>
              </w:tc>
              <w:tc>
                <w:tcPr>
                  <w:tcW w:w="471" w:type="pct"/>
                  <w:noWrap w:val="0"/>
                  <w:vAlign w:val="center"/>
                </w:tcPr>
                <w:p w14:paraId="66B6963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4.6</w:t>
                  </w:r>
                </w:p>
              </w:tc>
              <w:tc>
                <w:tcPr>
                  <w:tcW w:w="363" w:type="pct"/>
                  <w:noWrap w:val="0"/>
                  <w:vAlign w:val="center"/>
                </w:tcPr>
                <w:p w14:paraId="0633756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5.44</w:t>
                  </w:r>
                </w:p>
              </w:tc>
              <w:tc>
                <w:tcPr>
                  <w:tcW w:w="255" w:type="pct"/>
                  <w:noWrap w:val="0"/>
                  <w:vAlign w:val="center"/>
                </w:tcPr>
                <w:p w14:paraId="3E0ED54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0B2D507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4CBF85D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105124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2.71E-08</w:t>
                  </w:r>
                </w:p>
              </w:tc>
              <w:tc>
                <w:tcPr>
                  <w:tcW w:w="382" w:type="pct"/>
                  <w:noWrap w:val="0"/>
                  <w:vAlign w:val="center"/>
                </w:tcPr>
                <w:p w14:paraId="4B8823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1.28E-06</w:t>
                  </w:r>
                </w:p>
              </w:tc>
            </w:tr>
            <w:tr w14:paraId="59C2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3AFE0C9C">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1A071C3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14</w:t>
                  </w:r>
                </w:p>
              </w:tc>
              <w:tc>
                <w:tcPr>
                  <w:tcW w:w="998" w:type="pct"/>
                  <w:noWrap w:val="0"/>
                  <w:vAlign w:val="center"/>
                </w:tcPr>
                <w:p w14:paraId="235169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拟建机房楼下1.7m（器械预清洗/敷料打包/库房/2号手术室）</w:t>
                  </w:r>
                </w:p>
              </w:tc>
              <w:tc>
                <w:tcPr>
                  <w:tcW w:w="969" w:type="pct"/>
                  <w:noWrap w:val="0"/>
                  <w:vAlign w:val="center"/>
                </w:tcPr>
                <w:p w14:paraId="72C1361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120mm钢筋混凝土楼板+40mm硫酸钡涂料</w:t>
                  </w:r>
                </w:p>
              </w:tc>
              <w:tc>
                <w:tcPr>
                  <w:tcW w:w="471" w:type="pct"/>
                  <w:noWrap w:val="0"/>
                  <w:vAlign w:val="center"/>
                </w:tcPr>
                <w:p w14:paraId="2A5958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0"/>
                      <w:position w:val="0"/>
                      <w:sz w:val="18"/>
                      <w:szCs w:val="18"/>
                      <w:vertAlign w:val="baseline"/>
                      <w:lang w:val="en-US" w:eastAsia="zh-CN" w:bidi="ar"/>
                    </w:rPr>
                  </w:pPr>
                  <w:r>
                    <w:rPr>
                      <w:rFonts w:hint="default" w:ascii="Times New Roman" w:hAnsi="Times New Roman" w:eastAsia="宋体" w:cs="Times New Roman"/>
                      <w:b w:val="0"/>
                      <w:bCs w:val="0"/>
                      <w:color w:val="auto"/>
                      <w:spacing w:val="0"/>
                      <w:kern w:val="0"/>
                      <w:position w:val="0"/>
                      <w:sz w:val="18"/>
                      <w:szCs w:val="18"/>
                      <w:vertAlign w:val="baseline"/>
                      <w:lang w:val="en-US" w:eastAsia="zh-CN" w:bidi="ar"/>
                    </w:rPr>
                    <w:t>3.7</w:t>
                  </w:r>
                </w:p>
              </w:tc>
              <w:tc>
                <w:tcPr>
                  <w:tcW w:w="363" w:type="pct"/>
                  <w:noWrap w:val="0"/>
                  <w:vAlign w:val="center"/>
                </w:tcPr>
                <w:p w14:paraId="203E546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b w:val="0"/>
                      <w:bCs w:val="0"/>
                      <w:color w:val="auto"/>
                      <w:spacing w:val="0"/>
                      <w:kern w:val="0"/>
                      <w:position w:val="0"/>
                      <w:sz w:val="18"/>
                      <w:szCs w:val="18"/>
                      <w:vertAlign w:val="baseline"/>
                      <w:lang w:val="en-US" w:eastAsia="zh-CN" w:bidi="ar"/>
                    </w:rPr>
                    <w:t>5.16</w:t>
                  </w:r>
                </w:p>
              </w:tc>
              <w:tc>
                <w:tcPr>
                  <w:tcW w:w="255" w:type="pct"/>
                  <w:noWrap w:val="0"/>
                  <w:vAlign w:val="center"/>
                </w:tcPr>
                <w:p w14:paraId="66CC3C1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793E5A60">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700A4746">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2FC2BA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5.82E-08</w:t>
                  </w:r>
                </w:p>
              </w:tc>
              <w:tc>
                <w:tcPr>
                  <w:tcW w:w="382" w:type="pct"/>
                  <w:noWrap w:val="0"/>
                  <w:vAlign w:val="center"/>
                </w:tcPr>
                <w:p w14:paraId="496915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4.25E-06</w:t>
                  </w:r>
                </w:p>
              </w:tc>
            </w:tr>
            <w:tr w14:paraId="679A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33E82FB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3C41E164">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15</w:t>
                  </w:r>
                </w:p>
              </w:tc>
              <w:tc>
                <w:tcPr>
                  <w:tcW w:w="998" w:type="pct"/>
                  <w:noWrap w:val="0"/>
                  <w:vAlign w:val="center"/>
                </w:tcPr>
                <w:p w14:paraId="4554BC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拟建机房楼上30cm</w:t>
                  </w:r>
                </w:p>
              </w:tc>
              <w:tc>
                <w:tcPr>
                  <w:tcW w:w="969" w:type="pct"/>
                  <w:noWrap w:val="0"/>
                  <w:vAlign w:val="center"/>
                </w:tcPr>
                <w:p w14:paraId="47D2F20A">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120mm钢筋混凝土楼板+4mm铅板</w:t>
                  </w:r>
                </w:p>
              </w:tc>
              <w:tc>
                <w:tcPr>
                  <w:tcW w:w="471" w:type="pct"/>
                  <w:noWrap w:val="0"/>
                  <w:vAlign w:val="center"/>
                </w:tcPr>
                <w:p w14:paraId="1AD4C58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3.9</w:t>
                  </w:r>
                </w:p>
              </w:tc>
              <w:tc>
                <w:tcPr>
                  <w:tcW w:w="363" w:type="pct"/>
                  <w:noWrap w:val="0"/>
                  <w:vAlign w:val="center"/>
                </w:tcPr>
                <w:p w14:paraId="023058A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pacing w:val="0"/>
                      <w:kern w:val="2"/>
                      <w:position w:val="0"/>
                      <w:sz w:val="18"/>
                      <w:szCs w:val="18"/>
                      <w:lang w:val="en-US" w:eastAsia="zh-CN" w:bidi="ar-SA"/>
                    </w:rPr>
                    <w:t>5.44</w:t>
                  </w:r>
                </w:p>
              </w:tc>
              <w:tc>
                <w:tcPr>
                  <w:tcW w:w="255" w:type="pct"/>
                  <w:noWrap w:val="0"/>
                  <w:vAlign w:val="center"/>
                </w:tcPr>
                <w:p w14:paraId="024EBD61">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6734F4EF">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475DEFE2">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4CC4EC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2.71E-08</w:t>
                  </w:r>
                </w:p>
              </w:tc>
              <w:tc>
                <w:tcPr>
                  <w:tcW w:w="382" w:type="pct"/>
                  <w:noWrap w:val="0"/>
                  <w:vAlign w:val="center"/>
                </w:tcPr>
                <w:p w14:paraId="0BD3A7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1.78E-06</w:t>
                  </w:r>
                </w:p>
              </w:tc>
            </w:tr>
            <w:tr w14:paraId="3AB4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83" w:type="pct"/>
                  <w:vMerge w:val="continue"/>
                  <w:noWrap w:val="0"/>
                  <w:vAlign w:val="center"/>
                </w:tcPr>
                <w:p w14:paraId="36D83583">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sz w:val="18"/>
                      <w:szCs w:val="18"/>
                      <w:lang w:val="en-US" w:eastAsia="zh-CN"/>
                    </w:rPr>
                  </w:pPr>
                </w:p>
              </w:tc>
              <w:tc>
                <w:tcPr>
                  <w:tcW w:w="266" w:type="pct"/>
                  <w:noWrap w:val="0"/>
                  <w:vAlign w:val="center"/>
                </w:tcPr>
                <w:p w14:paraId="7A467AB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16</w:t>
                  </w:r>
                </w:p>
              </w:tc>
              <w:tc>
                <w:tcPr>
                  <w:tcW w:w="998" w:type="pct"/>
                  <w:noWrap w:val="0"/>
                  <w:vAlign w:val="center"/>
                </w:tcPr>
                <w:p w14:paraId="51A76F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18"/>
                      <w:szCs w:val="18"/>
                      <w:lang w:val="en-US" w:eastAsia="zh-CN" w:bidi="ar-SA"/>
                    </w:rPr>
                  </w:pPr>
                  <w:r>
                    <w:rPr>
                      <w:rFonts w:hint="default" w:ascii="Times New Roman" w:hAnsi="Times New Roman" w:eastAsia="宋体" w:cs="Times New Roman"/>
                      <w:color w:val="auto"/>
                      <w:spacing w:val="0"/>
                      <w:position w:val="0"/>
                      <w:sz w:val="18"/>
                      <w:szCs w:val="18"/>
                      <w:lang w:val="en-US" w:eastAsia="zh-CN"/>
                    </w:rPr>
                    <w:t>拟建机房楼下30cm</w:t>
                  </w:r>
                </w:p>
              </w:tc>
              <w:tc>
                <w:tcPr>
                  <w:tcW w:w="969" w:type="pct"/>
                  <w:noWrap w:val="0"/>
                  <w:vAlign w:val="center"/>
                </w:tcPr>
                <w:p w14:paraId="4E33CE9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120mm钢筋混凝土楼板+40mm硫酸钡涂料</w:t>
                  </w:r>
                </w:p>
              </w:tc>
              <w:tc>
                <w:tcPr>
                  <w:tcW w:w="471" w:type="pct"/>
                  <w:noWrap w:val="0"/>
                  <w:vAlign w:val="center"/>
                </w:tcPr>
                <w:p w14:paraId="3BF0B85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0.9</w:t>
                  </w:r>
                </w:p>
              </w:tc>
              <w:tc>
                <w:tcPr>
                  <w:tcW w:w="363" w:type="pct"/>
                  <w:noWrap w:val="0"/>
                  <w:vAlign w:val="center"/>
                </w:tcPr>
                <w:p w14:paraId="7418E137">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b w:val="0"/>
                      <w:bCs w:val="0"/>
                      <w:color w:val="auto"/>
                      <w:spacing w:val="0"/>
                      <w:kern w:val="0"/>
                      <w:position w:val="0"/>
                      <w:sz w:val="18"/>
                      <w:szCs w:val="18"/>
                      <w:vertAlign w:val="baseline"/>
                      <w:lang w:val="en-US" w:eastAsia="zh-CN" w:bidi="ar"/>
                    </w:rPr>
                    <w:t>5.16</w:t>
                  </w:r>
                </w:p>
              </w:tc>
              <w:tc>
                <w:tcPr>
                  <w:tcW w:w="255" w:type="pct"/>
                  <w:noWrap w:val="0"/>
                  <w:vAlign w:val="center"/>
                </w:tcPr>
                <w:p w14:paraId="545B1C6B">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2.731</w:t>
                  </w:r>
                </w:p>
              </w:tc>
              <w:tc>
                <w:tcPr>
                  <w:tcW w:w="255" w:type="pct"/>
                  <w:noWrap w:val="0"/>
                  <w:vAlign w:val="center"/>
                </w:tcPr>
                <w:p w14:paraId="2F3CBD3E">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17.07</w:t>
                  </w:r>
                </w:p>
              </w:tc>
              <w:tc>
                <w:tcPr>
                  <w:tcW w:w="475" w:type="pct"/>
                  <w:noWrap w:val="0"/>
                  <w:vAlign w:val="center"/>
                </w:tcPr>
                <w:p w14:paraId="33B2ED89">
                  <w:pPr>
                    <w:pStyle w:val="8"/>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0.7714</w:t>
                  </w:r>
                </w:p>
              </w:tc>
              <w:tc>
                <w:tcPr>
                  <w:tcW w:w="377" w:type="pct"/>
                  <w:noWrap w:val="0"/>
                  <w:vAlign w:val="center"/>
                </w:tcPr>
                <w:p w14:paraId="422628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5.82E-08</w:t>
                  </w:r>
                </w:p>
              </w:tc>
              <w:tc>
                <w:tcPr>
                  <w:tcW w:w="382" w:type="pct"/>
                  <w:noWrap w:val="0"/>
                  <w:vAlign w:val="center"/>
                </w:tcPr>
                <w:p w14:paraId="6D4BE9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7.18E-05</w:t>
                  </w:r>
                </w:p>
              </w:tc>
            </w:tr>
          </w:tbl>
          <w:p w14:paraId="6414479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由表11-2计算结果可知，DSA机房外各关注点处</w:t>
            </w:r>
            <w:r>
              <w:rPr>
                <w:rFonts w:hint="eastAsia" w:cs="Times New Roman"/>
                <w:color w:val="auto"/>
                <w:kern w:val="0"/>
                <w:sz w:val="24"/>
                <w:szCs w:val="24"/>
                <w:lang w:val="en-US" w:eastAsia="zh-CN" w:bidi="ar"/>
              </w:rPr>
              <w:t>泄露</w:t>
            </w:r>
            <w:r>
              <w:rPr>
                <w:rFonts w:hint="default" w:ascii="Times New Roman" w:hAnsi="Times New Roman" w:eastAsia="宋体" w:cs="Times New Roman"/>
                <w:color w:val="auto"/>
                <w:kern w:val="0"/>
                <w:sz w:val="24"/>
                <w:szCs w:val="24"/>
                <w:lang w:val="en-US" w:eastAsia="zh-CN" w:bidi="ar"/>
              </w:rPr>
              <w:t>辐射剂量率水平最大值为1.</w:t>
            </w:r>
            <w:r>
              <w:rPr>
                <w:rFonts w:hint="eastAsia" w:cs="Times New Roman"/>
                <w:color w:val="auto"/>
                <w:kern w:val="0"/>
                <w:sz w:val="24"/>
                <w:szCs w:val="24"/>
                <w:lang w:val="en-US" w:eastAsia="zh-CN" w:bidi="ar"/>
              </w:rPr>
              <w:t>07</w:t>
            </w:r>
            <w:r>
              <w:rPr>
                <w:rFonts w:hint="default" w:ascii="Times New Roman" w:hAnsi="Times New Roman" w:eastAsia="宋体" w:cs="Times New Roman"/>
                <w:color w:val="auto"/>
                <w:kern w:val="0"/>
                <w:sz w:val="24"/>
                <w:szCs w:val="24"/>
                <w:lang w:val="en-US" w:eastAsia="zh-CN" w:bidi="ar"/>
              </w:rPr>
              <w:t>E-04μSv/h。</w:t>
            </w:r>
          </w:p>
          <w:p w14:paraId="344A03BA">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textAlignment w:val="auto"/>
              <w:rPr>
                <w:rFonts w:hint="default" w:ascii="Times New Roman" w:hAnsi="Times New Roman" w:eastAsia="宋体" w:cs="Times New Roman"/>
                <w:color w:val="auto"/>
                <w:spacing w:val="0"/>
                <w:kern w:val="0"/>
                <w:position w:val="0"/>
                <w:sz w:val="24"/>
                <w:szCs w:val="24"/>
                <w:lang w:val="en-US" w:eastAsia="zh-CN" w:bidi="ar"/>
              </w:rPr>
            </w:pPr>
            <w:r>
              <w:rPr>
                <w:rFonts w:hint="default" w:ascii="Times New Roman" w:hAnsi="Times New Roman" w:eastAsia="宋体" w:cs="Times New Roman"/>
                <w:color w:val="auto"/>
                <w:spacing w:val="0"/>
                <w:kern w:val="0"/>
                <w:position w:val="0"/>
                <w:sz w:val="24"/>
                <w:szCs w:val="24"/>
                <w:lang w:val="en-US" w:eastAsia="zh-CN" w:bidi="ar"/>
              </w:rPr>
              <w:t>③散射和泄漏总辐射剂量率估算</w:t>
            </w:r>
          </w:p>
          <w:p w14:paraId="1831D75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sz w:val="24"/>
                <w:szCs w:val="24"/>
                <w:lang w:val="en-US" w:eastAsia="zh-CN" w:bidi="ar"/>
              </w:rPr>
              <w:t>根据表11-1和表11-2的计算结果，各关注点处散漏射所致附加剂量率总和，见表11-3。</w:t>
            </w:r>
          </w:p>
          <w:p w14:paraId="045E41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kern w:val="0"/>
                <w:position w:val="0"/>
                <w:sz w:val="21"/>
                <w:szCs w:val="21"/>
                <w:lang w:val="en-US" w:eastAsia="zh-CN" w:bidi="ar"/>
              </w:rPr>
              <w:t>表11-3  DSA照射所致附加剂量率总和单位： (μSv/h)</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870"/>
              <w:gridCol w:w="3674"/>
              <w:gridCol w:w="1169"/>
              <w:gridCol w:w="1140"/>
              <w:gridCol w:w="1620"/>
            </w:tblGrid>
            <w:tr w14:paraId="3A97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noWrap w:val="0"/>
                  <w:vAlign w:val="center"/>
                </w:tcPr>
                <w:p w14:paraId="6AB096C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模式</w:t>
                  </w:r>
                </w:p>
              </w:tc>
              <w:tc>
                <w:tcPr>
                  <w:tcW w:w="870" w:type="dxa"/>
                  <w:noWrap w:val="0"/>
                  <w:vAlign w:val="center"/>
                </w:tcPr>
                <w:p w14:paraId="29AA311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关注点编号</w:t>
                  </w:r>
                </w:p>
              </w:tc>
              <w:tc>
                <w:tcPr>
                  <w:tcW w:w="3674" w:type="dxa"/>
                  <w:noWrap w:val="0"/>
                  <w:vAlign w:val="center"/>
                </w:tcPr>
                <w:p w14:paraId="7B8ECEF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关注点位置</w:t>
                  </w:r>
                </w:p>
              </w:tc>
              <w:tc>
                <w:tcPr>
                  <w:tcW w:w="1169" w:type="dxa"/>
                  <w:noWrap w:val="0"/>
                  <w:vAlign w:val="center"/>
                </w:tcPr>
                <w:p w14:paraId="7FAB77A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散射辐射</w:t>
                  </w:r>
                </w:p>
              </w:tc>
              <w:tc>
                <w:tcPr>
                  <w:tcW w:w="1140" w:type="dxa"/>
                  <w:noWrap w:val="0"/>
                  <w:vAlign w:val="center"/>
                </w:tcPr>
                <w:p w14:paraId="24757B6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泄漏辐射</w:t>
                  </w:r>
                </w:p>
              </w:tc>
              <w:tc>
                <w:tcPr>
                  <w:tcW w:w="1620" w:type="dxa"/>
                  <w:noWrap w:val="0"/>
                  <w:vAlign w:val="center"/>
                </w:tcPr>
                <w:p w14:paraId="7E2E83F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散射辐射+泄漏辐射</w:t>
                  </w:r>
                </w:p>
              </w:tc>
            </w:tr>
            <w:tr w14:paraId="24B3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97" w:type="dxa"/>
                  <w:vMerge w:val="restart"/>
                  <w:noWrap w:val="0"/>
                  <w:vAlign w:val="center"/>
                </w:tcPr>
                <w:p w14:paraId="13229C5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eastAsia="zh-CN"/>
                    </w:rPr>
                    <w:t>透视</w:t>
                  </w:r>
                </w:p>
              </w:tc>
              <w:tc>
                <w:tcPr>
                  <w:tcW w:w="870" w:type="dxa"/>
                  <w:noWrap w:val="0"/>
                  <w:vAlign w:val="center"/>
                </w:tcPr>
                <w:p w14:paraId="176DD70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p>
              </w:tc>
              <w:tc>
                <w:tcPr>
                  <w:tcW w:w="3674" w:type="dxa"/>
                  <w:noWrap w:val="0"/>
                  <w:vAlign w:val="center"/>
                </w:tcPr>
                <w:p w14:paraId="3F70A3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控制室铅玻璃外30cm</w:t>
                  </w:r>
                </w:p>
              </w:tc>
              <w:tc>
                <w:tcPr>
                  <w:tcW w:w="1169" w:type="dxa"/>
                  <w:noWrap w:val="0"/>
                  <w:vAlign w:val="center"/>
                </w:tcPr>
                <w:p w14:paraId="331983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1.93E-07</w:t>
                  </w:r>
                </w:p>
              </w:tc>
              <w:tc>
                <w:tcPr>
                  <w:tcW w:w="1140" w:type="dxa"/>
                  <w:noWrap w:val="0"/>
                  <w:vAlign w:val="center"/>
                </w:tcPr>
                <w:p w14:paraId="74BC32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4.18E-08</w:t>
                  </w:r>
                </w:p>
              </w:tc>
              <w:tc>
                <w:tcPr>
                  <w:tcW w:w="1620" w:type="dxa"/>
                  <w:noWrap w:val="0"/>
                  <w:vAlign w:val="center"/>
                </w:tcPr>
                <w:p w14:paraId="75885B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2.34E-07</w:t>
                  </w:r>
                </w:p>
              </w:tc>
            </w:tr>
            <w:tr w14:paraId="54F0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171F7F3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0CEF792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c>
                <w:tcPr>
                  <w:tcW w:w="3674" w:type="dxa"/>
                  <w:noWrap w:val="0"/>
                  <w:vAlign w:val="center"/>
                </w:tcPr>
                <w:p w14:paraId="2E402E9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控制室墙体外30cm</w:t>
                  </w:r>
                </w:p>
              </w:tc>
              <w:tc>
                <w:tcPr>
                  <w:tcW w:w="1169" w:type="dxa"/>
                  <w:noWrap w:val="0"/>
                  <w:vAlign w:val="center"/>
                </w:tcPr>
                <w:p w14:paraId="033FAD2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1.85E-07</w:t>
                  </w:r>
                </w:p>
              </w:tc>
              <w:tc>
                <w:tcPr>
                  <w:tcW w:w="1140" w:type="dxa"/>
                  <w:noWrap w:val="0"/>
                  <w:vAlign w:val="center"/>
                </w:tcPr>
                <w:p w14:paraId="4E92BEF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4.02E-08</w:t>
                  </w:r>
                </w:p>
              </w:tc>
              <w:tc>
                <w:tcPr>
                  <w:tcW w:w="1620" w:type="dxa"/>
                  <w:noWrap w:val="0"/>
                  <w:vAlign w:val="center"/>
                </w:tcPr>
                <w:p w14:paraId="028852A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2.26E-07</w:t>
                  </w:r>
                </w:p>
              </w:tc>
            </w:tr>
            <w:tr w14:paraId="3A32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3500FF6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60E9133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p>
              </w:tc>
              <w:tc>
                <w:tcPr>
                  <w:tcW w:w="3674" w:type="dxa"/>
                  <w:noWrap w:val="0"/>
                  <w:vAlign w:val="center"/>
                </w:tcPr>
                <w:p w14:paraId="61917C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控制室铅门外30cm</w:t>
                  </w:r>
                </w:p>
              </w:tc>
              <w:tc>
                <w:tcPr>
                  <w:tcW w:w="1169" w:type="dxa"/>
                  <w:noWrap w:val="0"/>
                  <w:vAlign w:val="center"/>
                </w:tcPr>
                <w:p w14:paraId="321F09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1.58E-07</w:t>
                  </w:r>
                </w:p>
              </w:tc>
              <w:tc>
                <w:tcPr>
                  <w:tcW w:w="1140" w:type="dxa"/>
                  <w:noWrap w:val="0"/>
                  <w:vAlign w:val="center"/>
                </w:tcPr>
                <w:p w14:paraId="20B6E4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3.42E-08</w:t>
                  </w:r>
                </w:p>
              </w:tc>
              <w:tc>
                <w:tcPr>
                  <w:tcW w:w="1620" w:type="dxa"/>
                  <w:noWrap w:val="0"/>
                  <w:vAlign w:val="center"/>
                </w:tcPr>
                <w:p w14:paraId="2E6444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1.92E-07</w:t>
                  </w:r>
                </w:p>
              </w:tc>
            </w:tr>
            <w:tr w14:paraId="19FE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2D8F298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6E5B297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w:t>
                  </w:r>
                </w:p>
              </w:tc>
              <w:tc>
                <w:tcPr>
                  <w:tcW w:w="3674" w:type="dxa"/>
                  <w:noWrap w:val="0"/>
                  <w:vAlign w:val="center"/>
                </w:tcPr>
                <w:p w14:paraId="381BDA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机房北面墙体外30cm（洁净通道）</w:t>
                  </w:r>
                </w:p>
              </w:tc>
              <w:tc>
                <w:tcPr>
                  <w:tcW w:w="1169" w:type="dxa"/>
                  <w:noWrap w:val="0"/>
                  <w:vAlign w:val="center"/>
                </w:tcPr>
                <w:p w14:paraId="60DFCC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1.35E-07</w:t>
                  </w:r>
                </w:p>
              </w:tc>
              <w:tc>
                <w:tcPr>
                  <w:tcW w:w="1140" w:type="dxa"/>
                  <w:noWrap w:val="0"/>
                  <w:vAlign w:val="center"/>
                </w:tcPr>
                <w:p w14:paraId="38E935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2.93E-08</w:t>
                  </w:r>
                </w:p>
              </w:tc>
              <w:tc>
                <w:tcPr>
                  <w:tcW w:w="1620" w:type="dxa"/>
                  <w:noWrap w:val="0"/>
                  <w:vAlign w:val="center"/>
                </w:tcPr>
                <w:p w14:paraId="47B5E6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1.64E-07</w:t>
                  </w:r>
                </w:p>
              </w:tc>
            </w:tr>
            <w:tr w14:paraId="01DA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27A90C7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5D9942E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5</w:t>
                  </w:r>
                </w:p>
              </w:tc>
              <w:tc>
                <w:tcPr>
                  <w:tcW w:w="3674" w:type="dxa"/>
                  <w:noWrap w:val="0"/>
                  <w:vAlign w:val="center"/>
                </w:tcPr>
                <w:p w14:paraId="20F169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lang w:val="en-US" w:eastAsia="zh-CN"/>
                    </w:rPr>
                    <w:t>患者通道铅门外30cm</w:t>
                  </w:r>
                </w:p>
              </w:tc>
              <w:tc>
                <w:tcPr>
                  <w:tcW w:w="1169" w:type="dxa"/>
                  <w:noWrap w:val="0"/>
                  <w:vAlign w:val="center"/>
                </w:tcPr>
                <w:p w14:paraId="0B67D7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9.31E-08</w:t>
                  </w:r>
                </w:p>
              </w:tc>
              <w:tc>
                <w:tcPr>
                  <w:tcW w:w="1140" w:type="dxa"/>
                  <w:noWrap w:val="0"/>
                  <w:vAlign w:val="center"/>
                </w:tcPr>
                <w:p w14:paraId="2BB8C4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2.02E-08</w:t>
                  </w:r>
                </w:p>
              </w:tc>
              <w:tc>
                <w:tcPr>
                  <w:tcW w:w="1620" w:type="dxa"/>
                  <w:noWrap w:val="0"/>
                  <w:vAlign w:val="center"/>
                </w:tcPr>
                <w:p w14:paraId="519D536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1.13E-07</w:t>
                  </w:r>
                </w:p>
              </w:tc>
            </w:tr>
            <w:tr w14:paraId="0C66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7" w:type="dxa"/>
                  <w:vMerge w:val="continue"/>
                  <w:noWrap w:val="0"/>
                  <w:vAlign w:val="center"/>
                </w:tcPr>
                <w:p w14:paraId="6E1AF923">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104C2B7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6</w:t>
                  </w:r>
                </w:p>
              </w:tc>
              <w:tc>
                <w:tcPr>
                  <w:tcW w:w="3674" w:type="dxa"/>
                  <w:noWrap w:val="0"/>
                  <w:vAlign w:val="center"/>
                </w:tcPr>
                <w:p w14:paraId="1B5C602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机房北面墙体外30cm（洁净通道）</w:t>
                  </w:r>
                </w:p>
              </w:tc>
              <w:tc>
                <w:tcPr>
                  <w:tcW w:w="1169" w:type="dxa"/>
                  <w:noWrap w:val="0"/>
                  <w:vAlign w:val="center"/>
                </w:tcPr>
                <w:p w14:paraId="49131D5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2.74E-12</w:t>
                  </w:r>
                </w:p>
              </w:tc>
              <w:tc>
                <w:tcPr>
                  <w:tcW w:w="1140" w:type="dxa"/>
                  <w:noWrap w:val="0"/>
                  <w:vAlign w:val="center"/>
                </w:tcPr>
                <w:p w14:paraId="03365A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5.95E-13</w:t>
                  </w:r>
                </w:p>
              </w:tc>
              <w:tc>
                <w:tcPr>
                  <w:tcW w:w="1620" w:type="dxa"/>
                  <w:noWrap w:val="0"/>
                  <w:vAlign w:val="center"/>
                </w:tcPr>
                <w:p w14:paraId="61592BE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3.34E-12</w:t>
                  </w:r>
                </w:p>
              </w:tc>
            </w:tr>
            <w:tr w14:paraId="1FB9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3CCBFD2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242EB243">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7</w:t>
                  </w:r>
                </w:p>
              </w:tc>
              <w:tc>
                <w:tcPr>
                  <w:tcW w:w="3674" w:type="dxa"/>
                  <w:noWrap w:val="0"/>
                  <w:vAlign w:val="center"/>
                </w:tcPr>
                <w:p w14:paraId="2513B95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机房东面墙体外30cm（16号手术室）</w:t>
                  </w:r>
                </w:p>
              </w:tc>
              <w:tc>
                <w:tcPr>
                  <w:tcW w:w="1169" w:type="dxa"/>
                  <w:noWrap w:val="0"/>
                  <w:vAlign w:val="center"/>
                </w:tcPr>
                <w:p w14:paraId="7725EB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1.99E-12</w:t>
                  </w:r>
                </w:p>
              </w:tc>
              <w:tc>
                <w:tcPr>
                  <w:tcW w:w="1140" w:type="dxa"/>
                  <w:noWrap w:val="0"/>
                  <w:vAlign w:val="center"/>
                </w:tcPr>
                <w:p w14:paraId="208DB8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4.31E-13</w:t>
                  </w:r>
                </w:p>
              </w:tc>
              <w:tc>
                <w:tcPr>
                  <w:tcW w:w="1620" w:type="dxa"/>
                  <w:noWrap w:val="0"/>
                  <w:vAlign w:val="center"/>
                </w:tcPr>
                <w:p w14:paraId="1F4334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2.42E-12</w:t>
                  </w:r>
                </w:p>
              </w:tc>
            </w:tr>
            <w:tr w14:paraId="3433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4C2A1DC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6CBE888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8</w:t>
                  </w:r>
                </w:p>
              </w:tc>
              <w:tc>
                <w:tcPr>
                  <w:tcW w:w="3674" w:type="dxa"/>
                  <w:noWrap w:val="0"/>
                  <w:vAlign w:val="center"/>
                </w:tcPr>
                <w:p w14:paraId="5C1F3AE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机房东面墙体外30cm（16号手术室）</w:t>
                  </w:r>
                </w:p>
              </w:tc>
              <w:tc>
                <w:tcPr>
                  <w:tcW w:w="1169" w:type="dxa"/>
                  <w:noWrap w:val="0"/>
                  <w:vAlign w:val="center"/>
                </w:tcPr>
                <w:p w14:paraId="5D97AC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5.25E-08</w:t>
                  </w:r>
                </w:p>
              </w:tc>
              <w:tc>
                <w:tcPr>
                  <w:tcW w:w="1140" w:type="dxa"/>
                  <w:noWrap w:val="0"/>
                  <w:vAlign w:val="center"/>
                </w:tcPr>
                <w:p w14:paraId="43E7AC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1.14E-08</w:t>
                  </w:r>
                </w:p>
              </w:tc>
              <w:tc>
                <w:tcPr>
                  <w:tcW w:w="1620" w:type="dxa"/>
                  <w:noWrap w:val="0"/>
                  <w:vAlign w:val="center"/>
                </w:tcPr>
                <w:p w14:paraId="0DC487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6.38E-08</w:t>
                  </w:r>
                </w:p>
              </w:tc>
            </w:tr>
            <w:tr w14:paraId="6A1F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554B590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02B7FCC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9</w:t>
                  </w:r>
                </w:p>
              </w:tc>
              <w:tc>
                <w:tcPr>
                  <w:tcW w:w="3674" w:type="dxa"/>
                  <w:noWrap w:val="0"/>
                  <w:vAlign w:val="center"/>
                </w:tcPr>
                <w:p w14:paraId="2670A0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机房南面墙体外30cm（污物通道）</w:t>
                  </w:r>
                </w:p>
              </w:tc>
              <w:tc>
                <w:tcPr>
                  <w:tcW w:w="1169" w:type="dxa"/>
                  <w:noWrap w:val="0"/>
                  <w:vAlign w:val="center"/>
                </w:tcPr>
                <w:p w14:paraId="2018528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2.15E-12</w:t>
                  </w:r>
                </w:p>
              </w:tc>
              <w:tc>
                <w:tcPr>
                  <w:tcW w:w="1140" w:type="dxa"/>
                  <w:noWrap w:val="0"/>
                  <w:vAlign w:val="center"/>
                </w:tcPr>
                <w:p w14:paraId="506A1C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4.65E-13</w:t>
                  </w:r>
                </w:p>
              </w:tc>
              <w:tc>
                <w:tcPr>
                  <w:tcW w:w="1620" w:type="dxa"/>
                  <w:noWrap w:val="0"/>
                  <w:vAlign w:val="center"/>
                </w:tcPr>
                <w:p w14:paraId="3383655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2.61E-12</w:t>
                  </w:r>
                </w:p>
              </w:tc>
            </w:tr>
            <w:tr w14:paraId="7200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4DD054A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7A2D4AC3">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10</w:t>
                  </w:r>
                </w:p>
              </w:tc>
              <w:tc>
                <w:tcPr>
                  <w:tcW w:w="3674" w:type="dxa"/>
                  <w:noWrap w:val="0"/>
                  <w:vAlign w:val="center"/>
                </w:tcPr>
                <w:p w14:paraId="4B9E852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bidi="ar-SA"/>
                    </w:rPr>
                    <w:t>污物通道铅门</w:t>
                  </w:r>
                </w:p>
              </w:tc>
              <w:tc>
                <w:tcPr>
                  <w:tcW w:w="1169" w:type="dxa"/>
                  <w:noWrap w:val="0"/>
                  <w:vAlign w:val="center"/>
                </w:tcPr>
                <w:p w14:paraId="77A4415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6.65E-08</w:t>
                  </w:r>
                </w:p>
              </w:tc>
              <w:tc>
                <w:tcPr>
                  <w:tcW w:w="1140" w:type="dxa"/>
                  <w:noWrap w:val="0"/>
                  <w:vAlign w:val="center"/>
                </w:tcPr>
                <w:p w14:paraId="67F773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1.44E-08</w:t>
                  </w:r>
                </w:p>
              </w:tc>
              <w:tc>
                <w:tcPr>
                  <w:tcW w:w="1620" w:type="dxa"/>
                  <w:noWrap w:val="0"/>
                  <w:vAlign w:val="center"/>
                </w:tcPr>
                <w:p w14:paraId="7ABCB85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8.09E-08</w:t>
                  </w:r>
                </w:p>
              </w:tc>
            </w:tr>
            <w:tr w14:paraId="7A16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014D111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5E249BB7">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11</w:t>
                  </w:r>
                </w:p>
              </w:tc>
              <w:tc>
                <w:tcPr>
                  <w:tcW w:w="3674" w:type="dxa"/>
                  <w:noWrap w:val="0"/>
                  <w:vAlign w:val="center"/>
                </w:tcPr>
                <w:p w14:paraId="704A3C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机房南面墙体外30cm（污物通道）</w:t>
                  </w:r>
                </w:p>
              </w:tc>
              <w:tc>
                <w:tcPr>
                  <w:tcW w:w="1169" w:type="dxa"/>
                  <w:noWrap w:val="0"/>
                  <w:vAlign w:val="center"/>
                </w:tcPr>
                <w:p w14:paraId="103485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7.08E-08</w:t>
                  </w:r>
                </w:p>
              </w:tc>
              <w:tc>
                <w:tcPr>
                  <w:tcW w:w="1140" w:type="dxa"/>
                  <w:noWrap w:val="0"/>
                  <w:vAlign w:val="center"/>
                </w:tcPr>
                <w:p w14:paraId="46E7B01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1.54E-08</w:t>
                  </w:r>
                </w:p>
              </w:tc>
              <w:tc>
                <w:tcPr>
                  <w:tcW w:w="1620" w:type="dxa"/>
                  <w:noWrap w:val="0"/>
                  <w:vAlign w:val="center"/>
                </w:tcPr>
                <w:p w14:paraId="4AF518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8.61E-08</w:t>
                  </w:r>
                </w:p>
              </w:tc>
            </w:tr>
            <w:tr w14:paraId="0D83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12A292C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2C1FA5E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12</w:t>
                  </w:r>
                </w:p>
              </w:tc>
              <w:tc>
                <w:tcPr>
                  <w:tcW w:w="3674" w:type="dxa"/>
                  <w:noWrap w:val="0"/>
                  <w:vAlign w:val="center"/>
                </w:tcPr>
                <w:p w14:paraId="123BA2A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bidi="ar-SA"/>
                    </w:rPr>
                    <w:t>机房南面墙体外30cm（设备间）</w:t>
                  </w:r>
                </w:p>
              </w:tc>
              <w:tc>
                <w:tcPr>
                  <w:tcW w:w="1169" w:type="dxa"/>
                  <w:noWrap w:val="0"/>
                  <w:vAlign w:val="center"/>
                </w:tcPr>
                <w:p w14:paraId="765EDE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1.35E-07</w:t>
                  </w:r>
                </w:p>
              </w:tc>
              <w:tc>
                <w:tcPr>
                  <w:tcW w:w="1140" w:type="dxa"/>
                  <w:noWrap w:val="0"/>
                  <w:vAlign w:val="center"/>
                </w:tcPr>
                <w:p w14:paraId="5BFDACC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2.93E-08</w:t>
                  </w:r>
                </w:p>
              </w:tc>
              <w:tc>
                <w:tcPr>
                  <w:tcW w:w="1620" w:type="dxa"/>
                  <w:noWrap w:val="0"/>
                  <w:vAlign w:val="center"/>
                </w:tcPr>
                <w:p w14:paraId="6AE708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1.64E-07</w:t>
                  </w:r>
                </w:p>
              </w:tc>
            </w:tr>
            <w:tr w14:paraId="274F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0E7350B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37C0B78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13</w:t>
                  </w:r>
                </w:p>
              </w:tc>
              <w:tc>
                <w:tcPr>
                  <w:tcW w:w="3674" w:type="dxa"/>
                  <w:noWrap w:val="0"/>
                  <w:vAlign w:val="center"/>
                </w:tcPr>
                <w:p w14:paraId="5BD95A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拟建机房楼上100cm（神经外科病房）</w:t>
                  </w:r>
                </w:p>
              </w:tc>
              <w:tc>
                <w:tcPr>
                  <w:tcW w:w="1169" w:type="dxa"/>
                  <w:noWrap w:val="0"/>
                  <w:vAlign w:val="center"/>
                </w:tcPr>
                <w:p w14:paraId="50825A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1.88E-10</w:t>
                  </w:r>
                </w:p>
              </w:tc>
              <w:tc>
                <w:tcPr>
                  <w:tcW w:w="1140" w:type="dxa"/>
                  <w:noWrap w:val="0"/>
                  <w:vAlign w:val="center"/>
                </w:tcPr>
                <w:p w14:paraId="62D32B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3.09E-11</w:t>
                  </w:r>
                </w:p>
              </w:tc>
              <w:tc>
                <w:tcPr>
                  <w:tcW w:w="1620" w:type="dxa"/>
                  <w:noWrap w:val="0"/>
                  <w:vAlign w:val="center"/>
                </w:tcPr>
                <w:p w14:paraId="1C70DDD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2.19E-10</w:t>
                  </w:r>
                </w:p>
              </w:tc>
            </w:tr>
            <w:tr w14:paraId="4429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6B7A767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3C6E343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14</w:t>
                  </w:r>
                </w:p>
              </w:tc>
              <w:tc>
                <w:tcPr>
                  <w:tcW w:w="3674" w:type="dxa"/>
                  <w:noWrap w:val="0"/>
                  <w:vAlign w:val="center"/>
                </w:tcPr>
                <w:p w14:paraId="1CDFBD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拟建机房楼下1.7m（器械预清洗/敷料打包/库房/2号手术室）</w:t>
                  </w:r>
                </w:p>
              </w:tc>
              <w:tc>
                <w:tcPr>
                  <w:tcW w:w="1169" w:type="dxa"/>
                  <w:noWrap w:val="0"/>
                  <w:vAlign w:val="center"/>
                </w:tcPr>
                <w:p w14:paraId="6C93E71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6.02E-10</w:t>
                  </w:r>
                </w:p>
              </w:tc>
              <w:tc>
                <w:tcPr>
                  <w:tcW w:w="1140" w:type="dxa"/>
                  <w:noWrap w:val="0"/>
                  <w:vAlign w:val="center"/>
                </w:tcPr>
                <w:p w14:paraId="6ABA04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1.76E-10</w:t>
                  </w:r>
                </w:p>
              </w:tc>
              <w:tc>
                <w:tcPr>
                  <w:tcW w:w="1620" w:type="dxa"/>
                  <w:noWrap w:val="0"/>
                  <w:vAlign w:val="center"/>
                </w:tcPr>
                <w:p w14:paraId="3ADBB6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7.79E-10</w:t>
                  </w:r>
                </w:p>
              </w:tc>
            </w:tr>
            <w:tr w14:paraId="647C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21D1A37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0971DE8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15</w:t>
                  </w:r>
                </w:p>
              </w:tc>
              <w:tc>
                <w:tcPr>
                  <w:tcW w:w="3674" w:type="dxa"/>
                  <w:noWrap w:val="0"/>
                  <w:vAlign w:val="center"/>
                </w:tcPr>
                <w:p w14:paraId="7C2418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拟建机房楼上30cm</w:t>
                  </w:r>
                </w:p>
              </w:tc>
              <w:tc>
                <w:tcPr>
                  <w:tcW w:w="1169" w:type="dxa"/>
                  <w:noWrap w:val="0"/>
                  <w:vAlign w:val="center"/>
                </w:tcPr>
                <w:p w14:paraId="24F3D99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2.77E-10</w:t>
                  </w:r>
                </w:p>
              </w:tc>
              <w:tc>
                <w:tcPr>
                  <w:tcW w:w="1140" w:type="dxa"/>
                  <w:noWrap w:val="0"/>
                  <w:vAlign w:val="center"/>
                </w:tcPr>
                <w:p w14:paraId="4A4BF1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4.30E-11</w:t>
                  </w:r>
                </w:p>
              </w:tc>
              <w:tc>
                <w:tcPr>
                  <w:tcW w:w="1620" w:type="dxa"/>
                  <w:noWrap w:val="0"/>
                  <w:vAlign w:val="center"/>
                </w:tcPr>
                <w:p w14:paraId="251062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3.20E-10</w:t>
                  </w:r>
                </w:p>
              </w:tc>
            </w:tr>
            <w:tr w14:paraId="2683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38FB706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59345CD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16</w:t>
                  </w:r>
                </w:p>
              </w:tc>
              <w:tc>
                <w:tcPr>
                  <w:tcW w:w="3674" w:type="dxa"/>
                  <w:noWrap w:val="0"/>
                  <w:vAlign w:val="center"/>
                </w:tcPr>
                <w:p w14:paraId="2166FE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拟建机房楼下30cm</w:t>
                  </w:r>
                </w:p>
              </w:tc>
              <w:tc>
                <w:tcPr>
                  <w:tcW w:w="1169" w:type="dxa"/>
                  <w:noWrap w:val="0"/>
                  <w:vAlign w:val="center"/>
                </w:tcPr>
                <w:p w14:paraId="7EAADE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4.95E-09</w:t>
                  </w:r>
                </w:p>
              </w:tc>
              <w:tc>
                <w:tcPr>
                  <w:tcW w:w="1140" w:type="dxa"/>
                  <w:noWrap w:val="0"/>
                  <w:vAlign w:val="center"/>
                </w:tcPr>
                <w:p w14:paraId="16E9F3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2.98E-09</w:t>
                  </w:r>
                </w:p>
              </w:tc>
              <w:tc>
                <w:tcPr>
                  <w:tcW w:w="1620" w:type="dxa"/>
                  <w:noWrap w:val="0"/>
                  <w:vAlign w:val="center"/>
                </w:tcPr>
                <w:p w14:paraId="345F32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7.93E-09</w:t>
                  </w:r>
                </w:p>
              </w:tc>
            </w:tr>
            <w:tr w14:paraId="0B45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34778E2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365296E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17</w:t>
                  </w:r>
                </w:p>
              </w:tc>
              <w:tc>
                <w:tcPr>
                  <w:tcW w:w="3674" w:type="dxa"/>
                  <w:noWrap w:val="0"/>
                  <w:vAlign w:val="center"/>
                </w:tcPr>
                <w:p w14:paraId="214323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第一术者位（仅透视）</w:t>
                  </w:r>
                </w:p>
              </w:tc>
              <w:tc>
                <w:tcPr>
                  <w:tcW w:w="1169" w:type="dxa"/>
                  <w:noWrap w:val="0"/>
                  <w:vAlign w:val="center"/>
                </w:tcPr>
                <w:p w14:paraId="3B53BD6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3.53E+01</w:t>
                  </w:r>
                </w:p>
              </w:tc>
              <w:tc>
                <w:tcPr>
                  <w:tcW w:w="1140" w:type="dxa"/>
                  <w:noWrap w:val="0"/>
                  <w:vAlign w:val="center"/>
                </w:tcPr>
                <w:p w14:paraId="7997568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7.66E+00</w:t>
                  </w:r>
                </w:p>
              </w:tc>
              <w:tc>
                <w:tcPr>
                  <w:tcW w:w="1620" w:type="dxa"/>
                  <w:noWrap w:val="0"/>
                  <w:vAlign w:val="center"/>
                </w:tcPr>
                <w:p w14:paraId="354F4B0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4.30E+01</w:t>
                  </w:r>
                </w:p>
              </w:tc>
            </w:tr>
            <w:tr w14:paraId="0419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0C4B273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614B2BD4">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18</w:t>
                  </w:r>
                </w:p>
              </w:tc>
              <w:tc>
                <w:tcPr>
                  <w:tcW w:w="3674" w:type="dxa"/>
                  <w:noWrap w:val="0"/>
                  <w:vAlign w:val="center"/>
                </w:tcPr>
                <w:p w14:paraId="74C196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第二术者位（仅透视）</w:t>
                  </w:r>
                </w:p>
              </w:tc>
              <w:tc>
                <w:tcPr>
                  <w:tcW w:w="1169" w:type="dxa"/>
                  <w:noWrap w:val="0"/>
                  <w:vAlign w:val="center"/>
                </w:tcPr>
                <w:p w14:paraId="37C24D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5.12</w:t>
                  </w:r>
                  <w:r>
                    <w:rPr>
                      <w:rFonts w:hint="default" w:ascii="Times New Roman" w:hAnsi="Times New Roman" w:eastAsia="宋体" w:cs="Times New Roman"/>
                      <w:i w:val="0"/>
                      <w:iCs w:val="0"/>
                      <w:color w:val="auto"/>
                      <w:kern w:val="0"/>
                      <w:sz w:val="21"/>
                      <w:szCs w:val="21"/>
                      <w:highlight w:val="none"/>
                      <w:u w:val="none"/>
                      <w:lang w:val="en-US" w:eastAsia="zh-CN" w:bidi="ar"/>
                    </w:rPr>
                    <w:t>E+01</w:t>
                  </w:r>
                </w:p>
              </w:tc>
              <w:tc>
                <w:tcPr>
                  <w:tcW w:w="1140" w:type="dxa"/>
                  <w:noWrap w:val="0"/>
                  <w:vAlign w:val="center"/>
                </w:tcPr>
                <w:p w14:paraId="6B2637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1.11E+01</w:t>
                  </w:r>
                </w:p>
              </w:tc>
              <w:tc>
                <w:tcPr>
                  <w:tcW w:w="1620" w:type="dxa"/>
                  <w:noWrap w:val="0"/>
                  <w:vAlign w:val="center"/>
                </w:tcPr>
                <w:p w14:paraId="146BCED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6.23E+01</w:t>
                  </w:r>
                </w:p>
              </w:tc>
            </w:tr>
            <w:tr w14:paraId="25CB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restart"/>
                  <w:noWrap w:val="0"/>
                  <w:vAlign w:val="center"/>
                </w:tcPr>
                <w:p w14:paraId="2BF67543">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r>
                    <w:rPr>
                      <w:rFonts w:hint="default" w:ascii="Times New Roman" w:hAnsi="Times New Roman" w:eastAsia="宋体" w:cs="Times New Roman"/>
                      <w:color w:val="auto"/>
                      <w:spacing w:val="0"/>
                      <w:position w:val="0"/>
                      <w:sz w:val="21"/>
                      <w:szCs w:val="21"/>
                      <w:lang w:val="en-US" w:eastAsia="zh-CN"/>
                    </w:rPr>
                    <w:t>减影</w:t>
                  </w:r>
                </w:p>
              </w:tc>
              <w:tc>
                <w:tcPr>
                  <w:tcW w:w="870" w:type="dxa"/>
                  <w:noWrap w:val="0"/>
                  <w:vAlign w:val="center"/>
                </w:tcPr>
                <w:p w14:paraId="2705663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p>
              </w:tc>
              <w:tc>
                <w:tcPr>
                  <w:tcW w:w="3674" w:type="dxa"/>
                  <w:noWrap w:val="0"/>
                  <w:vAlign w:val="center"/>
                </w:tcPr>
                <w:p w14:paraId="1B1A9C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控制室铅玻璃外30cm</w:t>
                  </w:r>
                </w:p>
              </w:tc>
              <w:tc>
                <w:tcPr>
                  <w:tcW w:w="1169" w:type="dxa"/>
                  <w:noWrap w:val="0"/>
                  <w:vAlign w:val="center"/>
                </w:tcPr>
                <w:p w14:paraId="778B620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3.28E-02</w:t>
                  </w:r>
                </w:p>
              </w:tc>
              <w:tc>
                <w:tcPr>
                  <w:tcW w:w="1140" w:type="dxa"/>
                  <w:noWrap w:val="0"/>
                  <w:vAlign w:val="center"/>
                </w:tcPr>
                <w:p w14:paraId="50938E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1.07E-04</w:t>
                  </w:r>
                </w:p>
              </w:tc>
              <w:tc>
                <w:tcPr>
                  <w:tcW w:w="1620" w:type="dxa"/>
                  <w:noWrap w:val="0"/>
                  <w:vAlign w:val="center"/>
                </w:tcPr>
                <w:p w14:paraId="4DB9CB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3.29E-02</w:t>
                  </w:r>
                </w:p>
              </w:tc>
            </w:tr>
            <w:tr w14:paraId="4CDC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1F3DD66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446169B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c>
                <w:tcPr>
                  <w:tcW w:w="3674" w:type="dxa"/>
                  <w:noWrap w:val="0"/>
                  <w:vAlign w:val="center"/>
                </w:tcPr>
                <w:p w14:paraId="0B335D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控制室墙体外30cm</w:t>
                  </w:r>
                </w:p>
              </w:tc>
              <w:tc>
                <w:tcPr>
                  <w:tcW w:w="1169" w:type="dxa"/>
                  <w:noWrap w:val="0"/>
                  <w:vAlign w:val="center"/>
                </w:tcPr>
                <w:p w14:paraId="765B2B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3.15E-02</w:t>
                  </w:r>
                </w:p>
              </w:tc>
              <w:tc>
                <w:tcPr>
                  <w:tcW w:w="1140" w:type="dxa"/>
                  <w:noWrap w:val="0"/>
                  <w:vAlign w:val="center"/>
                </w:tcPr>
                <w:p w14:paraId="61493F7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1.03E-04</w:t>
                  </w:r>
                </w:p>
              </w:tc>
              <w:tc>
                <w:tcPr>
                  <w:tcW w:w="1620" w:type="dxa"/>
                  <w:noWrap w:val="0"/>
                  <w:vAlign w:val="center"/>
                </w:tcPr>
                <w:p w14:paraId="4F093B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3.16E-02</w:t>
                  </w:r>
                </w:p>
              </w:tc>
            </w:tr>
            <w:tr w14:paraId="3091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497F986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64A3E72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p>
              </w:tc>
              <w:tc>
                <w:tcPr>
                  <w:tcW w:w="3674" w:type="dxa"/>
                  <w:noWrap w:val="0"/>
                  <w:vAlign w:val="center"/>
                </w:tcPr>
                <w:p w14:paraId="333DA00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控制室铅门外30cm</w:t>
                  </w:r>
                </w:p>
              </w:tc>
              <w:tc>
                <w:tcPr>
                  <w:tcW w:w="1169" w:type="dxa"/>
                  <w:noWrap w:val="0"/>
                  <w:vAlign w:val="center"/>
                </w:tcPr>
                <w:p w14:paraId="5154A9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2.68E-02</w:t>
                  </w:r>
                </w:p>
              </w:tc>
              <w:tc>
                <w:tcPr>
                  <w:tcW w:w="1140" w:type="dxa"/>
                  <w:noWrap w:val="0"/>
                  <w:vAlign w:val="center"/>
                </w:tcPr>
                <w:p w14:paraId="3270EC1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8.73E-05</w:t>
                  </w:r>
                </w:p>
              </w:tc>
              <w:tc>
                <w:tcPr>
                  <w:tcW w:w="1620" w:type="dxa"/>
                  <w:noWrap w:val="0"/>
                  <w:vAlign w:val="center"/>
                </w:tcPr>
                <w:p w14:paraId="736011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2.69E-02</w:t>
                  </w:r>
                </w:p>
              </w:tc>
            </w:tr>
            <w:tr w14:paraId="0488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212EF18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7085F4F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w:t>
                  </w:r>
                </w:p>
              </w:tc>
              <w:tc>
                <w:tcPr>
                  <w:tcW w:w="3674" w:type="dxa"/>
                  <w:noWrap w:val="0"/>
                  <w:vAlign w:val="center"/>
                </w:tcPr>
                <w:p w14:paraId="53BC66F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机房北面墙体外30cm（洁净通道）</w:t>
                  </w:r>
                </w:p>
              </w:tc>
              <w:tc>
                <w:tcPr>
                  <w:tcW w:w="1169" w:type="dxa"/>
                  <w:noWrap w:val="0"/>
                  <w:vAlign w:val="center"/>
                </w:tcPr>
                <w:p w14:paraId="0E6F20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2.30E-02</w:t>
                  </w:r>
                </w:p>
              </w:tc>
              <w:tc>
                <w:tcPr>
                  <w:tcW w:w="1140" w:type="dxa"/>
                  <w:noWrap w:val="0"/>
                  <w:vAlign w:val="center"/>
                </w:tcPr>
                <w:p w14:paraId="7CA79FE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7.47E-05</w:t>
                  </w:r>
                </w:p>
              </w:tc>
              <w:tc>
                <w:tcPr>
                  <w:tcW w:w="1620" w:type="dxa"/>
                  <w:noWrap w:val="0"/>
                  <w:vAlign w:val="center"/>
                </w:tcPr>
                <w:p w14:paraId="7E0E5D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2.31E-02</w:t>
                  </w:r>
                </w:p>
              </w:tc>
            </w:tr>
            <w:tr w14:paraId="2295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3FB90E1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1F3AF2F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5</w:t>
                  </w:r>
                </w:p>
              </w:tc>
              <w:tc>
                <w:tcPr>
                  <w:tcW w:w="3674" w:type="dxa"/>
                  <w:noWrap w:val="0"/>
                  <w:vAlign w:val="center"/>
                </w:tcPr>
                <w:p w14:paraId="48E7074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lang w:val="en-US" w:eastAsia="zh-CN"/>
                    </w:rPr>
                    <w:t>患者通道铅门外30cm</w:t>
                  </w:r>
                </w:p>
              </w:tc>
              <w:tc>
                <w:tcPr>
                  <w:tcW w:w="1169" w:type="dxa"/>
                  <w:noWrap w:val="0"/>
                  <w:vAlign w:val="center"/>
                </w:tcPr>
                <w:p w14:paraId="72D02A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1.58E-02</w:t>
                  </w:r>
                </w:p>
              </w:tc>
              <w:tc>
                <w:tcPr>
                  <w:tcW w:w="1140" w:type="dxa"/>
                  <w:noWrap w:val="0"/>
                  <w:vAlign w:val="center"/>
                </w:tcPr>
                <w:p w14:paraId="3FD4253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5.15E-05</w:t>
                  </w:r>
                </w:p>
              </w:tc>
              <w:tc>
                <w:tcPr>
                  <w:tcW w:w="1620" w:type="dxa"/>
                  <w:noWrap w:val="0"/>
                  <w:vAlign w:val="center"/>
                </w:tcPr>
                <w:p w14:paraId="36326AC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1.59E-02</w:t>
                  </w:r>
                </w:p>
              </w:tc>
            </w:tr>
            <w:tr w14:paraId="3561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59BF267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62FB8753">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6</w:t>
                  </w:r>
                </w:p>
              </w:tc>
              <w:tc>
                <w:tcPr>
                  <w:tcW w:w="3674" w:type="dxa"/>
                  <w:noWrap w:val="0"/>
                  <w:vAlign w:val="center"/>
                </w:tcPr>
                <w:p w14:paraId="6E1862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机房北面墙体外30cm（洁净通道）</w:t>
                  </w:r>
                </w:p>
              </w:tc>
              <w:tc>
                <w:tcPr>
                  <w:tcW w:w="1169" w:type="dxa"/>
                  <w:noWrap w:val="0"/>
                  <w:vAlign w:val="center"/>
                </w:tcPr>
                <w:p w14:paraId="33DF987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3.17E-05</w:t>
                  </w:r>
                </w:p>
              </w:tc>
              <w:tc>
                <w:tcPr>
                  <w:tcW w:w="1140" w:type="dxa"/>
                  <w:noWrap w:val="0"/>
                  <w:vAlign w:val="center"/>
                </w:tcPr>
                <w:p w14:paraId="6AF4CA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1.03E-07</w:t>
                  </w:r>
                </w:p>
              </w:tc>
              <w:tc>
                <w:tcPr>
                  <w:tcW w:w="1620" w:type="dxa"/>
                  <w:noWrap w:val="0"/>
                  <w:vAlign w:val="center"/>
                </w:tcPr>
                <w:p w14:paraId="3B6730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3.18E-05</w:t>
                  </w:r>
                </w:p>
              </w:tc>
            </w:tr>
            <w:tr w14:paraId="7112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7B458AE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4498CB0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7</w:t>
                  </w:r>
                </w:p>
              </w:tc>
              <w:tc>
                <w:tcPr>
                  <w:tcW w:w="3674" w:type="dxa"/>
                  <w:noWrap w:val="0"/>
                  <w:vAlign w:val="center"/>
                </w:tcPr>
                <w:p w14:paraId="0F84D8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机房东面墙体外30cm（16号手术室）</w:t>
                  </w:r>
                </w:p>
              </w:tc>
              <w:tc>
                <w:tcPr>
                  <w:tcW w:w="1169" w:type="dxa"/>
                  <w:noWrap w:val="0"/>
                  <w:vAlign w:val="center"/>
                </w:tcPr>
                <w:p w14:paraId="071B76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2.30E-05</w:t>
                  </w:r>
                </w:p>
              </w:tc>
              <w:tc>
                <w:tcPr>
                  <w:tcW w:w="1140" w:type="dxa"/>
                  <w:noWrap w:val="0"/>
                  <w:vAlign w:val="center"/>
                </w:tcPr>
                <w:p w14:paraId="3413E5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7.47E-08</w:t>
                  </w:r>
                </w:p>
              </w:tc>
              <w:tc>
                <w:tcPr>
                  <w:tcW w:w="1620" w:type="dxa"/>
                  <w:noWrap w:val="0"/>
                  <w:vAlign w:val="center"/>
                </w:tcPr>
                <w:p w14:paraId="772014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2.30E-05</w:t>
                  </w:r>
                </w:p>
              </w:tc>
            </w:tr>
            <w:tr w14:paraId="26BE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62BCB64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19CD5174">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8</w:t>
                  </w:r>
                </w:p>
              </w:tc>
              <w:tc>
                <w:tcPr>
                  <w:tcW w:w="3674" w:type="dxa"/>
                  <w:noWrap w:val="0"/>
                  <w:vAlign w:val="center"/>
                </w:tcPr>
                <w:p w14:paraId="0536BF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机房东面墙体外30cm（16号手术室）</w:t>
                  </w:r>
                </w:p>
              </w:tc>
              <w:tc>
                <w:tcPr>
                  <w:tcW w:w="1169" w:type="dxa"/>
                  <w:noWrap w:val="0"/>
                  <w:vAlign w:val="center"/>
                </w:tcPr>
                <w:p w14:paraId="4F47E5E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8.92E-03</w:t>
                  </w:r>
                </w:p>
              </w:tc>
              <w:tc>
                <w:tcPr>
                  <w:tcW w:w="1140" w:type="dxa"/>
                  <w:noWrap w:val="0"/>
                  <w:vAlign w:val="center"/>
                </w:tcPr>
                <w:p w14:paraId="75C9C57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2.90E-05</w:t>
                  </w:r>
                </w:p>
              </w:tc>
              <w:tc>
                <w:tcPr>
                  <w:tcW w:w="1620" w:type="dxa"/>
                  <w:noWrap w:val="0"/>
                  <w:vAlign w:val="center"/>
                </w:tcPr>
                <w:p w14:paraId="4A3F91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8.95E-03</w:t>
                  </w:r>
                </w:p>
              </w:tc>
            </w:tr>
            <w:tr w14:paraId="31B4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2978914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0B913E6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9</w:t>
                  </w:r>
                </w:p>
              </w:tc>
              <w:tc>
                <w:tcPr>
                  <w:tcW w:w="3674" w:type="dxa"/>
                  <w:noWrap w:val="0"/>
                  <w:vAlign w:val="center"/>
                </w:tcPr>
                <w:p w14:paraId="4F5D7F2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机房南面墙体外30cm（污物通道）</w:t>
                  </w:r>
                </w:p>
              </w:tc>
              <w:tc>
                <w:tcPr>
                  <w:tcW w:w="1169" w:type="dxa"/>
                  <w:noWrap w:val="0"/>
                  <w:vAlign w:val="center"/>
                </w:tcPr>
                <w:p w14:paraId="7B27E78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2.48E-05</w:t>
                  </w:r>
                </w:p>
              </w:tc>
              <w:tc>
                <w:tcPr>
                  <w:tcW w:w="1140" w:type="dxa"/>
                  <w:noWrap w:val="0"/>
                  <w:vAlign w:val="center"/>
                </w:tcPr>
                <w:p w14:paraId="30ADD4E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8.06E-08</w:t>
                  </w:r>
                </w:p>
              </w:tc>
              <w:tc>
                <w:tcPr>
                  <w:tcW w:w="1620" w:type="dxa"/>
                  <w:noWrap w:val="0"/>
                  <w:vAlign w:val="center"/>
                </w:tcPr>
                <w:p w14:paraId="59FC148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2.49E-05</w:t>
                  </w:r>
                </w:p>
              </w:tc>
            </w:tr>
            <w:tr w14:paraId="640A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7" w:type="dxa"/>
                  <w:vMerge w:val="continue"/>
                  <w:noWrap w:val="0"/>
                  <w:vAlign w:val="center"/>
                </w:tcPr>
                <w:p w14:paraId="2289E18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1E078FE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10</w:t>
                  </w:r>
                </w:p>
              </w:tc>
              <w:tc>
                <w:tcPr>
                  <w:tcW w:w="3674" w:type="dxa"/>
                  <w:noWrap w:val="0"/>
                  <w:vAlign w:val="center"/>
                </w:tcPr>
                <w:p w14:paraId="7D7B54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bidi="ar-SA"/>
                    </w:rPr>
                    <w:t>污物通道铅门</w:t>
                  </w:r>
                </w:p>
              </w:tc>
              <w:tc>
                <w:tcPr>
                  <w:tcW w:w="1169" w:type="dxa"/>
                  <w:noWrap w:val="0"/>
                  <w:vAlign w:val="center"/>
                </w:tcPr>
                <w:p w14:paraId="3787D2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1.13E-02</w:t>
                  </w:r>
                </w:p>
              </w:tc>
              <w:tc>
                <w:tcPr>
                  <w:tcW w:w="1140" w:type="dxa"/>
                  <w:noWrap w:val="0"/>
                  <w:vAlign w:val="center"/>
                </w:tcPr>
                <w:p w14:paraId="0E50F0A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3.68E-05</w:t>
                  </w:r>
                </w:p>
              </w:tc>
              <w:tc>
                <w:tcPr>
                  <w:tcW w:w="1620" w:type="dxa"/>
                  <w:noWrap w:val="0"/>
                  <w:vAlign w:val="center"/>
                </w:tcPr>
                <w:p w14:paraId="35CFEC9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1.13E-02</w:t>
                  </w:r>
                </w:p>
              </w:tc>
            </w:tr>
            <w:tr w14:paraId="7547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15F4C3E3">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28441EA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11</w:t>
                  </w:r>
                </w:p>
              </w:tc>
              <w:tc>
                <w:tcPr>
                  <w:tcW w:w="3674" w:type="dxa"/>
                  <w:noWrap w:val="0"/>
                  <w:vAlign w:val="center"/>
                </w:tcPr>
                <w:p w14:paraId="1CD894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机房南面墙体外30cm（污物通道）</w:t>
                  </w:r>
                </w:p>
              </w:tc>
              <w:tc>
                <w:tcPr>
                  <w:tcW w:w="1169" w:type="dxa"/>
                  <w:noWrap w:val="0"/>
                  <w:vAlign w:val="center"/>
                </w:tcPr>
                <w:p w14:paraId="17B975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1.20E-02</w:t>
                  </w:r>
                </w:p>
              </w:tc>
              <w:tc>
                <w:tcPr>
                  <w:tcW w:w="1140" w:type="dxa"/>
                  <w:noWrap w:val="0"/>
                  <w:vAlign w:val="center"/>
                </w:tcPr>
                <w:p w14:paraId="6AC0CB0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3.92E-05</w:t>
                  </w:r>
                </w:p>
              </w:tc>
              <w:tc>
                <w:tcPr>
                  <w:tcW w:w="1620" w:type="dxa"/>
                  <w:noWrap w:val="0"/>
                  <w:vAlign w:val="center"/>
                </w:tcPr>
                <w:p w14:paraId="2AB1F5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1.21E-02</w:t>
                  </w:r>
                </w:p>
              </w:tc>
            </w:tr>
            <w:tr w14:paraId="3B58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1A28807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01726923">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12</w:t>
                  </w:r>
                </w:p>
              </w:tc>
              <w:tc>
                <w:tcPr>
                  <w:tcW w:w="3674" w:type="dxa"/>
                  <w:noWrap w:val="0"/>
                  <w:vAlign w:val="center"/>
                </w:tcPr>
                <w:p w14:paraId="53DDCA5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bidi="ar-SA"/>
                    </w:rPr>
                    <w:t>机房南面墙体外30cm（设备间）</w:t>
                  </w:r>
                </w:p>
              </w:tc>
              <w:tc>
                <w:tcPr>
                  <w:tcW w:w="1169" w:type="dxa"/>
                  <w:noWrap w:val="0"/>
                  <w:vAlign w:val="center"/>
                </w:tcPr>
                <w:p w14:paraId="7C39AA9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2.30E-02</w:t>
                  </w:r>
                </w:p>
              </w:tc>
              <w:tc>
                <w:tcPr>
                  <w:tcW w:w="1140" w:type="dxa"/>
                  <w:noWrap w:val="0"/>
                  <w:vAlign w:val="center"/>
                </w:tcPr>
                <w:p w14:paraId="243CE7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7.47E-05</w:t>
                  </w:r>
                </w:p>
              </w:tc>
              <w:tc>
                <w:tcPr>
                  <w:tcW w:w="1620" w:type="dxa"/>
                  <w:noWrap w:val="0"/>
                  <w:vAlign w:val="center"/>
                </w:tcPr>
                <w:p w14:paraId="4E5ECFD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2.31E-02</w:t>
                  </w:r>
                </w:p>
              </w:tc>
            </w:tr>
            <w:tr w14:paraId="0A84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1B8653B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6A9FAEC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13</w:t>
                  </w:r>
                </w:p>
              </w:tc>
              <w:tc>
                <w:tcPr>
                  <w:tcW w:w="3674" w:type="dxa"/>
                  <w:noWrap w:val="0"/>
                  <w:vAlign w:val="center"/>
                </w:tcPr>
                <w:p w14:paraId="17B413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拟建机房楼上100cm（神经外科病房）</w:t>
                  </w:r>
                </w:p>
              </w:tc>
              <w:tc>
                <w:tcPr>
                  <w:tcW w:w="1169" w:type="dxa"/>
                  <w:noWrap w:val="0"/>
                  <w:vAlign w:val="center"/>
                </w:tcPr>
                <w:p w14:paraId="2024122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5.20E-04</w:t>
                  </w:r>
                </w:p>
              </w:tc>
              <w:tc>
                <w:tcPr>
                  <w:tcW w:w="1140" w:type="dxa"/>
                  <w:noWrap w:val="0"/>
                  <w:vAlign w:val="center"/>
                </w:tcPr>
                <w:p w14:paraId="3D32A8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1.28E-06</w:t>
                  </w:r>
                </w:p>
              </w:tc>
              <w:tc>
                <w:tcPr>
                  <w:tcW w:w="1620" w:type="dxa"/>
                  <w:noWrap w:val="0"/>
                  <w:vAlign w:val="center"/>
                </w:tcPr>
                <w:p w14:paraId="0A4092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5.21E-04</w:t>
                  </w:r>
                </w:p>
              </w:tc>
            </w:tr>
            <w:tr w14:paraId="652F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6D5374E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3A35312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14</w:t>
                  </w:r>
                </w:p>
              </w:tc>
              <w:tc>
                <w:tcPr>
                  <w:tcW w:w="3674" w:type="dxa"/>
                  <w:noWrap w:val="0"/>
                  <w:vAlign w:val="center"/>
                </w:tcPr>
                <w:p w14:paraId="601B86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拟建机房楼下1.7m（器械预清洗/敷料打包/库房/2号手术室）</w:t>
                  </w:r>
                </w:p>
              </w:tc>
              <w:tc>
                <w:tcPr>
                  <w:tcW w:w="1169" w:type="dxa"/>
                  <w:noWrap w:val="0"/>
                  <w:vAlign w:val="center"/>
                </w:tcPr>
                <w:p w14:paraId="4DDEAC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9.67E-04</w:t>
                  </w:r>
                </w:p>
              </w:tc>
              <w:tc>
                <w:tcPr>
                  <w:tcW w:w="1140" w:type="dxa"/>
                  <w:noWrap w:val="0"/>
                  <w:vAlign w:val="center"/>
                </w:tcPr>
                <w:p w14:paraId="44EB28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4.25E-06</w:t>
                  </w:r>
                </w:p>
              </w:tc>
              <w:tc>
                <w:tcPr>
                  <w:tcW w:w="1620" w:type="dxa"/>
                  <w:noWrap w:val="0"/>
                  <w:vAlign w:val="center"/>
                </w:tcPr>
                <w:p w14:paraId="2272E3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9.71E-04</w:t>
                  </w:r>
                </w:p>
              </w:tc>
            </w:tr>
            <w:tr w14:paraId="47DE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0840BAC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33DBD14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15</w:t>
                  </w:r>
                </w:p>
              </w:tc>
              <w:tc>
                <w:tcPr>
                  <w:tcW w:w="3674" w:type="dxa"/>
                  <w:noWrap w:val="0"/>
                  <w:vAlign w:val="center"/>
                </w:tcPr>
                <w:p w14:paraId="6BFC528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拟建机房楼上30cm</w:t>
                  </w:r>
                </w:p>
              </w:tc>
              <w:tc>
                <w:tcPr>
                  <w:tcW w:w="1169" w:type="dxa"/>
                  <w:noWrap w:val="0"/>
                  <w:vAlign w:val="center"/>
                </w:tcPr>
                <w:p w14:paraId="3F210C8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7.64E-04</w:t>
                  </w:r>
                </w:p>
              </w:tc>
              <w:tc>
                <w:tcPr>
                  <w:tcW w:w="1140" w:type="dxa"/>
                  <w:noWrap w:val="0"/>
                  <w:vAlign w:val="center"/>
                </w:tcPr>
                <w:p w14:paraId="158CDF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1.78E-06</w:t>
                  </w:r>
                </w:p>
              </w:tc>
              <w:tc>
                <w:tcPr>
                  <w:tcW w:w="1620" w:type="dxa"/>
                  <w:noWrap w:val="0"/>
                  <w:vAlign w:val="center"/>
                </w:tcPr>
                <w:p w14:paraId="603BCE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7.66E-04</w:t>
                  </w:r>
                </w:p>
              </w:tc>
            </w:tr>
            <w:tr w14:paraId="6A87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dxa"/>
                  <w:vMerge w:val="continue"/>
                  <w:noWrap w:val="0"/>
                  <w:vAlign w:val="center"/>
                </w:tcPr>
                <w:p w14:paraId="12AA506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position w:val="0"/>
                      <w:sz w:val="21"/>
                      <w:szCs w:val="21"/>
                      <w:lang w:val="en-US"/>
                    </w:rPr>
                  </w:pPr>
                </w:p>
              </w:tc>
              <w:tc>
                <w:tcPr>
                  <w:tcW w:w="870" w:type="dxa"/>
                  <w:noWrap w:val="0"/>
                  <w:vAlign w:val="center"/>
                </w:tcPr>
                <w:p w14:paraId="1C918D1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16</w:t>
                  </w:r>
                </w:p>
              </w:tc>
              <w:tc>
                <w:tcPr>
                  <w:tcW w:w="3674" w:type="dxa"/>
                  <w:noWrap w:val="0"/>
                  <w:vAlign w:val="center"/>
                </w:tcPr>
                <w:p w14:paraId="6C2626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拟建机房楼下30cm</w:t>
                  </w:r>
                </w:p>
              </w:tc>
              <w:tc>
                <w:tcPr>
                  <w:tcW w:w="1169" w:type="dxa"/>
                  <w:noWrap w:val="0"/>
                  <w:vAlign w:val="center"/>
                </w:tcPr>
                <w:p w14:paraId="7D3EF55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7.95E-03</w:t>
                  </w:r>
                </w:p>
              </w:tc>
              <w:tc>
                <w:tcPr>
                  <w:tcW w:w="1140" w:type="dxa"/>
                  <w:noWrap w:val="0"/>
                  <w:vAlign w:val="center"/>
                </w:tcPr>
                <w:p w14:paraId="2B3A46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7.18E-05</w:t>
                  </w:r>
                </w:p>
              </w:tc>
              <w:tc>
                <w:tcPr>
                  <w:tcW w:w="1620" w:type="dxa"/>
                  <w:noWrap w:val="0"/>
                  <w:vAlign w:val="center"/>
                </w:tcPr>
                <w:p w14:paraId="4E3E86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8.02E-03</w:t>
                  </w:r>
                </w:p>
              </w:tc>
            </w:tr>
          </w:tbl>
          <w:p w14:paraId="7E1C00B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kern w:val="0"/>
                <w:position w:val="0"/>
                <w:sz w:val="24"/>
                <w:szCs w:val="24"/>
                <w:lang w:val="en-US" w:eastAsia="zh-CN" w:bidi="ar"/>
              </w:rPr>
            </w:pPr>
            <w:r>
              <w:rPr>
                <w:rFonts w:hint="default" w:ascii="Times New Roman" w:hAnsi="Times New Roman" w:eastAsia="宋体" w:cs="Times New Roman"/>
                <w:color w:val="auto"/>
                <w:spacing w:val="0"/>
                <w:kern w:val="0"/>
                <w:position w:val="0"/>
                <w:sz w:val="24"/>
                <w:szCs w:val="24"/>
                <w:lang w:val="en-US" w:eastAsia="zh-CN" w:bidi="ar"/>
              </w:rPr>
              <w:t>由表11-3计算结果可知，DSA机房外各关注点处散射、漏射辐射剂量率水平总和最大值为</w:t>
            </w:r>
            <w:r>
              <w:rPr>
                <w:rFonts w:hint="eastAsia" w:cs="Times New Roman"/>
                <w:color w:val="auto"/>
                <w:spacing w:val="0"/>
                <w:kern w:val="0"/>
                <w:position w:val="0"/>
                <w:sz w:val="24"/>
                <w:szCs w:val="24"/>
                <w:lang w:val="en-US" w:eastAsia="zh-CN" w:bidi="ar"/>
              </w:rPr>
              <w:t>3.29</w:t>
            </w:r>
            <w:r>
              <w:rPr>
                <w:rFonts w:hint="default" w:ascii="Times New Roman" w:hAnsi="Times New Roman" w:eastAsia="宋体" w:cs="Times New Roman"/>
                <w:color w:val="auto"/>
                <w:spacing w:val="0"/>
                <w:kern w:val="0"/>
                <w:position w:val="0"/>
                <w:sz w:val="24"/>
                <w:szCs w:val="24"/>
                <w:lang w:val="en-US" w:eastAsia="zh-CN" w:bidi="ar"/>
              </w:rPr>
              <w:t>E-02μSv/h，满足《放射诊断放射防护要求》（GBZ130—2020）中“周围剂量当量率应不大于2.5μSv/h”的限制要求。</w:t>
            </w:r>
          </w:p>
          <w:p w14:paraId="287534E7">
            <w:pPr>
              <w:pStyle w:val="19"/>
              <w:keepNext w:val="0"/>
              <w:keepLines w:val="0"/>
              <w:numPr>
                <w:ilvl w:val="0"/>
                <w:numId w:val="0"/>
              </w:numPr>
              <w:suppressLineNumbers w:val="0"/>
              <w:spacing w:before="0" w:beforeLines="0" w:beforeAutospacing="0" w:after="0" w:afterLines="0" w:afterAutospacing="0"/>
              <w:ind w:leftChars="200" w:right="0" w:rightChars="0"/>
              <w:rPr>
                <w:rFonts w:hint="default" w:ascii="Times New Roman" w:hAnsi="Times New Roman" w:eastAsia="宋体" w:cs="Times New Roman"/>
                <w:b/>
                <w:color w:val="auto"/>
                <w:spacing w:val="0"/>
                <w:position w:val="0"/>
                <w:sz w:val="24"/>
                <w:szCs w:val="24"/>
                <w:highlight w:val="none"/>
                <w:lang w:eastAsia="zh-CN"/>
              </w:rPr>
            </w:pPr>
            <w:r>
              <w:rPr>
                <w:rFonts w:hint="default" w:ascii="Times New Roman" w:hAnsi="Times New Roman" w:eastAsia="宋体" w:cs="Times New Roman"/>
                <w:b/>
                <w:color w:val="auto"/>
                <w:spacing w:val="0"/>
                <w:position w:val="0"/>
                <w:sz w:val="24"/>
                <w:szCs w:val="24"/>
                <w:highlight w:val="none"/>
                <w:lang w:val="en-US" w:eastAsia="zh-CN"/>
              </w:rPr>
              <w:t>（2）</w:t>
            </w:r>
            <w:r>
              <w:rPr>
                <w:rFonts w:hint="default" w:ascii="Times New Roman" w:hAnsi="Times New Roman" w:eastAsia="宋体" w:cs="Times New Roman"/>
                <w:b/>
                <w:color w:val="auto"/>
                <w:spacing w:val="0"/>
                <w:position w:val="0"/>
                <w:sz w:val="24"/>
                <w:szCs w:val="24"/>
                <w:highlight w:val="none"/>
                <w:lang w:eastAsia="zh-CN"/>
              </w:rPr>
              <w:t>DSA手术室受照剂量估算</w:t>
            </w:r>
          </w:p>
          <w:p w14:paraId="43CA347B">
            <w:pPr>
              <w:keepNext w:val="0"/>
              <w:keepLines w:val="0"/>
              <w:suppressLineNumbers w:val="0"/>
              <w:spacing w:before="0" w:beforeAutospacing="0" w:after="0" w:afterAutospacing="0"/>
              <w:ind w:left="0" w:right="0"/>
              <w:rPr>
                <w:rFonts w:hint="default" w:ascii="Times New Roman" w:hAnsi="Times New Roman" w:eastAsia="宋体" w:cs="Times New Roman"/>
                <w:b/>
                <w:bCs w:val="0"/>
                <w:caps w:val="0"/>
                <w:color w:val="auto"/>
                <w:spacing w:val="0"/>
                <w:position w:val="0"/>
                <w:szCs w:val="24"/>
                <w:highlight w:val="none"/>
                <w:lang w:val="en-US" w:eastAsia="zh-CN"/>
              </w:rPr>
            </w:pPr>
            <w:r>
              <w:rPr>
                <w:rFonts w:hint="default" w:ascii="Times New Roman" w:hAnsi="Times New Roman" w:eastAsia="宋体" w:cs="Times New Roman"/>
                <w:b/>
                <w:bCs w:val="0"/>
                <w:caps w:val="0"/>
                <w:color w:val="auto"/>
                <w:spacing w:val="0"/>
                <w:position w:val="0"/>
                <w:szCs w:val="24"/>
                <w:highlight w:val="none"/>
                <w:lang w:val="en-US" w:eastAsia="zh-CN"/>
              </w:rPr>
              <w:t>①公众、护士及操作技师受照射剂量估算</w:t>
            </w:r>
          </w:p>
          <w:p w14:paraId="06FEB468">
            <w:pPr>
              <w:keepNext w:val="0"/>
              <w:keepLines w:val="0"/>
              <w:suppressLineNumbers w:val="0"/>
              <w:spacing w:before="0" w:beforeAutospacing="0" w:after="0" w:afterAutospacing="0"/>
              <w:ind w:left="0" w:right="0"/>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Cs w:val="24"/>
                <w:highlight w:val="none"/>
                <w:lang w:eastAsia="zh-CN"/>
              </w:rPr>
              <w:t>本评价项目的公众</w:t>
            </w:r>
            <w:r>
              <w:rPr>
                <w:rFonts w:hint="default" w:ascii="Times New Roman" w:hAnsi="Times New Roman" w:eastAsia="宋体" w:cs="Times New Roman"/>
                <w:bCs/>
                <w:caps w:val="0"/>
                <w:color w:val="auto"/>
                <w:spacing w:val="0"/>
                <w:position w:val="0"/>
                <w:szCs w:val="24"/>
                <w:highlight w:val="none"/>
                <w:lang w:val="en-US" w:eastAsia="zh-CN"/>
              </w:rPr>
              <w:t>包括</w:t>
            </w:r>
            <w:r>
              <w:rPr>
                <w:rFonts w:hint="default" w:ascii="Times New Roman" w:hAnsi="Times New Roman" w:eastAsia="宋体" w:cs="Times New Roman"/>
                <w:bCs/>
                <w:caps w:val="0"/>
                <w:color w:val="auto"/>
                <w:spacing w:val="0"/>
                <w:position w:val="0"/>
                <w:szCs w:val="24"/>
                <w:highlight w:val="none"/>
                <w:lang w:eastAsia="zh-CN"/>
              </w:rPr>
              <w:t>非</w:t>
            </w:r>
            <w:r>
              <w:rPr>
                <w:rFonts w:hint="default" w:ascii="Times New Roman" w:hAnsi="Times New Roman" w:eastAsia="宋体" w:cs="Times New Roman"/>
                <w:bCs/>
                <w:caps w:val="0"/>
                <w:color w:val="auto"/>
                <w:spacing w:val="0"/>
                <w:position w:val="0"/>
                <w:szCs w:val="24"/>
                <w:highlight w:val="none"/>
                <w:lang w:val="en-US" w:eastAsia="zh-CN"/>
              </w:rPr>
              <w:t>本项目</w:t>
            </w:r>
            <w:r>
              <w:rPr>
                <w:rFonts w:hint="default" w:ascii="Times New Roman" w:hAnsi="Times New Roman" w:eastAsia="宋体" w:cs="Times New Roman"/>
                <w:bCs/>
                <w:caps w:val="0"/>
                <w:color w:val="auto"/>
                <w:spacing w:val="0"/>
                <w:position w:val="0"/>
                <w:szCs w:val="24"/>
                <w:highlight w:val="none"/>
                <w:lang w:eastAsia="zh-CN"/>
              </w:rPr>
              <w:t>辐射工作人员、</w:t>
            </w:r>
            <w:r>
              <w:rPr>
                <w:rFonts w:hint="default" w:ascii="Times New Roman" w:hAnsi="Times New Roman" w:eastAsia="宋体" w:cs="Times New Roman"/>
                <w:bCs/>
                <w:caps w:val="0"/>
                <w:color w:val="auto"/>
                <w:spacing w:val="0"/>
                <w:position w:val="0"/>
                <w:szCs w:val="24"/>
                <w:highlight w:val="none"/>
                <w:lang w:val="en-US" w:eastAsia="zh-CN"/>
              </w:rPr>
              <w:t>患者及陪诊人员等，以下人员受照剂量核算统称为</w:t>
            </w:r>
            <w:r>
              <w:rPr>
                <w:rFonts w:hint="default" w:ascii="Times New Roman" w:hAnsi="Times New Roman" w:eastAsia="宋体" w:cs="Times New Roman"/>
                <w:caps w:val="0"/>
                <w:color w:val="auto"/>
                <w:spacing w:val="0"/>
                <w:position w:val="0"/>
                <w:highlight w:val="none"/>
                <w:lang w:val="en-US" w:eastAsia="zh-CN"/>
              </w:rPr>
              <w:t>公众</w:t>
            </w:r>
            <w:r>
              <w:rPr>
                <w:rFonts w:hint="default" w:ascii="Times New Roman" w:hAnsi="Times New Roman" w:eastAsia="宋体" w:cs="Times New Roman"/>
                <w:bCs/>
                <w:caps w:val="0"/>
                <w:color w:val="auto"/>
                <w:spacing w:val="0"/>
                <w:position w:val="0"/>
                <w:szCs w:val="24"/>
                <w:highlight w:val="none"/>
                <w:lang w:eastAsia="zh-CN"/>
              </w:rPr>
              <w:t>。</w:t>
            </w:r>
            <w:r>
              <w:rPr>
                <w:rStyle w:val="34"/>
                <w:rFonts w:hint="default" w:ascii="Times New Roman" w:hAnsi="Times New Roman" w:eastAsia="宋体" w:cs="Times New Roman"/>
                <w:caps w:val="0"/>
                <w:color w:val="auto"/>
                <w:spacing w:val="0"/>
                <w:position w:val="0"/>
                <w:sz w:val="24"/>
                <w:szCs w:val="24"/>
                <w:highlight w:val="none"/>
                <w:lang w:val="en-US" w:eastAsia="zh-CN"/>
              </w:rPr>
              <w:t>根据DSA手术室外关注点剂量率估算结果，结合建设单位提供的工作负荷情况，采用公式11-</w:t>
            </w:r>
            <w:r>
              <w:rPr>
                <w:rStyle w:val="34"/>
                <w:rFonts w:hint="eastAsia" w:cs="Times New Roman"/>
                <w:caps w:val="0"/>
                <w:color w:val="auto"/>
                <w:spacing w:val="0"/>
                <w:position w:val="0"/>
                <w:sz w:val="24"/>
                <w:szCs w:val="24"/>
                <w:highlight w:val="none"/>
                <w:lang w:val="en-US" w:eastAsia="zh-CN"/>
              </w:rPr>
              <w:t>5</w:t>
            </w:r>
            <w:r>
              <w:rPr>
                <w:rStyle w:val="34"/>
                <w:rFonts w:hint="default" w:ascii="Times New Roman" w:hAnsi="Times New Roman" w:eastAsia="宋体" w:cs="Times New Roman"/>
                <w:caps w:val="0"/>
                <w:color w:val="auto"/>
                <w:spacing w:val="0"/>
                <w:position w:val="0"/>
                <w:sz w:val="24"/>
                <w:szCs w:val="24"/>
                <w:highlight w:val="none"/>
                <w:lang w:val="en-US" w:eastAsia="zh-CN"/>
              </w:rPr>
              <w:t>可计算</w:t>
            </w:r>
            <w:r>
              <w:rPr>
                <w:rFonts w:hint="default" w:ascii="Times New Roman" w:hAnsi="Times New Roman" w:eastAsia="宋体" w:cs="Times New Roman"/>
                <w:bCs/>
                <w:caps w:val="0"/>
                <w:color w:val="auto"/>
                <w:spacing w:val="0"/>
                <w:position w:val="0"/>
                <w:sz w:val="24"/>
                <w:szCs w:val="24"/>
                <w:highlight w:val="none"/>
              </w:rPr>
              <w:t>得出本项目</w:t>
            </w:r>
            <w:r>
              <w:rPr>
                <w:rFonts w:hint="default" w:ascii="Times New Roman" w:hAnsi="Times New Roman" w:eastAsia="宋体" w:cs="Times New Roman"/>
                <w:bCs/>
                <w:caps w:val="0"/>
                <w:color w:val="auto"/>
                <w:spacing w:val="0"/>
                <w:position w:val="0"/>
                <w:sz w:val="24"/>
                <w:szCs w:val="24"/>
                <w:highlight w:val="none"/>
                <w:lang w:val="en-US" w:eastAsia="zh-CN"/>
              </w:rPr>
              <w:t>公众</w:t>
            </w:r>
            <w:r>
              <w:rPr>
                <w:rFonts w:hint="default" w:ascii="Times New Roman" w:hAnsi="Times New Roman" w:eastAsia="宋体" w:cs="Times New Roman"/>
                <w:bCs/>
                <w:caps w:val="0"/>
                <w:color w:val="auto"/>
                <w:spacing w:val="0"/>
                <w:position w:val="0"/>
                <w:sz w:val="24"/>
                <w:szCs w:val="24"/>
                <w:highlight w:val="none"/>
              </w:rPr>
              <w:t>、护士及操作技师的年有效剂量，估算结果见</w:t>
            </w:r>
            <w:r>
              <w:rPr>
                <w:rFonts w:hint="default" w:ascii="Times New Roman" w:hAnsi="Times New Roman" w:eastAsia="宋体" w:cs="Times New Roman"/>
                <w:bCs/>
                <w:caps w:val="0"/>
                <w:color w:val="auto"/>
                <w:spacing w:val="0"/>
                <w:position w:val="0"/>
                <w:sz w:val="24"/>
                <w:szCs w:val="24"/>
                <w:highlight w:val="none"/>
                <w:lang w:val="en-US" w:eastAsia="zh-CN"/>
              </w:rPr>
              <w:t>下表11-4</w:t>
            </w:r>
            <w:r>
              <w:rPr>
                <w:rFonts w:hint="default" w:ascii="Times New Roman" w:hAnsi="Times New Roman" w:eastAsia="宋体" w:cs="Times New Roman"/>
                <w:bCs/>
                <w:caps w:val="0"/>
                <w:color w:val="auto"/>
                <w:spacing w:val="0"/>
                <w:position w:val="0"/>
                <w:sz w:val="24"/>
                <w:szCs w:val="24"/>
                <w:highlight w:val="none"/>
              </w:rPr>
              <w:t>。</w:t>
            </w:r>
          </w:p>
          <w:p w14:paraId="1854D055">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jc w:val="center"/>
              <w:textAlignment w:val="auto"/>
              <w:rPr>
                <w:rFonts w:hint="default" w:ascii="Times New Roman" w:hAnsi="Times New Roman" w:eastAsia="宋体" w:cs="Times New Roman"/>
                <w:b/>
                <w:caps w:val="0"/>
                <w:color w:val="auto"/>
                <w:spacing w:val="0"/>
                <w:position w:val="0"/>
                <w:szCs w:val="24"/>
                <w:highlight w:val="none"/>
              </w:rPr>
            </w:pPr>
            <w:r>
              <w:rPr>
                <w:rFonts w:hint="default" w:ascii="Times New Roman" w:hAnsi="Times New Roman" w:eastAsia="宋体" w:cs="Times New Roman"/>
                <w:caps w:val="0"/>
                <w:color w:val="auto"/>
                <w:spacing w:val="0"/>
                <w:position w:val="0"/>
                <w:sz w:val="24"/>
                <w:szCs w:val="24"/>
                <w:highlight w:val="none"/>
              </w:rPr>
              <w:object>
                <v:shape id="_x0000_i1031" o:spt="75" type="#_x0000_t75" style="height:20.15pt;width:96.65pt;" o:ole="t" filled="f" o:preferrelative="t" stroked="f" coordsize="21600,21600">
                  <v:path/>
                  <v:fill on="f" focussize="0,0"/>
                  <v:stroke on="f"/>
                  <v:imagedata r:id="rId59" o:title=""/>
                  <o:lock v:ext="edit" aspectratio="t"/>
                  <w10:wrap type="none"/>
                  <w10:anchorlock/>
                </v:shape>
                <o:OLEObject Type="Embed" ProgID="Equation.3" ShapeID="_x0000_i1031" DrawAspect="Content" ObjectID="_1468075731" r:id="rId58">
                  <o:LockedField>false</o:LockedField>
                </o:OLEObject>
              </w:object>
            </w:r>
            <w:r>
              <w:rPr>
                <w:rFonts w:hint="default" w:ascii="Times New Roman" w:hAnsi="Times New Roman" w:eastAsia="宋体" w:cs="Times New Roman"/>
                <w:bCs/>
                <w:caps w:val="0"/>
                <w:color w:val="auto"/>
                <w:spacing w:val="0"/>
                <w:position w:val="0"/>
                <w:szCs w:val="24"/>
                <w:highlight w:val="none"/>
              </w:rPr>
              <w:t>（公式1</w:t>
            </w:r>
            <w:r>
              <w:rPr>
                <w:rFonts w:hint="default" w:ascii="Times New Roman" w:hAnsi="Times New Roman" w:eastAsia="宋体" w:cs="Times New Roman"/>
                <w:bCs/>
                <w:caps w:val="0"/>
                <w:color w:val="auto"/>
                <w:spacing w:val="0"/>
                <w:position w:val="0"/>
                <w:szCs w:val="24"/>
                <w:highlight w:val="none"/>
                <w:lang w:val="en-US"/>
              </w:rPr>
              <w:t>1</w:t>
            </w:r>
            <w:r>
              <w:rPr>
                <w:rFonts w:hint="default" w:ascii="Times New Roman" w:hAnsi="Times New Roman" w:eastAsia="宋体" w:cs="Times New Roman"/>
                <w:bCs/>
                <w:caps w:val="0"/>
                <w:color w:val="auto"/>
                <w:spacing w:val="0"/>
                <w:position w:val="0"/>
                <w:szCs w:val="24"/>
                <w:highlight w:val="none"/>
              </w:rPr>
              <w:t>-</w:t>
            </w:r>
            <w:r>
              <w:rPr>
                <w:rFonts w:hint="default" w:ascii="Times New Roman" w:hAnsi="Times New Roman" w:eastAsia="宋体" w:cs="Times New Roman"/>
                <w:bCs/>
                <w:caps w:val="0"/>
                <w:color w:val="auto"/>
                <w:spacing w:val="0"/>
                <w:position w:val="0"/>
                <w:szCs w:val="24"/>
                <w:highlight w:val="none"/>
                <w:lang w:val="en-US" w:eastAsia="zh-CN"/>
              </w:rPr>
              <w:t>5</w:t>
            </w:r>
            <w:r>
              <w:rPr>
                <w:rFonts w:hint="default" w:ascii="Times New Roman" w:hAnsi="Times New Roman" w:eastAsia="宋体" w:cs="Times New Roman"/>
                <w:bCs/>
                <w:caps w:val="0"/>
                <w:color w:val="auto"/>
                <w:spacing w:val="0"/>
                <w:position w:val="0"/>
                <w:szCs w:val="24"/>
                <w:highlight w:val="none"/>
              </w:rPr>
              <w:t>）</w:t>
            </w:r>
          </w:p>
          <w:p w14:paraId="3C803C4E">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宋体" w:cs="Times New Roman"/>
                <w:b w:val="0"/>
                <w:bCs/>
                <w:caps w:val="0"/>
                <w:color w:val="auto"/>
                <w:spacing w:val="0"/>
                <w:position w:val="0"/>
                <w:sz w:val="24"/>
                <w:szCs w:val="24"/>
                <w:highlight w:val="none"/>
              </w:rPr>
            </w:pPr>
            <w:r>
              <w:rPr>
                <w:rFonts w:hint="default" w:ascii="Times New Roman" w:hAnsi="Times New Roman" w:eastAsia="宋体" w:cs="Times New Roman"/>
                <w:b w:val="0"/>
                <w:bCs/>
                <w:caps w:val="0"/>
                <w:color w:val="auto"/>
                <w:spacing w:val="0"/>
                <w:position w:val="0"/>
                <w:sz w:val="24"/>
                <w:szCs w:val="24"/>
                <w:highlight w:val="none"/>
              </w:rPr>
              <w:t>式中：</w:t>
            </w:r>
          </w:p>
          <w:p w14:paraId="44D0934A">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jc w:val="left"/>
              <w:textAlignment w:val="auto"/>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 w:val="24"/>
                <w:szCs w:val="24"/>
                <w:highlight w:val="none"/>
              </w:rPr>
              <w:t>H</w:t>
            </w:r>
            <w:r>
              <w:rPr>
                <w:rFonts w:hint="default" w:ascii="Times New Roman" w:hAnsi="Times New Roman" w:eastAsia="宋体" w:cs="Times New Roman"/>
                <w:bCs/>
                <w:caps w:val="0"/>
                <w:color w:val="auto"/>
                <w:spacing w:val="0"/>
                <w:position w:val="0"/>
                <w:sz w:val="24"/>
                <w:szCs w:val="24"/>
                <w:highlight w:val="none"/>
                <w:lang w:eastAsia="zh-CN"/>
              </w:rPr>
              <w:t>——</w:t>
            </w:r>
            <w:r>
              <w:rPr>
                <w:rFonts w:hint="default" w:ascii="Times New Roman" w:hAnsi="Times New Roman" w:eastAsia="宋体" w:cs="Times New Roman"/>
                <w:bCs/>
                <w:caps w:val="0"/>
                <w:color w:val="auto"/>
                <w:spacing w:val="0"/>
                <w:position w:val="0"/>
                <w:sz w:val="24"/>
                <w:szCs w:val="24"/>
                <w:highlight w:val="none"/>
              </w:rPr>
              <w:t>年有效剂量，mSv/a；</w:t>
            </w:r>
          </w:p>
          <w:p w14:paraId="7D366333">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 w:val="24"/>
                <w:szCs w:val="24"/>
                <w:highlight w:val="none"/>
              </w:rPr>
              <w:t>D</w:t>
            </w:r>
            <w:r>
              <w:rPr>
                <w:rFonts w:hint="default" w:ascii="Times New Roman" w:hAnsi="Times New Roman" w:eastAsia="宋体" w:cs="Times New Roman"/>
                <w:bCs/>
                <w:caps w:val="0"/>
                <w:color w:val="auto"/>
                <w:spacing w:val="0"/>
                <w:position w:val="0"/>
                <w:sz w:val="24"/>
                <w:szCs w:val="24"/>
                <w:highlight w:val="none"/>
                <w:lang w:eastAsia="zh-CN"/>
              </w:rPr>
              <w:t>——</w:t>
            </w:r>
            <w:r>
              <w:rPr>
                <w:rFonts w:hint="default" w:ascii="Times New Roman" w:hAnsi="Times New Roman" w:eastAsia="宋体" w:cs="Times New Roman"/>
                <w:bCs/>
                <w:caps w:val="0"/>
                <w:color w:val="auto"/>
                <w:spacing w:val="0"/>
                <w:position w:val="0"/>
                <w:sz w:val="24"/>
                <w:szCs w:val="24"/>
                <w:highlight w:val="none"/>
              </w:rPr>
              <w:t>关注点处的辐射剂量率，μ</w:t>
            </w:r>
            <w:r>
              <w:rPr>
                <w:rFonts w:hint="default" w:ascii="Times New Roman" w:hAnsi="Times New Roman" w:eastAsia="宋体" w:cs="Times New Roman"/>
                <w:bCs/>
                <w:caps w:val="0"/>
                <w:color w:val="auto"/>
                <w:spacing w:val="0"/>
                <w:position w:val="0"/>
                <w:sz w:val="24"/>
                <w:szCs w:val="24"/>
                <w:highlight w:val="none"/>
                <w:lang w:val="en-US" w:eastAsia="zh-CN"/>
              </w:rPr>
              <w:t>Sv</w:t>
            </w:r>
            <w:r>
              <w:rPr>
                <w:rFonts w:hint="default" w:ascii="Times New Roman" w:hAnsi="Times New Roman" w:eastAsia="宋体" w:cs="Times New Roman"/>
                <w:bCs/>
                <w:caps w:val="0"/>
                <w:color w:val="auto"/>
                <w:spacing w:val="0"/>
                <w:position w:val="0"/>
                <w:sz w:val="24"/>
                <w:szCs w:val="24"/>
                <w:highlight w:val="none"/>
              </w:rPr>
              <w:t>/h；</w:t>
            </w:r>
          </w:p>
          <w:p w14:paraId="75FA861A">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 w:val="24"/>
                <w:szCs w:val="24"/>
                <w:highlight w:val="none"/>
              </w:rPr>
              <w:t>t</w:t>
            </w:r>
            <w:r>
              <w:rPr>
                <w:rFonts w:hint="default" w:ascii="Times New Roman" w:hAnsi="Times New Roman" w:eastAsia="宋体" w:cs="Times New Roman"/>
                <w:bCs/>
                <w:caps w:val="0"/>
                <w:color w:val="auto"/>
                <w:spacing w:val="0"/>
                <w:position w:val="0"/>
                <w:sz w:val="24"/>
                <w:szCs w:val="24"/>
                <w:highlight w:val="none"/>
                <w:lang w:eastAsia="zh-CN"/>
              </w:rPr>
              <w:t>——</w:t>
            </w:r>
            <w:r>
              <w:rPr>
                <w:rFonts w:hint="default" w:ascii="Times New Roman" w:hAnsi="Times New Roman" w:eastAsia="宋体" w:cs="Times New Roman"/>
                <w:bCs/>
                <w:caps w:val="0"/>
                <w:color w:val="auto"/>
                <w:spacing w:val="0"/>
                <w:position w:val="0"/>
                <w:sz w:val="24"/>
                <w:szCs w:val="24"/>
                <w:highlight w:val="none"/>
              </w:rPr>
              <w:t>照射时间，h；</w:t>
            </w:r>
          </w:p>
          <w:p w14:paraId="6A432687">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 w:val="24"/>
                <w:szCs w:val="24"/>
                <w:highlight w:val="none"/>
              </w:rPr>
              <w:t>T</w:t>
            </w:r>
            <w:r>
              <w:rPr>
                <w:rFonts w:hint="default" w:ascii="Times New Roman" w:hAnsi="Times New Roman" w:eastAsia="宋体" w:cs="Times New Roman"/>
                <w:bCs/>
                <w:caps w:val="0"/>
                <w:color w:val="auto"/>
                <w:spacing w:val="0"/>
                <w:position w:val="0"/>
                <w:sz w:val="24"/>
                <w:szCs w:val="24"/>
                <w:highlight w:val="none"/>
                <w:lang w:eastAsia="zh-CN"/>
              </w:rPr>
              <w:t>——</w:t>
            </w:r>
            <w:r>
              <w:rPr>
                <w:rFonts w:hint="default" w:ascii="Times New Roman" w:hAnsi="Times New Roman" w:eastAsia="宋体" w:cs="Times New Roman"/>
                <w:bCs/>
                <w:caps w:val="0"/>
                <w:color w:val="auto"/>
                <w:spacing w:val="0"/>
                <w:position w:val="0"/>
                <w:sz w:val="24"/>
                <w:szCs w:val="24"/>
                <w:highlight w:val="none"/>
              </w:rPr>
              <w:t>居留因子，参考《辐射防护手册第三册 辐射安全》（李德平编，P80），居留因子T按三种情况取值：</w:t>
            </w:r>
          </w:p>
          <w:p w14:paraId="266E216D">
            <w:pPr>
              <w:pStyle w:val="39"/>
              <w:keepNext w:val="0"/>
              <w:keepLines w:val="0"/>
              <w:pageBreakBefore w:val="0"/>
              <w:widowControl w:val="0"/>
              <w:numPr>
                <w:ilvl w:val="0"/>
                <w:numId w:val="14"/>
              </w:numPr>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 w:val="24"/>
                <w:szCs w:val="24"/>
                <w:highlight w:val="none"/>
              </w:rPr>
              <w:t>全居留因子T=1；</w:t>
            </w:r>
          </w:p>
          <w:p w14:paraId="747F2F1C">
            <w:pPr>
              <w:pStyle w:val="39"/>
              <w:keepNext w:val="0"/>
              <w:keepLines w:val="0"/>
              <w:pageBreakBefore w:val="0"/>
              <w:widowControl w:val="0"/>
              <w:numPr>
                <w:ilvl w:val="0"/>
                <w:numId w:val="14"/>
              </w:numPr>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 w:val="24"/>
                <w:szCs w:val="24"/>
                <w:highlight w:val="none"/>
              </w:rPr>
              <w:t>部分居留T=1/4；</w:t>
            </w:r>
          </w:p>
          <w:p w14:paraId="32591249">
            <w:pPr>
              <w:pStyle w:val="39"/>
              <w:keepNext w:val="0"/>
              <w:keepLines w:val="0"/>
              <w:pageBreakBefore w:val="0"/>
              <w:widowControl w:val="0"/>
              <w:numPr>
                <w:ilvl w:val="0"/>
                <w:numId w:val="14"/>
              </w:numPr>
              <w:suppressLineNumbers w:val="0"/>
              <w:kinsoku/>
              <w:wordWrap/>
              <w:overflowPunct/>
              <w:topLinePunct w:val="0"/>
              <w:autoSpaceDE w:val="0"/>
              <w:autoSpaceDN w:val="0"/>
              <w:bidi w:val="0"/>
              <w:adjustRightInd/>
              <w:snapToGrid/>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bCs/>
                <w:caps w:val="0"/>
                <w:color w:val="auto"/>
                <w:spacing w:val="0"/>
                <w:position w:val="0"/>
                <w:sz w:val="24"/>
                <w:szCs w:val="24"/>
                <w:highlight w:val="none"/>
              </w:rPr>
            </w:pPr>
            <w:r>
              <w:rPr>
                <w:rFonts w:hint="default" w:ascii="Times New Roman" w:hAnsi="Times New Roman" w:eastAsia="宋体" w:cs="Times New Roman"/>
                <w:bCs/>
                <w:caps w:val="0"/>
                <w:color w:val="auto"/>
                <w:spacing w:val="0"/>
                <w:position w:val="0"/>
                <w:sz w:val="24"/>
                <w:szCs w:val="24"/>
                <w:highlight w:val="none"/>
              </w:rPr>
              <w:t>偶然居留T=1/16。</w:t>
            </w:r>
          </w:p>
          <w:p w14:paraId="365F57DF">
            <w:pPr>
              <w:pStyle w:val="39"/>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500" w:lineRule="exact"/>
              <w:ind w:left="0" w:leftChars="0" w:right="0" w:rightChars="0"/>
              <w:jc w:val="center"/>
              <w:textAlignment w:val="auto"/>
              <w:rPr>
                <w:rFonts w:hint="default" w:ascii="Times New Roman" w:hAnsi="Times New Roman" w:eastAsia="宋体" w:cs="Times New Roman"/>
                <w:b/>
                <w:caps w:val="0"/>
                <w:color w:val="auto"/>
                <w:spacing w:val="0"/>
                <w:position w:val="0"/>
                <w:sz w:val="21"/>
                <w:szCs w:val="21"/>
                <w:highlight w:val="none"/>
              </w:rPr>
            </w:pPr>
            <w:r>
              <w:rPr>
                <w:rFonts w:hint="default" w:ascii="Times New Roman" w:hAnsi="Times New Roman" w:eastAsia="宋体" w:cs="Times New Roman"/>
                <w:b/>
                <w:caps w:val="0"/>
                <w:color w:val="auto"/>
                <w:spacing w:val="0"/>
                <w:position w:val="0"/>
                <w:sz w:val="21"/>
                <w:szCs w:val="21"/>
                <w:highlight w:val="none"/>
              </w:rPr>
              <w:t>表11</w:t>
            </w:r>
            <w:r>
              <w:rPr>
                <w:rFonts w:hint="default" w:ascii="Times New Roman" w:hAnsi="Times New Roman" w:eastAsia="宋体" w:cs="Times New Roman"/>
                <w:b/>
                <w:caps w:val="0"/>
                <w:color w:val="auto"/>
                <w:spacing w:val="0"/>
                <w:position w:val="0"/>
                <w:sz w:val="21"/>
                <w:szCs w:val="21"/>
                <w:highlight w:val="none"/>
                <w:lang w:val="en-US" w:eastAsia="zh-CN"/>
              </w:rPr>
              <w:t xml:space="preserve">-4   </w:t>
            </w:r>
            <w:r>
              <w:rPr>
                <w:rFonts w:hint="eastAsia" w:cs="Times New Roman"/>
                <w:b/>
                <w:caps w:val="0"/>
                <w:color w:val="auto"/>
                <w:spacing w:val="0"/>
                <w:position w:val="0"/>
                <w:sz w:val="21"/>
                <w:szCs w:val="21"/>
                <w:highlight w:val="none"/>
                <w:lang w:val="en-US" w:eastAsia="zh-CN"/>
              </w:rPr>
              <w:t>项目职业人员及</w:t>
            </w:r>
            <w:r>
              <w:rPr>
                <w:rFonts w:hint="default" w:ascii="Times New Roman" w:hAnsi="Times New Roman" w:eastAsia="宋体" w:cs="Times New Roman"/>
                <w:b/>
                <w:caps w:val="0"/>
                <w:color w:val="auto"/>
                <w:spacing w:val="0"/>
                <w:position w:val="0"/>
                <w:sz w:val="21"/>
                <w:szCs w:val="21"/>
                <w:highlight w:val="none"/>
              </w:rPr>
              <w:t>公众人员年有效剂量估算结果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735"/>
              <w:gridCol w:w="913"/>
              <w:gridCol w:w="832"/>
              <w:gridCol w:w="858"/>
              <w:gridCol w:w="682"/>
              <w:gridCol w:w="705"/>
              <w:gridCol w:w="615"/>
              <w:gridCol w:w="1065"/>
              <w:gridCol w:w="1065"/>
              <w:gridCol w:w="1035"/>
            </w:tblGrid>
            <w:tr w14:paraId="524A4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restart"/>
                  <w:noWrap w:val="0"/>
                  <w:vAlign w:val="center"/>
                </w:tcPr>
                <w:p w14:paraId="4929BCC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序号</w:t>
                  </w:r>
                </w:p>
              </w:tc>
              <w:tc>
                <w:tcPr>
                  <w:tcW w:w="1648" w:type="dxa"/>
                  <w:gridSpan w:val="2"/>
                  <w:vMerge w:val="restart"/>
                  <w:noWrap w:val="0"/>
                  <w:vAlign w:val="center"/>
                </w:tcPr>
                <w:p w14:paraId="56686477">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位置</w:t>
                  </w:r>
                </w:p>
              </w:tc>
              <w:tc>
                <w:tcPr>
                  <w:tcW w:w="1690" w:type="dxa"/>
                  <w:gridSpan w:val="2"/>
                  <w:noWrap w:val="0"/>
                  <w:vAlign w:val="center"/>
                </w:tcPr>
                <w:p w14:paraId="47565A2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关注点剂量率估值（μSv/h）</w:t>
                  </w:r>
                </w:p>
              </w:tc>
              <w:tc>
                <w:tcPr>
                  <w:tcW w:w="1387" w:type="dxa"/>
                  <w:gridSpan w:val="2"/>
                  <w:noWrap w:val="0"/>
                  <w:vAlign w:val="center"/>
                </w:tcPr>
                <w:p w14:paraId="334C816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年出束时长（h）</w:t>
                  </w:r>
                </w:p>
              </w:tc>
              <w:tc>
                <w:tcPr>
                  <w:tcW w:w="615" w:type="dxa"/>
                  <w:vMerge w:val="restart"/>
                  <w:noWrap w:val="0"/>
                  <w:vAlign w:val="center"/>
                </w:tcPr>
                <w:p w14:paraId="351366F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居留因子</w:t>
                  </w:r>
                </w:p>
              </w:tc>
              <w:tc>
                <w:tcPr>
                  <w:tcW w:w="2130" w:type="dxa"/>
                  <w:gridSpan w:val="2"/>
                  <w:noWrap w:val="0"/>
                  <w:vAlign w:val="center"/>
                </w:tcPr>
                <w:p w14:paraId="1497305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年有效剂量（mSv/a）</w:t>
                  </w:r>
                </w:p>
              </w:tc>
              <w:tc>
                <w:tcPr>
                  <w:tcW w:w="1035" w:type="dxa"/>
                  <w:vMerge w:val="restart"/>
                  <w:noWrap w:val="0"/>
                  <w:vAlign w:val="center"/>
                </w:tcPr>
                <w:p w14:paraId="717A4CE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eastAsia="zh-CN"/>
                    </w:rPr>
                  </w:pPr>
                  <w:r>
                    <w:rPr>
                      <w:rFonts w:hint="default" w:ascii="Times New Roman" w:hAnsi="Times New Roman" w:eastAsia="宋体" w:cs="Times New Roman"/>
                      <w:color w:val="auto"/>
                      <w:spacing w:val="0"/>
                      <w:position w:val="0"/>
                      <w:sz w:val="21"/>
                      <w:szCs w:val="21"/>
                      <w:lang w:val="en-US" w:eastAsia="zh-CN"/>
                    </w:rPr>
                    <w:t>总年有效剂量（mSv/a）</w:t>
                  </w:r>
                </w:p>
              </w:tc>
            </w:tr>
            <w:tr w14:paraId="180D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continue"/>
                  <w:noWrap w:val="0"/>
                  <w:vAlign w:val="center"/>
                </w:tcPr>
                <w:p w14:paraId="12B4537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p>
              </w:tc>
              <w:tc>
                <w:tcPr>
                  <w:tcW w:w="1648" w:type="dxa"/>
                  <w:gridSpan w:val="2"/>
                  <w:vMerge w:val="continue"/>
                  <w:noWrap w:val="0"/>
                  <w:vAlign w:val="center"/>
                </w:tcPr>
                <w:p w14:paraId="403F30A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p>
              </w:tc>
              <w:tc>
                <w:tcPr>
                  <w:tcW w:w="832" w:type="dxa"/>
                  <w:noWrap w:val="0"/>
                  <w:vAlign w:val="center"/>
                </w:tcPr>
                <w:p w14:paraId="1B85CDC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透视</w:t>
                  </w:r>
                </w:p>
              </w:tc>
              <w:tc>
                <w:tcPr>
                  <w:tcW w:w="858" w:type="dxa"/>
                  <w:noWrap w:val="0"/>
                  <w:vAlign w:val="center"/>
                </w:tcPr>
                <w:p w14:paraId="3C90353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减影</w:t>
                  </w:r>
                </w:p>
              </w:tc>
              <w:tc>
                <w:tcPr>
                  <w:tcW w:w="682" w:type="dxa"/>
                  <w:noWrap w:val="0"/>
                  <w:vAlign w:val="center"/>
                </w:tcPr>
                <w:p w14:paraId="00406E5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透视</w:t>
                  </w:r>
                </w:p>
              </w:tc>
              <w:tc>
                <w:tcPr>
                  <w:tcW w:w="705" w:type="dxa"/>
                  <w:noWrap w:val="0"/>
                  <w:vAlign w:val="center"/>
                </w:tcPr>
                <w:p w14:paraId="1CF57CA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减影</w:t>
                  </w:r>
                </w:p>
              </w:tc>
              <w:tc>
                <w:tcPr>
                  <w:tcW w:w="615" w:type="dxa"/>
                  <w:vMerge w:val="continue"/>
                  <w:noWrap w:val="0"/>
                  <w:vAlign w:val="center"/>
                </w:tcPr>
                <w:p w14:paraId="6978399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p>
              </w:tc>
              <w:tc>
                <w:tcPr>
                  <w:tcW w:w="1065" w:type="dxa"/>
                  <w:noWrap w:val="0"/>
                  <w:vAlign w:val="center"/>
                </w:tcPr>
                <w:p w14:paraId="714F0F6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透视</w:t>
                  </w:r>
                </w:p>
              </w:tc>
              <w:tc>
                <w:tcPr>
                  <w:tcW w:w="1065" w:type="dxa"/>
                  <w:noWrap w:val="0"/>
                  <w:vAlign w:val="center"/>
                </w:tcPr>
                <w:p w14:paraId="12ED097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减影</w:t>
                  </w:r>
                </w:p>
              </w:tc>
              <w:tc>
                <w:tcPr>
                  <w:tcW w:w="1035" w:type="dxa"/>
                  <w:vMerge w:val="continue"/>
                  <w:noWrap w:val="0"/>
                  <w:vAlign w:val="center"/>
                </w:tcPr>
                <w:p w14:paraId="1A5E644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p>
              </w:tc>
            </w:tr>
            <w:tr w14:paraId="69A1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restart"/>
                  <w:noWrap w:val="0"/>
                  <w:vAlign w:val="center"/>
                </w:tcPr>
                <w:p w14:paraId="6FFD047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p>
              </w:tc>
              <w:tc>
                <w:tcPr>
                  <w:tcW w:w="735" w:type="dxa"/>
                  <w:vMerge w:val="restart"/>
                  <w:noWrap w:val="0"/>
                  <w:vAlign w:val="center"/>
                </w:tcPr>
                <w:p w14:paraId="1302BA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控制室铅玻璃外30cm</w:t>
                  </w:r>
                </w:p>
              </w:tc>
              <w:tc>
                <w:tcPr>
                  <w:tcW w:w="913" w:type="dxa"/>
                  <w:noWrap w:val="0"/>
                  <w:vAlign w:val="center"/>
                </w:tcPr>
                <w:p w14:paraId="5BB7374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r>
                    <w:rPr>
                      <w:rFonts w:hint="default" w:ascii="Times New Roman" w:hAnsi="Times New Roman" w:eastAsia="宋体" w:cs="Times New Roman"/>
                      <w:color w:val="auto"/>
                      <w:spacing w:val="0"/>
                      <w:position w:val="0"/>
                      <w:sz w:val="21"/>
                      <w:szCs w:val="21"/>
                      <w:vertAlign w:val="baseline"/>
                      <w:lang w:val="en-US" w:eastAsia="zh-CN"/>
                    </w:rPr>
                    <w:t>肝胆科</w:t>
                  </w:r>
                </w:p>
              </w:tc>
              <w:tc>
                <w:tcPr>
                  <w:tcW w:w="832" w:type="dxa"/>
                  <w:noWrap w:val="0"/>
                  <w:vAlign w:val="center"/>
                </w:tcPr>
                <w:p w14:paraId="7C48FE5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2.34E-07</w:t>
                  </w:r>
                </w:p>
              </w:tc>
              <w:tc>
                <w:tcPr>
                  <w:tcW w:w="858" w:type="dxa"/>
                  <w:noWrap w:val="0"/>
                  <w:vAlign w:val="center"/>
                </w:tcPr>
                <w:p w14:paraId="0F4576B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3.29E-02</w:t>
                  </w:r>
                </w:p>
              </w:tc>
              <w:tc>
                <w:tcPr>
                  <w:tcW w:w="682" w:type="dxa"/>
                  <w:noWrap w:val="0"/>
                  <w:vAlign w:val="center"/>
                </w:tcPr>
                <w:p w14:paraId="7F01C2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75</w:t>
                  </w:r>
                </w:p>
              </w:tc>
              <w:tc>
                <w:tcPr>
                  <w:tcW w:w="705" w:type="dxa"/>
                  <w:noWrap w:val="0"/>
                  <w:vAlign w:val="center"/>
                </w:tcPr>
                <w:p w14:paraId="05A4A5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5</w:t>
                  </w:r>
                </w:p>
              </w:tc>
              <w:tc>
                <w:tcPr>
                  <w:tcW w:w="615" w:type="dxa"/>
                  <w:noWrap w:val="0"/>
                  <w:vAlign w:val="center"/>
                </w:tcPr>
                <w:p w14:paraId="4634679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5D4924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1.76E-08</w:t>
                  </w:r>
                </w:p>
              </w:tc>
              <w:tc>
                <w:tcPr>
                  <w:tcW w:w="1065" w:type="dxa"/>
                  <w:noWrap w:val="0"/>
                  <w:vAlign w:val="center"/>
                </w:tcPr>
                <w:p w14:paraId="4A40912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1.65E-04</w:t>
                  </w:r>
                </w:p>
              </w:tc>
              <w:tc>
                <w:tcPr>
                  <w:tcW w:w="1035" w:type="dxa"/>
                  <w:noWrap w:val="0"/>
                  <w:vAlign w:val="center"/>
                </w:tcPr>
                <w:p w14:paraId="7999BA5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1.65E-04</w:t>
                  </w:r>
                </w:p>
              </w:tc>
            </w:tr>
            <w:tr w14:paraId="4D1A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continue"/>
                  <w:noWrap w:val="0"/>
                  <w:vAlign w:val="center"/>
                </w:tcPr>
                <w:p w14:paraId="4A0395A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p>
              </w:tc>
              <w:tc>
                <w:tcPr>
                  <w:tcW w:w="735" w:type="dxa"/>
                  <w:vMerge w:val="continue"/>
                  <w:noWrap w:val="0"/>
                  <w:vAlign w:val="center"/>
                </w:tcPr>
                <w:p w14:paraId="0B6E19E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p>
              </w:tc>
              <w:tc>
                <w:tcPr>
                  <w:tcW w:w="913" w:type="dxa"/>
                  <w:noWrap w:val="0"/>
                  <w:vAlign w:val="center"/>
                </w:tcPr>
                <w:p w14:paraId="5C770EE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r>
                    <w:rPr>
                      <w:rFonts w:hint="default" w:ascii="Times New Roman" w:hAnsi="Times New Roman" w:eastAsia="宋体" w:cs="Times New Roman"/>
                      <w:color w:val="auto"/>
                      <w:spacing w:val="0"/>
                      <w:position w:val="0"/>
                      <w:sz w:val="21"/>
                      <w:szCs w:val="21"/>
                      <w:vertAlign w:val="baseline"/>
                      <w:lang w:val="en-US" w:eastAsia="zh-CN"/>
                    </w:rPr>
                    <w:t>介入科</w:t>
                  </w:r>
                </w:p>
              </w:tc>
              <w:tc>
                <w:tcPr>
                  <w:tcW w:w="832" w:type="dxa"/>
                  <w:noWrap w:val="0"/>
                  <w:vAlign w:val="center"/>
                </w:tcPr>
                <w:p w14:paraId="601D785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2.34E-07</w:t>
                  </w:r>
                </w:p>
              </w:tc>
              <w:tc>
                <w:tcPr>
                  <w:tcW w:w="858" w:type="dxa"/>
                  <w:noWrap w:val="0"/>
                  <w:vAlign w:val="center"/>
                </w:tcPr>
                <w:p w14:paraId="073D3D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3.29E-02</w:t>
                  </w:r>
                </w:p>
              </w:tc>
              <w:tc>
                <w:tcPr>
                  <w:tcW w:w="682" w:type="dxa"/>
                  <w:noWrap w:val="0"/>
                  <w:vAlign w:val="center"/>
                </w:tcPr>
                <w:p w14:paraId="7D7E2B6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200</w:t>
                  </w:r>
                </w:p>
              </w:tc>
              <w:tc>
                <w:tcPr>
                  <w:tcW w:w="705" w:type="dxa"/>
                  <w:noWrap w:val="0"/>
                  <w:vAlign w:val="center"/>
                </w:tcPr>
                <w:p w14:paraId="01F5ADE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13.33</w:t>
                  </w:r>
                </w:p>
              </w:tc>
              <w:tc>
                <w:tcPr>
                  <w:tcW w:w="615" w:type="dxa"/>
                  <w:noWrap w:val="0"/>
                  <w:vAlign w:val="center"/>
                </w:tcPr>
                <w:p w14:paraId="574AD40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5A0994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4.68E-08</w:t>
                  </w:r>
                </w:p>
              </w:tc>
              <w:tc>
                <w:tcPr>
                  <w:tcW w:w="1065" w:type="dxa"/>
                  <w:noWrap w:val="0"/>
                  <w:vAlign w:val="center"/>
                </w:tcPr>
                <w:p w14:paraId="21BB55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4.39E-04</w:t>
                  </w:r>
                </w:p>
              </w:tc>
              <w:tc>
                <w:tcPr>
                  <w:tcW w:w="1035" w:type="dxa"/>
                  <w:noWrap w:val="0"/>
                  <w:vAlign w:val="center"/>
                </w:tcPr>
                <w:p w14:paraId="6CBC76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4.39E-04</w:t>
                  </w:r>
                </w:p>
              </w:tc>
            </w:tr>
            <w:tr w14:paraId="00AC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continue"/>
                  <w:noWrap w:val="0"/>
                  <w:vAlign w:val="center"/>
                </w:tcPr>
                <w:p w14:paraId="138CB724">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p>
              </w:tc>
              <w:tc>
                <w:tcPr>
                  <w:tcW w:w="735" w:type="dxa"/>
                  <w:vMerge w:val="continue"/>
                  <w:noWrap w:val="0"/>
                  <w:vAlign w:val="center"/>
                </w:tcPr>
                <w:p w14:paraId="72FCFC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p>
              </w:tc>
              <w:tc>
                <w:tcPr>
                  <w:tcW w:w="913" w:type="dxa"/>
                  <w:noWrap w:val="0"/>
                  <w:vAlign w:val="center"/>
                </w:tcPr>
                <w:p w14:paraId="3715D3A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r>
                    <w:rPr>
                      <w:rFonts w:hint="default" w:ascii="Times New Roman" w:hAnsi="Times New Roman" w:eastAsia="宋体" w:cs="Times New Roman"/>
                      <w:color w:val="auto"/>
                      <w:spacing w:val="0"/>
                      <w:position w:val="0"/>
                      <w:sz w:val="21"/>
                      <w:szCs w:val="21"/>
                      <w:vertAlign w:val="baseline"/>
                      <w:lang w:val="en-US" w:eastAsia="zh-CN"/>
                    </w:rPr>
                    <w:t>心内科</w:t>
                  </w:r>
                </w:p>
              </w:tc>
              <w:tc>
                <w:tcPr>
                  <w:tcW w:w="832" w:type="dxa"/>
                  <w:noWrap w:val="0"/>
                  <w:vAlign w:val="center"/>
                </w:tcPr>
                <w:p w14:paraId="5E53C3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2.34E-07</w:t>
                  </w:r>
                </w:p>
              </w:tc>
              <w:tc>
                <w:tcPr>
                  <w:tcW w:w="858" w:type="dxa"/>
                  <w:noWrap w:val="0"/>
                  <w:vAlign w:val="center"/>
                </w:tcPr>
                <w:p w14:paraId="15F26B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3.29E-02</w:t>
                  </w:r>
                </w:p>
              </w:tc>
              <w:tc>
                <w:tcPr>
                  <w:tcW w:w="682" w:type="dxa"/>
                  <w:noWrap w:val="0"/>
                  <w:vAlign w:val="center"/>
                </w:tcPr>
                <w:p w14:paraId="0BBD04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125</w:t>
                  </w:r>
                </w:p>
              </w:tc>
              <w:tc>
                <w:tcPr>
                  <w:tcW w:w="705" w:type="dxa"/>
                  <w:noWrap w:val="0"/>
                  <w:vAlign w:val="center"/>
                </w:tcPr>
                <w:p w14:paraId="06B4B3A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8.33</w:t>
                  </w:r>
                </w:p>
              </w:tc>
              <w:tc>
                <w:tcPr>
                  <w:tcW w:w="615" w:type="dxa"/>
                  <w:noWrap w:val="0"/>
                  <w:vAlign w:val="center"/>
                </w:tcPr>
                <w:p w14:paraId="07286DD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737241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2.93E-08</w:t>
                  </w:r>
                </w:p>
              </w:tc>
              <w:tc>
                <w:tcPr>
                  <w:tcW w:w="1065" w:type="dxa"/>
                  <w:noWrap w:val="0"/>
                  <w:vAlign w:val="center"/>
                </w:tcPr>
                <w:p w14:paraId="20D3E6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2.74E-04</w:t>
                  </w:r>
                </w:p>
              </w:tc>
              <w:tc>
                <w:tcPr>
                  <w:tcW w:w="1035" w:type="dxa"/>
                  <w:noWrap w:val="0"/>
                  <w:vAlign w:val="center"/>
                </w:tcPr>
                <w:p w14:paraId="3B834A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2.74E-04</w:t>
                  </w:r>
                </w:p>
              </w:tc>
            </w:tr>
            <w:tr w14:paraId="779E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restart"/>
                  <w:noWrap w:val="0"/>
                  <w:vAlign w:val="center"/>
                </w:tcPr>
                <w:p w14:paraId="1419299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p>
              </w:tc>
              <w:tc>
                <w:tcPr>
                  <w:tcW w:w="735" w:type="dxa"/>
                  <w:vMerge w:val="restart"/>
                  <w:noWrap w:val="0"/>
                  <w:vAlign w:val="center"/>
                </w:tcPr>
                <w:p w14:paraId="6A3E79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控制室墙体外30cm</w:t>
                  </w:r>
                </w:p>
              </w:tc>
              <w:tc>
                <w:tcPr>
                  <w:tcW w:w="913" w:type="dxa"/>
                  <w:noWrap w:val="0"/>
                  <w:vAlign w:val="center"/>
                </w:tcPr>
                <w:p w14:paraId="639FA6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肝胆科</w:t>
                  </w:r>
                </w:p>
              </w:tc>
              <w:tc>
                <w:tcPr>
                  <w:tcW w:w="832" w:type="dxa"/>
                  <w:noWrap w:val="0"/>
                  <w:vAlign w:val="center"/>
                </w:tcPr>
                <w:p w14:paraId="190EEF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2.26E-07</w:t>
                  </w:r>
                </w:p>
              </w:tc>
              <w:tc>
                <w:tcPr>
                  <w:tcW w:w="858" w:type="dxa"/>
                  <w:noWrap w:val="0"/>
                  <w:vAlign w:val="center"/>
                </w:tcPr>
                <w:p w14:paraId="11BA93F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3.16E-02</w:t>
                  </w:r>
                </w:p>
              </w:tc>
              <w:tc>
                <w:tcPr>
                  <w:tcW w:w="682" w:type="dxa"/>
                  <w:noWrap w:val="0"/>
                  <w:vAlign w:val="center"/>
                </w:tcPr>
                <w:p w14:paraId="793ED6E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75</w:t>
                  </w:r>
                </w:p>
              </w:tc>
              <w:tc>
                <w:tcPr>
                  <w:tcW w:w="705" w:type="dxa"/>
                  <w:noWrap w:val="0"/>
                  <w:vAlign w:val="center"/>
                </w:tcPr>
                <w:p w14:paraId="2A7EB0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5</w:t>
                  </w:r>
                </w:p>
              </w:tc>
              <w:tc>
                <w:tcPr>
                  <w:tcW w:w="615" w:type="dxa"/>
                  <w:noWrap w:val="0"/>
                  <w:vAlign w:val="center"/>
                </w:tcPr>
                <w:p w14:paraId="4B11477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7D31649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1.70E-08</w:t>
                  </w:r>
                </w:p>
              </w:tc>
              <w:tc>
                <w:tcPr>
                  <w:tcW w:w="1065" w:type="dxa"/>
                  <w:noWrap w:val="0"/>
                  <w:vAlign w:val="center"/>
                </w:tcPr>
                <w:p w14:paraId="648D45D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1.58E-04</w:t>
                  </w:r>
                </w:p>
              </w:tc>
              <w:tc>
                <w:tcPr>
                  <w:tcW w:w="1035" w:type="dxa"/>
                  <w:noWrap w:val="0"/>
                  <w:vAlign w:val="center"/>
                </w:tcPr>
                <w:p w14:paraId="32757B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1.58E-04</w:t>
                  </w:r>
                </w:p>
              </w:tc>
            </w:tr>
            <w:tr w14:paraId="429D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continue"/>
                  <w:noWrap w:val="0"/>
                  <w:vAlign w:val="center"/>
                </w:tcPr>
                <w:p w14:paraId="71E5309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p>
              </w:tc>
              <w:tc>
                <w:tcPr>
                  <w:tcW w:w="735" w:type="dxa"/>
                  <w:vMerge w:val="continue"/>
                  <w:noWrap w:val="0"/>
                  <w:vAlign w:val="center"/>
                </w:tcPr>
                <w:p w14:paraId="7C67F60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p>
              </w:tc>
              <w:tc>
                <w:tcPr>
                  <w:tcW w:w="913" w:type="dxa"/>
                  <w:noWrap w:val="0"/>
                  <w:vAlign w:val="center"/>
                </w:tcPr>
                <w:p w14:paraId="3FF0D2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介入科</w:t>
                  </w:r>
                </w:p>
              </w:tc>
              <w:tc>
                <w:tcPr>
                  <w:tcW w:w="832" w:type="dxa"/>
                  <w:noWrap w:val="0"/>
                  <w:vAlign w:val="center"/>
                </w:tcPr>
                <w:p w14:paraId="5C8899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2.26E-07</w:t>
                  </w:r>
                </w:p>
              </w:tc>
              <w:tc>
                <w:tcPr>
                  <w:tcW w:w="858" w:type="dxa"/>
                  <w:noWrap w:val="0"/>
                  <w:vAlign w:val="center"/>
                </w:tcPr>
                <w:p w14:paraId="6A8C7A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3.16E-02</w:t>
                  </w:r>
                </w:p>
              </w:tc>
              <w:tc>
                <w:tcPr>
                  <w:tcW w:w="682" w:type="dxa"/>
                  <w:noWrap w:val="0"/>
                  <w:vAlign w:val="center"/>
                </w:tcPr>
                <w:p w14:paraId="4DB04BD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200</w:t>
                  </w:r>
                </w:p>
              </w:tc>
              <w:tc>
                <w:tcPr>
                  <w:tcW w:w="705" w:type="dxa"/>
                  <w:noWrap w:val="0"/>
                  <w:vAlign w:val="center"/>
                </w:tcPr>
                <w:p w14:paraId="4186EFD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13.33</w:t>
                  </w:r>
                </w:p>
              </w:tc>
              <w:tc>
                <w:tcPr>
                  <w:tcW w:w="615" w:type="dxa"/>
                  <w:noWrap w:val="0"/>
                  <w:vAlign w:val="center"/>
                </w:tcPr>
                <w:p w14:paraId="768FF36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25245F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4.52E-08</w:t>
                  </w:r>
                </w:p>
              </w:tc>
              <w:tc>
                <w:tcPr>
                  <w:tcW w:w="1065" w:type="dxa"/>
                  <w:noWrap w:val="0"/>
                  <w:vAlign w:val="center"/>
                </w:tcPr>
                <w:p w14:paraId="261E018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4.21E-04</w:t>
                  </w:r>
                </w:p>
              </w:tc>
              <w:tc>
                <w:tcPr>
                  <w:tcW w:w="1035" w:type="dxa"/>
                  <w:noWrap w:val="0"/>
                  <w:vAlign w:val="center"/>
                </w:tcPr>
                <w:p w14:paraId="0E3205E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4.21E-04</w:t>
                  </w:r>
                </w:p>
              </w:tc>
            </w:tr>
            <w:tr w14:paraId="51BE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continue"/>
                  <w:noWrap w:val="0"/>
                  <w:vAlign w:val="center"/>
                </w:tcPr>
                <w:p w14:paraId="52762D3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p>
              </w:tc>
              <w:tc>
                <w:tcPr>
                  <w:tcW w:w="735" w:type="dxa"/>
                  <w:vMerge w:val="continue"/>
                  <w:noWrap w:val="0"/>
                  <w:vAlign w:val="center"/>
                </w:tcPr>
                <w:p w14:paraId="0CDFA53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p>
              </w:tc>
              <w:tc>
                <w:tcPr>
                  <w:tcW w:w="913" w:type="dxa"/>
                  <w:noWrap w:val="0"/>
                  <w:vAlign w:val="center"/>
                </w:tcPr>
                <w:p w14:paraId="0EDEF54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心内科</w:t>
                  </w:r>
                </w:p>
              </w:tc>
              <w:tc>
                <w:tcPr>
                  <w:tcW w:w="832" w:type="dxa"/>
                  <w:noWrap w:val="0"/>
                  <w:vAlign w:val="center"/>
                </w:tcPr>
                <w:p w14:paraId="0E221A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2.26E-07</w:t>
                  </w:r>
                </w:p>
              </w:tc>
              <w:tc>
                <w:tcPr>
                  <w:tcW w:w="858" w:type="dxa"/>
                  <w:noWrap w:val="0"/>
                  <w:vAlign w:val="center"/>
                </w:tcPr>
                <w:p w14:paraId="36C3D3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3.16E-02</w:t>
                  </w:r>
                </w:p>
              </w:tc>
              <w:tc>
                <w:tcPr>
                  <w:tcW w:w="682" w:type="dxa"/>
                  <w:noWrap w:val="0"/>
                  <w:vAlign w:val="center"/>
                </w:tcPr>
                <w:p w14:paraId="64180F6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125</w:t>
                  </w:r>
                </w:p>
              </w:tc>
              <w:tc>
                <w:tcPr>
                  <w:tcW w:w="705" w:type="dxa"/>
                  <w:noWrap w:val="0"/>
                  <w:vAlign w:val="center"/>
                </w:tcPr>
                <w:p w14:paraId="6CDF34A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8.33</w:t>
                  </w:r>
                </w:p>
              </w:tc>
              <w:tc>
                <w:tcPr>
                  <w:tcW w:w="615" w:type="dxa"/>
                  <w:noWrap w:val="0"/>
                  <w:vAlign w:val="center"/>
                </w:tcPr>
                <w:p w14:paraId="41ECBFD7">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44616FB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2.83E-08</w:t>
                  </w:r>
                </w:p>
              </w:tc>
              <w:tc>
                <w:tcPr>
                  <w:tcW w:w="1065" w:type="dxa"/>
                  <w:noWrap w:val="0"/>
                  <w:vAlign w:val="center"/>
                </w:tcPr>
                <w:p w14:paraId="5A53618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2.63E-04</w:t>
                  </w:r>
                </w:p>
              </w:tc>
              <w:tc>
                <w:tcPr>
                  <w:tcW w:w="1035" w:type="dxa"/>
                  <w:noWrap w:val="0"/>
                  <w:vAlign w:val="center"/>
                </w:tcPr>
                <w:p w14:paraId="67B48C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2.63E-04</w:t>
                  </w:r>
                </w:p>
              </w:tc>
            </w:tr>
            <w:tr w14:paraId="789B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restart"/>
                  <w:noWrap w:val="0"/>
                  <w:vAlign w:val="center"/>
                </w:tcPr>
                <w:p w14:paraId="32F3984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p>
              </w:tc>
              <w:tc>
                <w:tcPr>
                  <w:tcW w:w="735" w:type="dxa"/>
                  <w:vMerge w:val="restart"/>
                  <w:noWrap w:val="0"/>
                  <w:vAlign w:val="center"/>
                </w:tcPr>
                <w:p w14:paraId="62BE566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控制室铅门外30cm</w:t>
                  </w:r>
                </w:p>
              </w:tc>
              <w:tc>
                <w:tcPr>
                  <w:tcW w:w="913" w:type="dxa"/>
                  <w:noWrap w:val="0"/>
                  <w:vAlign w:val="center"/>
                </w:tcPr>
                <w:p w14:paraId="15E06EF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肝胆科</w:t>
                  </w:r>
                </w:p>
              </w:tc>
              <w:tc>
                <w:tcPr>
                  <w:tcW w:w="832" w:type="dxa"/>
                  <w:noWrap w:val="0"/>
                  <w:vAlign w:val="center"/>
                </w:tcPr>
                <w:p w14:paraId="48E7B7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1.92E-07</w:t>
                  </w:r>
                </w:p>
              </w:tc>
              <w:tc>
                <w:tcPr>
                  <w:tcW w:w="858" w:type="dxa"/>
                  <w:noWrap w:val="0"/>
                  <w:vAlign w:val="center"/>
                </w:tcPr>
                <w:p w14:paraId="27F5D7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2.69E-02</w:t>
                  </w:r>
                </w:p>
              </w:tc>
              <w:tc>
                <w:tcPr>
                  <w:tcW w:w="682" w:type="dxa"/>
                  <w:noWrap w:val="0"/>
                  <w:vAlign w:val="center"/>
                </w:tcPr>
                <w:p w14:paraId="68FAE80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75</w:t>
                  </w:r>
                </w:p>
              </w:tc>
              <w:tc>
                <w:tcPr>
                  <w:tcW w:w="705" w:type="dxa"/>
                  <w:noWrap w:val="0"/>
                  <w:vAlign w:val="center"/>
                </w:tcPr>
                <w:p w14:paraId="1B77A3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5</w:t>
                  </w:r>
                </w:p>
              </w:tc>
              <w:tc>
                <w:tcPr>
                  <w:tcW w:w="615" w:type="dxa"/>
                  <w:noWrap w:val="0"/>
                  <w:vAlign w:val="center"/>
                </w:tcPr>
                <w:p w14:paraId="6FA91B5A">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234597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1.44E-08</w:t>
                  </w:r>
                </w:p>
              </w:tc>
              <w:tc>
                <w:tcPr>
                  <w:tcW w:w="1065" w:type="dxa"/>
                  <w:noWrap w:val="0"/>
                  <w:vAlign w:val="center"/>
                </w:tcPr>
                <w:p w14:paraId="45AEB5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1.35E-04</w:t>
                  </w:r>
                </w:p>
              </w:tc>
              <w:tc>
                <w:tcPr>
                  <w:tcW w:w="1035" w:type="dxa"/>
                  <w:noWrap w:val="0"/>
                  <w:vAlign w:val="center"/>
                </w:tcPr>
                <w:p w14:paraId="3802B0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1.35E-04</w:t>
                  </w:r>
                </w:p>
              </w:tc>
            </w:tr>
            <w:tr w14:paraId="0504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continue"/>
                  <w:noWrap w:val="0"/>
                  <w:vAlign w:val="center"/>
                </w:tcPr>
                <w:p w14:paraId="5EE38A4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p>
              </w:tc>
              <w:tc>
                <w:tcPr>
                  <w:tcW w:w="735" w:type="dxa"/>
                  <w:vMerge w:val="continue"/>
                  <w:noWrap w:val="0"/>
                  <w:vAlign w:val="center"/>
                </w:tcPr>
                <w:p w14:paraId="4F6353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p>
              </w:tc>
              <w:tc>
                <w:tcPr>
                  <w:tcW w:w="913" w:type="dxa"/>
                  <w:noWrap w:val="0"/>
                  <w:vAlign w:val="center"/>
                </w:tcPr>
                <w:p w14:paraId="489456E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介入科</w:t>
                  </w:r>
                </w:p>
              </w:tc>
              <w:tc>
                <w:tcPr>
                  <w:tcW w:w="832" w:type="dxa"/>
                  <w:noWrap w:val="0"/>
                  <w:vAlign w:val="center"/>
                </w:tcPr>
                <w:p w14:paraId="0C12D9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1.92E-07</w:t>
                  </w:r>
                </w:p>
              </w:tc>
              <w:tc>
                <w:tcPr>
                  <w:tcW w:w="858" w:type="dxa"/>
                  <w:noWrap w:val="0"/>
                  <w:vAlign w:val="center"/>
                </w:tcPr>
                <w:p w14:paraId="011D875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2.69E-02</w:t>
                  </w:r>
                </w:p>
              </w:tc>
              <w:tc>
                <w:tcPr>
                  <w:tcW w:w="682" w:type="dxa"/>
                  <w:noWrap w:val="0"/>
                  <w:vAlign w:val="center"/>
                </w:tcPr>
                <w:p w14:paraId="0BF4A2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200</w:t>
                  </w:r>
                </w:p>
              </w:tc>
              <w:tc>
                <w:tcPr>
                  <w:tcW w:w="705" w:type="dxa"/>
                  <w:noWrap w:val="0"/>
                  <w:vAlign w:val="center"/>
                </w:tcPr>
                <w:p w14:paraId="4421DDD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13.33</w:t>
                  </w:r>
                </w:p>
              </w:tc>
              <w:tc>
                <w:tcPr>
                  <w:tcW w:w="615" w:type="dxa"/>
                  <w:noWrap w:val="0"/>
                  <w:vAlign w:val="center"/>
                </w:tcPr>
                <w:p w14:paraId="4812082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3B19173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3.84E-08</w:t>
                  </w:r>
                </w:p>
              </w:tc>
              <w:tc>
                <w:tcPr>
                  <w:tcW w:w="1065" w:type="dxa"/>
                  <w:noWrap w:val="0"/>
                  <w:vAlign w:val="center"/>
                </w:tcPr>
                <w:p w14:paraId="720C3D5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3.59E-04</w:t>
                  </w:r>
                </w:p>
              </w:tc>
              <w:tc>
                <w:tcPr>
                  <w:tcW w:w="1035" w:type="dxa"/>
                  <w:noWrap w:val="0"/>
                  <w:vAlign w:val="center"/>
                </w:tcPr>
                <w:p w14:paraId="2F4EF5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3.59E-04</w:t>
                  </w:r>
                </w:p>
              </w:tc>
            </w:tr>
            <w:tr w14:paraId="2023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vMerge w:val="continue"/>
                  <w:noWrap w:val="0"/>
                  <w:vAlign w:val="center"/>
                </w:tcPr>
                <w:p w14:paraId="09B92592">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p>
              </w:tc>
              <w:tc>
                <w:tcPr>
                  <w:tcW w:w="735" w:type="dxa"/>
                  <w:vMerge w:val="continue"/>
                  <w:noWrap w:val="0"/>
                  <w:vAlign w:val="center"/>
                </w:tcPr>
                <w:p w14:paraId="4128CD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vertAlign w:val="baseline"/>
                      <w:lang w:val="en-US" w:eastAsia="zh-CN"/>
                    </w:rPr>
                  </w:pPr>
                </w:p>
              </w:tc>
              <w:tc>
                <w:tcPr>
                  <w:tcW w:w="913" w:type="dxa"/>
                  <w:noWrap w:val="0"/>
                  <w:vAlign w:val="center"/>
                </w:tcPr>
                <w:p w14:paraId="4892345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vertAlign w:val="baseline"/>
                      <w:lang w:val="en-US" w:eastAsia="zh-CN"/>
                    </w:rPr>
                    <w:t>心内科</w:t>
                  </w:r>
                </w:p>
              </w:tc>
              <w:tc>
                <w:tcPr>
                  <w:tcW w:w="832" w:type="dxa"/>
                  <w:noWrap w:val="0"/>
                  <w:vAlign w:val="center"/>
                </w:tcPr>
                <w:p w14:paraId="204421B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1.92E-07</w:t>
                  </w:r>
                </w:p>
              </w:tc>
              <w:tc>
                <w:tcPr>
                  <w:tcW w:w="858" w:type="dxa"/>
                  <w:noWrap w:val="0"/>
                  <w:vAlign w:val="center"/>
                </w:tcPr>
                <w:p w14:paraId="19D57D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2.69E-02</w:t>
                  </w:r>
                </w:p>
              </w:tc>
              <w:tc>
                <w:tcPr>
                  <w:tcW w:w="682" w:type="dxa"/>
                  <w:noWrap w:val="0"/>
                  <w:vAlign w:val="center"/>
                </w:tcPr>
                <w:p w14:paraId="2B763D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125</w:t>
                  </w:r>
                </w:p>
              </w:tc>
              <w:tc>
                <w:tcPr>
                  <w:tcW w:w="705" w:type="dxa"/>
                  <w:noWrap w:val="0"/>
                  <w:vAlign w:val="center"/>
                </w:tcPr>
                <w:p w14:paraId="54B133D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8.33</w:t>
                  </w:r>
                </w:p>
              </w:tc>
              <w:tc>
                <w:tcPr>
                  <w:tcW w:w="615" w:type="dxa"/>
                  <w:noWrap w:val="0"/>
                  <w:vAlign w:val="center"/>
                </w:tcPr>
                <w:p w14:paraId="18C4B9D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049A86F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2.40E-08</w:t>
                  </w:r>
                </w:p>
              </w:tc>
              <w:tc>
                <w:tcPr>
                  <w:tcW w:w="1065" w:type="dxa"/>
                  <w:noWrap w:val="0"/>
                  <w:vAlign w:val="center"/>
                </w:tcPr>
                <w:p w14:paraId="240511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2.24E-04</w:t>
                  </w:r>
                </w:p>
              </w:tc>
              <w:tc>
                <w:tcPr>
                  <w:tcW w:w="1035" w:type="dxa"/>
                  <w:noWrap w:val="0"/>
                  <w:vAlign w:val="center"/>
                </w:tcPr>
                <w:p w14:paraId="7F38638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2.24E-04</w:t>
                  </w:r>
                </w:p>
              </w:tc>
            </w:tr>
            <w:tr w14:paraId="30646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0137361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w:t>
                  </w:r>
                </w:p>
              </w:tc>
              <w:tc>
                <w:tcPr>
                  <w:tcW w:w="1648" w:type="dxa"/>
                  <w:gridSpan w:val="2"/>
                  <w:noWrap w:val="0"/>
                  <w:vAlign w:val="center"/>
                </w:tcPr>
                <w:p w14:paraId="449E4B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机房北面墙体外30cm（洁净通道）</w:t>
                  </w:r>
                </w:p>
              </w:tc>
              <w:tc>
                <w:tcPr>
                  <w:tcW w:w="832" w:type="dxa"/>
                  <w:noWrap w:val="0"/>
                  <w:vAlign w:val="center"/>
                </w:tcPr>
                <w:p w14:paraId="38C6FE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1.64E-07</w:t>
                  </w:r>
                </w:p>
              </w:tc>
              <w:tc>
                <w:tcPr>
                  <w:tcW w:w="858" w:type="dxa"/>
                  <w:noWrap w:val="0"/>
                  <w:vAlign w:val="center"/>
                </w:tcPr>
                <w:p w14:paraId="12E07FB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2.31E-02</w:t>
                  </w:r>
                </w:p>
              </w:tc>
              <w:tc>
                <w:tcPr>
                  <w:tcW w:w="682" w:type="dxa"/>
                  <w:noWrap w:val="0"/>
                  <w:vAlign w:val="center"/>
                </w:tcPr>
                <w:p w14:paraId="4B31156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7437950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5C3B8D2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1/4</w:t>
                  </w:r>
                </w:p>
              </w:tc>
              <w:tc>
                <w:tcPr>
                  <w:tcW w:w="1065" w:type="dxa"/>
                  <w:noWrap w:val="0"/>
                  <w:vAlign w:val="center"/>
                </w:tcPr>
                <w:p w14:paraId="5499D5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1.64E-08</w:t>
                  </w:r>
                </w:p>
              </w:tc>
              <w:tc>
                <w:tcPr>
                  <w:tcW w:w="1065" w:type="dxa"/>
                  <w:noWrap w:val="0"/>
                  <w:vAlign w:val="center"/>
                </w:tcPr>
                <w:p w14:paraId="4F77BD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1.54E-04</w:t>
                  </w:r>
                </w:p>
              </w:tc>
              <w:tc>
                <w:tcPr>
                  <w:tcW w:w="1035" w:type="dxa"/>
                  <w:noWrap w:val="0"/>
                  <w:vAlign w:val="center"/>
                </w:tcPr>
                <w:p w14:paraId="0970EC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1.54E-04</w:t>
                  </w:r>
                </w:p>
              </w:tc>
            </w:tr>
            <w:tr w14:paraId="22C0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358F39E7">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5</w:t>
                  </w:r>
                </w:p>
              </w:tc>
              <w:tc>
                <w:tcPr>
                  <w:tcW w:w="1648" w:type="dxa"/>
                  <w:gridSpan w:val="2"/>
                  <w:noWrap w:val="0"/>
                  <w:vAlign w:val="center"/>
                </w:tcPr>
                <w:p w14:paraId="2C822D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position w:val="0"/>
                      <w:sz w:val="21"/>
                      <w:szCs w:val="21"/>
                      <w:lang w:val="en-US" w:eastAsia="zh-CN"/>
                    </w:rPr>
                    <w:t>患者通道铅门外30cm</w:t>
                  </w:r>
                </w:p>
              </w:tc>
              <w:tc>
                <w:tcPr>
                  <w:tcW w:w="832" w:type="dxa"/>
                  <w:noWrap w:val="0"/>
                  <w:vAlign w:val="center"/>
                </w:tcPr>
                <w:p w14:paraId="12E55B8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1.13E-07</w:t>
                  </w:r>
                </w:p>
              </w:tc>
              <w:tc>
                <w:tcPr>
                  <w:tcW w:w="858" w:type="dxa"/>
                  <w:noWrap w:val="0"/>
                  <w:vAlign w:val="center"/>
                </w:tcPr>
                <w:p w14:paraId="4E51DF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1.59E-02</w:t>
                  </w:r>
                </w:p>
              </w:tc>
              <w:tc>
                <w:tcPr>
                  <w:tcW w:w="682" w:type="dxa"/>
                  <w:noWrap w:val="0"/>
                  <w:vAlign w:val="center"/>
                </w:tcPr>
                <w:p w14:paraId="553F7A3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389AB40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7E76F43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1/4</w:t>
                  </w:r>
                </w:p>
              </w:tc>
              <w:tc>
                <w:tcPr>
                  <w:tcW w:w="1065" w:type="dxa"/>
                  <w:noWrap w:val="0"/>
                  <w:vAlign w:val="center"/>
                </w:tcPr>
                <w:p w14:paraId="61B62B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1.13E-08</w:t>
                  </w:r>
                </w:p>
              </w:tc>
              <w:tc>
                <w:tcPr>
                  <w:tcW w:w="1065" w:type="dxa"/>
                  <w:noWrap w:val="0"/>
                  <w:vAlign w:val="center"/>
                </w:tcPr>
                <w:p w14:paraId="08E6C7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1.06E-04</w:t>
                  </w:r>
                </w:p>
              </w:tc>
              <w:tc>
                <w:tcPr>
                  <w:tcW w:w="1035" w:type="dxa"/>
                  <w:noWrap w:val="0"/>
                  <w:vAlign w:val="center"/>
                </w:tcPr>
                <w:p w14:paraId="49A07E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1.06E-04</w:t>
                  </w:r>
                </w:p>
              </w:tc>
            </w:tr>
            <w:tr w14:paraId="24B5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45B08EA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6</w:t>
                  </w:r>
                </w:p>
              </w:tc>
              <w:tc>
                <w:tcPr>
                  <w:tcW w:w="1648" w:type="dxa"/>
                  <w:gridSpan w:val="2"/>
                  <w:noWrap w:val="0"/>
                  <w:vAlign w:val="center"/>
                </w:tcPr>
                <w:p w14:paraId="157B78C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机房北面墙体外30cm（洁净通道）</w:t>
                  </w:r>
                </w:p>
              </w:tc>
              <w:tc>
                <w:tcPr>
                  <w:tcW w:w="832" w:type="dxa"/>
                  <w:noWrap w:val="0"/>
                  <w:vAlign w:val="center"/>
                </w:tcPr>
                <w:p w14:paraId="09D7AB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3.34E-12</w:t>
                  </w:r>
                </w:p>
              </w:tc>
              <w:tc>
                <w:tcPr>
                  <w:tcW w:w="858" w:type="dxa"/>
                  <w:noWrap w:val="0"/>
                  <w:vAlign w:val="center"/>
                </w:tcPr>
                <w:p w14:paraId="612C68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3.18E-05</w:t>
                  </w:r>
                </w:p>
              </w:tc>
              <w:tc>
                <w:tcPr>
                  <w:tcW w:w="682" w:type="dxa"/>
                  <w:noWrap w:val="0"/>
                  <w:vAlign w:val="center"/>
                </w:tcPr>
                <w:p w14:paraId="6303893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54F5343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567CA9E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1/4</w:t>
                  </w:r>
                </w:p>
              </w:tc>
              <w:tc>
                <w:tcPr>
                  <w:tcW w:w="1065" w:type="dxa"/>
                  <w:noWrap w:val="0"/>
                  <w:vAlign w:val="center"/>
                </w:tcPr>
                <w:p w14:paraId="2C904D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3.34E-13</w:t>
                  </w:r>
                </w:p>
              </w:tc>
              <w:tc>
                <w:tcPr>
                  <w:tcW w:w="1065" w:type="dxa"/>
                  <w:noWrap w:val="0"/>
                  <w:vAlign w:val="center"/>
                </w:tcPr>
                <w:p w14:paraId="13126A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2.12E-07</w:t>
                  </w:r>
                </w:p>
              </w:tc>
              <w:tc>
                <w:tcPr>
                  <w:tcW w:w="1035" w:type="dxa"/>
                  <w:noWrap w:val="0"/>
                  <w:vAlign w:val="center"/>
                </w:tcPr>
                <w:p w14:paraId="0C43CB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2.12E-07</w:t>
                  </w:r>
                </w:p>
              </w:tc>
            </w:tr>
            <w:tr w14:paraId="405B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5CA86294">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7</w:t>
                  </w:r>
                </w:p>
              </w:tc>
              <w:tc>
                <w:tcPr>
                  <w:tcW w:w="1648" w:type="dxa"/>
                  <w:gridSpan w:val="2"/>
                  <w:noWrap w:val="0"/>
                  <w:vAlign w:val="center"/>
                </w:tcPr>
                <w:p w14:paraId="018AF0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机房东面墙体外30cm（16号手术室）</w:t>
                  </w:r>
                </w:p>
              </w:tc>
              <w:tc>
                <w:tcPr>
                  <w:tcW w:w="832" w:type="dxa"/>
                  <w:noWrap w:val="0"/>
                  <w:vAlign w:val="center"/>
                </w:tcPr>
                <w:p w14:paraId="2DA95A7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2.42E-12</w:t>
                  </w:r>
                </w:p>
              </w:tc>
              <w:tc>
                <w:tcPr>
                  <w:tcW w:w="858" w:type="dxa"/>
                  <w:noWrap w:val="0"/>
                  <w:vAlign w:val="center"/>
                </w:tcPr>
                <w:p w14:paraId="6BD3971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2.30E-05</w:t>
                  </w:r>
                </w:p>
              </w:tc>
              <w:tc>
                <w:tcPr>
                  <w:tcW w:w="682" w:type="dxa"/>
                  <w:noWrap w:val="0"/>
                  <w:vAlign w:val="center"/>
                </w:tcPr>
                <w:p w14:paraId="2DD1B38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6696D14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2DCED284">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718A98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9.68E-13</w:t>
                  </w:r>
                </w:p>
              </w:tc>
              <w:tc>
                <w:tcPr>
                  <w:tcW w:w="1065" w:type="dxa"/>
                  <w:noWrap w:val="0"/>
                  <w:vAlign w:val="center"/>
                </w:tcPr>
                <w:p w14:paraId="45B043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6.13E-07</w:t>
                  </w:r>
                </w:p>
              </w:tc>
              <w:tc>
                <w:tcPr>
                  <w:tcW w:w="1035" w:type="dxa"/>
                  <w:noWrap w:val="0"/>
                  <w:vAlign w:val="center"/>
                </w:tcPr>
                <w:p w14:paraId="230481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6.13E-07</w:t>
                  </w:r>
                </w:p>
              </w:tc>
            </w:tr>
            <w:tr w14:paraId="6EE7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6674A03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8</w:t>
                  </w:r>
                </w:p>
              </w:tc>
              <w:tc>
                <w:tcPr>
                  <w:tcW w:w="1648" w:type="dxa"/>
                  <w:gridSpan w:val="2"/>
                  <w:noWrap w:val="0"/>
                  <w:vAlign w:val="center"/>
                </w:tcPr>
                <w:p w14:paraId="0780239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机房东面墙体外30cm（16号手术室）</w:t>
                  </w:r>
                </w:p>
              </w:tc>
              <w:tc>
                <w:tcPr>
                  <w:tcW w:w="832" w:type="dxa"/>
                  <w:noWrap w:val="0"/>
                  <w:vAlign w:val="center"/>
                </w:tcPr>
                <w:p w14:paraId="0565ADC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6.38E-08</w:t>
                  </w:r>
                </w:p>
              </w:tc>
              <w:tc>
                <w:tcPr>
                  <w:tcW w:w="858" w:type="dxa"/>
                  <w:noWrap w:val="0"/>
                  <w:vAlign w:val="center"/>
                </w:tcPr>
                <w:p w14:paraId="2A4DC7B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8.95E-03</w:t>
                  </w:r>
                </w:p>
              </w:tc>
              <w:tc>
                <w:tcPr>
                  <w:tcW w:w="682" w:type="dxa"/>
                  <w:noWrap w:val="0"/>
                  <w:vAlign w:val="center"/>
                </w:tcPr>
                <w:p w14:paraId="215201D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148E23A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381675A7">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65AA6A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2.55E-08</w:t>
                  </w:r>
                </w:p>
              </w:tc>
              <w:tc>
                <w:tcPr>
                  <w:tcW w:w="1065" w:type="dxa"/>
                  <w:noWrap w:val="0"/>
                  <w:vAlign w:val="center"/>
                </w:tcPr>
                <w:p w14:paraId="18C7A5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2.39E-04</w:t>
                  </w:r>
                </w:p>
              </w:tc>
              <w:tc>
                <w:tcPr>
                  <w:tcW w:w="1035" w:type="dxa"/>
                  <w:noWrap w:val="0"/>
                  <w:vAlign w:val="center"/>
                </w:tcPr>
                <w:p w14:paraId="628339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2.39E-04</w:t>
                  </w:r>
                </w:p>
              </w:tc>
            </w:tr>
            <w:tr w14:paraId="301D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33AF1BE9">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9</w:t>
                  </w:r>
                </w:p>
              </w:tc>
              <w:tc>
                <w:tcPr>
                  <w:tcW w:w="1648" w:type="dxa"/>
                  <w:gridSpan w:val="2"/>
                  <w:noWrap w:val="0"/>
                  <w:vAlign w:val="center"/>
                </w:tcPr>
                <w:p w14:paraId="5DB30BF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机房南面墙体外30cm（污物通道）</w:t>
                  </w:r>
                </w:p>
              </w:tc>
              <w:tc>
                <w:tcPr>
                  <w:tcW w:w="832" w:type="dxa"/>
                  <w:noWrap w:val="0"/>
                  <w:vAlign w:val="center"/>
                </w:tcPr>
                <w:p w14:paraId="606D5E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2.61E-12</w:t>
                  </w:r>
                </w:p>
              </w:tc>
              <w:tc>
                <w:tcPr>
                  <w:tcW w:w="858" w:type="dxa"/>
                  <w:noWrap w:val="0"/>
                  <w:vAlign w:val="center"/>
                </w:tcPr>
                <w:p w14:paraId="46DC1F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2.49E-05</w:t>
                  </w:r>
                </w:p>
              </w:tc>
              <w:tc>
                <w:tcPr>
                  <w:tcW w:w="682" w:type="dxa"/>
                  <w:noWrap w:val="0"/>
                  <w:vAlign w:val="center"/>
                </w:tcPr>
                <w:p w14:paraId="79692A0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450A698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09FA362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1/4</w:t>
                  </w:r>
                </w:p>
              </w:tc>
              <w:tc>
                <w:tcPr>
                  <w:tcW w:w="1065" w:type="dxa"/>
                  <w:noWrap w:val="0"/>
                  <w:vAlign w:val="center"/>
                </w:tcPr>
                <w:p w14:paraId="37AAA7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2.61E-13</w:t>
                  </w:r>
                </w:p>
              </w:tc>
              <w:tc>
                <w:tcPr>
                  <w:tcW w:w="1065" w:type="dxa"/>
                  <w:noWrap w:val="0"/>
                  <w:vAlign w:val="center"/>
                </w:tcPr>
                <w:p w14:paraId="32D0C4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1.66E-07</w:t>
                  </w:r>
                </w:p>
              </w:tc>
              <w:tc>
                <w:tcPr>
                  <w:tcW w:w="1035" w:type="dxa"/>
                  <w:noWrap w:val="0"/>
                  <w:vAlign w:val="center"/>
                </w:tcPr>
                <w:p w14:paraId="5AF449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1.66E-07</w:t>
                  </w:r>
                </w:p>
              </w:tc>
            </w:tr>
            <w:tr w14:paraId="3981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6C3A604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10</w:t>
                  </w:r>
                </w:p>
              </w:tc>
              <w:tc>
                <w:tcPr>
                  <w:tcW w:w="1648" w:type="dxa"/>
                  <w:gridSpan w:val="2"/>
                  <w:noWrap w:val="0"/>
                  <w:vAlign w:val="center"/>
                </w:tcPr>
                <w:p w14:paraId="12992A5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bidi="ar-SA"/>
                    </w:rPr>
                    <w:t>污物通道铅门</w:t>
                  </w:r>
                </w:p>
              </w:tc>
              <w:tc>
                <w:tcPr>
                  <w:tcW w:w="832" w:type="dxa"/>
                  <w:noWrap w:val="0"/>
                  <w:vAlign w:val="center"/>
                </w:tcPr>
                <w:p w14:paraId="61EAE63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8.09E-08</w:t>
                  </w:r>
                </w:p>
              </w:tc>
              <w:tc>
                <w:tcPr>
                  <w:tcW w:w="858" w:type="dxa"/>
                  <w:noWrap w:val="0"/>
                  <w:vAlign w:val="center"/>
                </w:tcPr>
                <w:p w14:paraId="001EF61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1.13E-02</w:t>
                  </w:r>
                </w:p>
              </w:tc>
              <w:tc>
                <w:tcPr>
                  <w:tcW w:w="682" w:type="dxa"/>
                  <w:noWrap w:val="0"/>
                  <w:vAlign w:val="center"/>
                </w:tcPr>
                <w:p w14:paraId="6355293C">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4CF1AE0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4ADDA88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1/4</w:t>
                  </w:r>
                </w:p>
              </w:tc>
              <w:tc>
                <w:tcPr>
                  <w:tcW w:w="1065" w:type="dxa"/>
                  <w:noWrap w:val="0"/>
                  <w:vAlign w:val="center"/>
                </w:tcPr>
                <w:p w14:paraId="5D31F8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8.09E-09</w:t>
                  </w:r>
                </w:p>
              </w:tc>
              <w:tc>
                <w:tcPr>
                  <w:tcW w:w="1065" w:type="dxa"/>
                  <w:noWrap w:val="0"/>
                  <w:vAlign w:val="center"/>
                </w:tcPr>
                <w:p w14:paraId="46A1B0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7.53E-05</w:t>
                  </w:r>
                </w:p>
              </w:tc>
              <w:tc>
                <w:tcPr>
                  <w:tcW w:w="1035" w:type="dxa"/>
                  <w:noWrap w:val="0"/>
                  <w:vAlign w:val="center"/>
                </w:tcPr>
                <w:p w14:paraId="0BE0BB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7.53E-05</w:t>
                  </w:r>
                </w:p>
              </w:tc>
            </w:tr>
            <w:tr w14:paraId="16B7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41F6DFC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11</w:t>
                  </w:r>
                </w:p>
              </w:tc>
              <w:tc>
                <w:tcPr>
                  <w:tcW w:w="1648" w:type="dxa"/>
                  <w:gridSpan w:val="2"/>
                  <w:noWrap w:val="0"/>
                  <w:vAlign w:val="center"/>
                </w:tcPr>
                <w:p w14:paraId="122DFF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vertAlign w:val="baseline"/>
                      <w:lang w:val="en-US" w:eastAsia="zh-CN" w:bidi="ar-SA"/>
                    </w:rPr>
                  </w:pPr>
                  <w:r>
                    <w:rPr>
                      <w:rFonts w:hint="default" w:ascii="Times New Roman" w:hAnsi="Times New Roman" w:eastAsia="宋体" w:cs="Times New Roman"/>
                      <w:color w:val="auto"/>
                      <w:spacing w:val="0"/>
                      <w:kern w:val="2"/>
                      <w:position w:val="0"/>
                      <w:sz w:val="21"/>
                      <w:szCs w:val="21"/>
                      <w:vertAlign w:val="baseline"/>
                      <w:lang w:val="en-US" w:eastAsia="zh-CN" w:bidi="ar-SA"/>
                    </w:rPr>
                    <w:t>机房南面墙体外30cm（污物通道）</w:t>
                  </w:r>
                </w:p>
              </w:tc>
              <w:tc>
                <w:tcPr>
                  <w:tcW w:w="832" w:type="dxa"/>
                  <w:noWrap w:val="0"/>
                  <w:vAlign w:val="center"/>
                </w:tcPr>
                <w:p w14:paraId="229FE0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8.61E-08</w:t>
                  </w:r>
                </w:p>
              </w:tc>
              <w:tc>
                <w:tcPr>
                  <w:tcW w:w="858" w:type="dxa"/>
                  <w:noWrap w:val="0"/>
                  <w:vAlign w:val="center"/>
                </w:tcPr>
                <w:p w14:paraId="5E7B74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1.21E-02</w:t>
                  </w:r>
                </w:p>
              </w:tc>
              <w:tc>
                <w:tcPr>
                  <w:tcW w:w="682" w:type="dxa"/>
                  <w:noWrap w:val="0"/>
                  <w:vAlign w:val="center"/>
                </w:tcPr>
                <w:p w14:paraId="6878940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7F62567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6AEFA131">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1/4</w:t>
                  </w:r>
                </w:p>
              </w:tc>
              <w:tc>
                <w:tcPr>
                  <w:tcW w:w="1065" w:type="dxa"/>
                  <w:noWrap w:val="0"/>
                  <w:vAlign w:val="center"/>
                </w:tcPr>
                <w:p w14:paraId="21BA8D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8.61E-09</w:t>
                  </w:r>
                </w:p>
              </w:tc>
              <w:tc>
                <w:tcPr>
                  <w:tcW w:w="1065" w:type="dxa"/>
                  <w:noWrap w:val="0"/>
                  <w:vAlign w:val="center"/>
                </w:tcPr>
                <w:p w14:paraId="11D853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8.06E-05</w:t>
                  </w:r>
                </w:p>
              </w:tc>
              <w:tc>
                <w:tcPr>
                  <w:tcW w:w="1035" w:type="dxa"/>
                  <w:noWrap w:val="0"/>
                  <w:vAlign w:val="center"/>
                </w:tcPr>
                <w:p w14:paraId="48B56C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8.07E-05</w:t>
                  </w:r>
                </w:p>
              </w:tc>
            </w:tr>
            <w:tr w14:paraId="5A06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6EA7993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12</w:t>
                  </w:r>
                </w:p>
              </w:tc>
              <w:tc>
                <w:tcPr>
                  <w:tcW w:w="1648" w:type="dxa"/>
                  <w:gridSpan w:val="2"/>
                  <w:noWrap w:val="0"/>
                  <w:vAlign w:val="center"/>
                </w:tcPr>
                <w:p w14:paraId="1FD0A5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kern w:val="2"/>
                      <w:position w:val="0"/>
                      <w:sz w:val="21"/>
                      <w:szCs w:val="21"/>
                      <w:lang w:val="en-US" w:eastAsia="zh-CN" w:bidi="ar-SA"/>
                    </w:rPr>
                    <w:t>机房南面墙体外30cm（设备间）</w:t>
                  </w:r>
                </w:p>
              </w:tc>
              <w:tc>
                <w:tcPr>
                  <w:tcW w:w="832" w:type="dxa"/>
                  <w:noWrap w:val="0"/>
                  <w:vAlign w:val="center"/>
                </w:tcPr>
                <w:p w14:paraId="7862D7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1.64E-07</w:t>
                  </w:r>
                </w:p>
              </w:tc>
              <w:tc>
                <w:tcPr>
                  <w:tcW w:w="858" w:type="dxa"/>
                  <w:noWrap w:val="0"/>
                  <w:vAlign w:val="center"/>
                </w:tcPr>
                <w:p w14:paraId="3837DE6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2.31E-02</w:t>
                  </w:r>
                </w:p>
              </w:tc>
              <w:tc>
                <w:tcPr>
                  <w:tcW w:w="682" w:type="dxa"/>
                  <w:noWrap w:val="0"/>
                  <w:vAlign w:val="center"/>
                </w:tcPr>
                <w:p w14:paraId="1921C26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3FA0789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3FCFF2B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1/16</w:t>
                  </w:r>
                </w:p>
              </w:tc>
              <w:tc>
                <w:tcPr>
                  <w:tcW w:w="1065" w:type="dxa"/>
                  <w:noWrap w:val="0"/>
                  <w:vAlign w:val="center"/>
                </w:tcPr>
                <w:p w14:paraId="267CD5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4.10E-09</w:t>
                  </w:r>
                </w:p>
              </w:tc>
              <w:tc>
                <w:tcPr>
                  <w:tcW w:w="1065" w:type="dxa"/>
                  <w:noWrap w:val="0"/>
                  <w:vAlign w:val="center"/>
                </w:tcPr>
                <w:p w14:paraId="701163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3.85E-05</w:t>
                  </w:r>
                </w:p>
              </w:tc>
              <w:tc>
                <w:tcPr>
                  <w:tcW w:w="1035" w:type="dxa"/>
                  <w:noWrap w:val="0"/>
                  <w:vAlign w:val="center"/>
                </w:tcPr>
                <w:p w14:paraId="7ED169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3.85E-05</w:t>
                  </w:r>
                </w:p>
              </w:tc>
            </w:tr>
            <w:tr w14:paraId="57E6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3031C8B5">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13</w:t>
                  </w:r>
                </w:p>
              </w:tc>
              <w:tc>
                <w:tcPr>
                  <w:tcW w:w="1648" w:type="dxa"/>
                  <w:gridSpan w:val="2"/>
                  <w:noWrap w:val="0"/>
                  <w:vAlign w:val="center"/>
                </w:tcPr>
                <w:p w14:paraId="5DCCD5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拟建机房楼上100cm（神经外科病房）</w:t>
                  </w:r>
                </w:p>
              </w:tc>
              <w:tc>
                <w:tcPr>
                  <w:tcW w:w="832" w:type="dxa"/>
                  <w:noWrap w:val="0"/>
                  <w:vAlign w:val="center"/>
                </w:tcPr>
                <w:p w14:paraId="118C2B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2.19E-10</w:t>
                  </w:r>
                </w:p>
              </w:tc>
              <w:tc>
                <w:tcPr>
                  <w:tcW w:w="858" w:type="dxa"/>
                  <w:noWrap w:val="0"/>
                  <w:vAlign w:val="center"/>
                </w:tcPr>
                <w:p w14:paraId="2D28AAB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5.21E-04</w:t>
                  </w:r>
                </w:p>
              </w:tc>
              <w:tc>
                <w:tcPr>
                  <w:tcW w:w="682" w:type="dxa"/>
                  <w:noWrap w:val="0"/>
                  <w:vAlign w:val="center"/>
                </w:tcPr>
                <w:p w14:paraId="488B86B0">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0F5CE038">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7AC387BE">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078BD4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8.76E-11</w:t>
                  </w:r>
                </w:p>
              </w:tc>
              <w:tc>
                <w:tcPr>
                  <w:tcW w:w="1065" w:type="dxa"/>
                  <w:noWrap w:val="0"/>
                  <w:vAlign w:val="center"/>
                </w:tcPr>
                <w:p w14:paraId="3281AE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1.39E-05</w:t>
                  </w:r>
                </w:p>
              </w:tc>
              <w:tc>
                <w:tcPr>
                  <w:tcW w:w="1035" w:type="dxa"/>
                  <w:noWrap w:val="0"/>
                  <w:vAlign w:val="center"/>
                </w:tcPr>
                <w:p w14:paraId="4777FE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1.39E-05</w:t>
                  </w:r>
                </w:p>
              </w:tc>
            </w:tr>
            <w:tr w14:paraId="027D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5" w:type="dxa"/>
                  <w:noWrap w:val="0"/>
                  <w:vAlign w:val="center"/>
                </w:tcPr>
                <w:p w14:paraId="6B41A286">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14</w:t>
                  </w:r>
                </w:p>
              </w:tc>
              <w:tc>
                <w:tcPr>
                  <w:tcW w:w="1648" w:type="dxa"/>
                  <w:gridSpan w:val="2"/>
                  <w:noWrap w:val="0"/>
                  <w:vAlign w:val="center"/>
                </w:tcPr>
                <w:p w14:paraId="40E4A6F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lang w:val="en-US" w:eastAsia="zh-CN"/>
                    </w:rPr>
                    <w:t>拟建机房楼下1.7m（器械预清洗/敷料打包/库房/2号手术室）</w:t>
                  </w:r>
                </w:p>
              </w:tc>
              <w:tc>
                <w:tcPr>
                  <w:tcW w:w="832" w:type="dxa"/>
                  <w:noWrap w:val="0"/>
                  <w:vAlign w:val="center"/>
                </w:tcPr>
                <w:p w14:paraId="7E66B31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7.79E-10</w:t>
                  </w:r>
                </w:p>
              </w:tc>
              <w:tc>
                <w:tcPr>
                  <w:tcW w:w="858" w:type="dxa"/>
                  <w:noWrap w:val="0"/>
                  <w:vAlign w:val="center"/>
                </w:tcPr>
                <w:p w14:paraId="2A5D31B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9.71E-04</w:t>
                  </w:r>
                </w:p>
              </w:tc>
              <w:tc>
                <w:tcPr>
                  <w:tcW w:w="682" w:type="dxa"/>
                  <w:noWrap w:val="0"/>
                  <w:vAlign w:val="center"/>
                </w:tcPr>
                <w:p w14:paraId="70F943EB">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pacing w:val="0"/>
                      <w:position w:val="0"/>
                      <w:sz w:val="21"/>
                      <w:szCs w:val="21"/>
                      <w:lang w:val="en-US" w:eastAsia="zh-CN"/>
                    </w:rPr>
                    <w:t>400</w:t>
                  </w:r>
                </w:p>
              </w:tc>
              <w:tc>
                <w:tcPr>
                  <w:tcW w:w="705" w:type="dxa"/>
                  <w:noWrap w:val="0"/>
                  <w:vAlign w:val="center"/>
                </w:tcPr>
                <w:p w14:paraId="05BFA507">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26.66</w:t>
                  </w:r>
                </w:p>
              </w:tc>
              <w:tc>
                <w:tcPr>
                  <w:tcW w:w="615" w:type="dxa"/>
                  <w:noWrap w:val="0"/>
                  <w:vAlign w:val="center"/>
                </w:tcPr>
                <w:p w14:paraId="1A5E3DBD">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lang w:val="en-US" w:eastAsia="zh-CN"/>
                    </w:rPr>
                    <w:t>1</w:t>
                  </w:r>
                </w:p>
              </w:tc>
              <w:tc>
                <w:tcPr>
                  <w:tcW w:w="1065" w:type="dxa"/>
                  <w:noWrap w:val="0"/>
                  <w:vAlign w:val="center"/>
                </w:tcPr>
                <w:p w14:paraId="58104D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3.12E-10</w:t>
                  </w:r>
                </w:p>
              </w:tc>
              <w:tc>
                <w:tcPr>
                  <w:tcW w:w="1065" w:type="dxa"/>
                  <w:noWrap w:val="0"/>
                  <w:vAlign w:val="center"/>
                </w:tcPr>
                <w:p w14:paraId="7B5774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2.59E-05</w:t>
                  </w:r>
                </w:p>
              </w:tc>
              <w:tc>
                <w:tcPr>
                  <w:tcW w:w="1035" w:type="dxa"/>
                  <w:noWrap w:val="0"/>
                  <w:vAlign w:val="center"/>
                </w:tcPr>
                <w:p w14:paraId="396DA9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2.59E-05</w:t>
                  </w:r>
                </w:p>
              </w:tc>
            </w:tr>
          </w:tbl>
          <w:p w14:paraId="6F781E2A">
            <w:pPr>
              <w:pStyle w:val="33"/>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caps w:val="0"/>
                <w:color w:val="auto"/>
                <w:spacing w:val="0"/>
                <w:position w:val="0"/>
                <w:sz w:val="24"/>
                <w:szCs w:val="24"/>
                <w:highlight w:val="none"/>
                <w:lang w:val="en-US" w:eastAsia="zh-CN"/>
              </w:rPr>
            </w:pPr>
            <w:r>
              <w:rPr>
                <w:rFonts w:hint="default" w:ascii="Times New Roman" w:hAnsi="Times New Roman" w:eastAsia="宋体" w:cs="Times New Roman"/>
                <w:b w:val="0"/>
                <w:bCs/>
                <w:caps w:val="0"/>
                <w:color w:val="auto"/>
                <w:spacing w:val="0"/>
                <w:position w:val="0"/>
                <w:sz w:val="24"/>
                <w:szCs w:val="24"/>
                <w:highlight w:val="none"/>
                <w:lang w:val="en-US"/>
              </w:rPr>
              <w:t>由表</w:t>
            </w:r>
            <w:r>
              <w:rPr>
                <w:rFonts w:hint="default" w:ascii="Times New Roman" w:hAnsi="Times New Roman" w:eastAsia="宋体" w:cs="Times New Roman"/>
                <w:b w:val="0"/>
                <w:bCs/>
                <w:caps w:val="0"/>
                <w:color w:val="auto"/>
                <w:spacing w:val="0"/>
                <w:position w:val="0"/>
                <w:sz w:val="24"/>
                <w:szCs w:val="24"/>
                <w:highlight w:val="none"/>
                <w:lang w:val="en-US" w:eastAsia="zh-CN"/>
              </w:rPr>
              <w:t>11-4</w:t>
            </w:r>
            <w:r>
              <w:rPr>
                <w:rFonts w:hint="default" w:ascii="Times New Roman" w:hAnsi="Times New Roman" w:eastAsia="宋体" w:cs="Times New Roman"/>
                <w:b w:val="0"/>
                <w:bCs/>
                <w:caps w:val="0"/>
                <w:color w:val="auto"/>
                <w:spacing w:val="0"/>
                <w:position w:val="0"/>
                <w:sz w:val="24"/>
                <w:szCs w:val="24"/>
                <w:highlight w:val="none"/>
                <w:lang w:val="en-US"/>
              </w:rPr>
              <w:t>可知，</w:t>
            </w:r>
            <w:r>
              <w:rPr>
                <w:rFonts w:hint="default" w:ascii="Times New Roman" w:hAnsi="Times New Roman" w:eastAsia="宋体" w:cs="Times New Roman"/>
                <w:b w:val="0"/>
                <w:bCs/>
                <w:caps w:val="0"/>
                <w:color w:val="auto"/>
                <w:spacing w:val="0"/>
                <w:position w:val="0"/>
                <w:sz w:val="24"/>
                <w:szCs w:val="24"/>
                <w:highlight w:val="none"/>
                <w:lang w:val="en-US" w:eastAsia="zh-CN"/>
              </w:rPr>
              <w:t>控制室内人员均为本项目相关技术人员，以控制室铅玻璃外30cm点位作为本项目操作室辐射工作人员受照剂量预测点位，则本项目肝胆科、介入科、心内科操作技师和护士的年有效剂量最大估算值分别为1.65E-04mSv/a、4.39E-04mSv/a、2.74E-04mSv/a，小于剂量约束值5.0mSv/a的要求；本项目DSA手术室周边的公众年有效剂量最大估算值为</w:t>
            </w:r>
            <w:r>
              <w:rPr>
                <w:rFonts w:hint="eastAsia" w:hAnsi="Times New Roman" w:cs="Times New Roman"/>
                <w:b w:val="0"/>
                <w:bCs/>
                <w:caps w:val="0"/>
                <w:color w:val="auto"/>
                <w:spacing w:val="0"/>
                <w:position w:val="0"/>
                <w:sz w:val="24"/>
                <w:szCs w:val="24"/>
                <w:highlight w:val="none"/>
                <w:lang w:val="en-US" w:eastAsia="zh-CN"/>
              </w:rPr>
              <w:t>2.39</w:t>
            </w:r>
            <w:r>
              <w:rPr>
                <w:rFonts w:hint="default" w:ascii="Times New Roman" w:hAnsi="Times New Roman" w:eastAsia="宋体" w:cs="Times New Roman"/>
                <w:b w:val="0"/>
                <w:bCs/>
                <w:color w:val="auto"/>
                <w:spacing w:val="0"/>
                <w:position w:val="0"/>
                <w:sz w:val="24"/>
                <w:szCs w:val="24"/>
                <w:highlight w:val="none"/>
                <w:vertAlign w:val="baseline"/>
                <w:lang w:val="en-US" w:eastAsia="zh-CN"/>
              </w:rPr>
              <w:t>E-04</w:t>
            </w:r>
            <w:r>
              <w:rPr>
                <w:rFonts w:hint="default" w:ascii="Times New Roman" w:hAnsi="Times New Roman" w:eastAsia="宋体" w:cs="Times New Roman"/>
                <w:b w:val="0"/>
                <w:bCs/>
                <w:caps w:val="0"/>
                <w:color w:val="auto"/>
                <w:spacing w:val="0"/>
                <w:position w:val="0"/>
                <w:sz w:val="24"/>
                <w:szCs w:val="24"/>
                <w:highlight w:val="none"/>
                <w:lang w:val="en-US" w:eastAsia="zh-CN"/>
              </w:rPr>
              <w:t>mSv/a，小于剂量约束值0.25mSv/a的要求。</w:t>
            </w:r>
          </w:p>
          <w:p w14:paraId="74423093">
            <w:pPr>
              <w:pStyle w:val="3"/>
              <w:keepNext w:val="0"/>
              <w:keepLines w:val="0"/>
              <w:pageBreakBefore w:val="0"/>
              <w:widowControl w:val="0"/>
              <w:suppressLineNumbers w:val="0"/>
              <w:kinsoku/>
              <w:wordWrap/>
              <w:overflowPunct/>
              <w:topLinePunct w:val="0"/>
              <w:bidi w:val="0"/>
              <w:adjustRightInd/>
              <w:snapToGrid w:val="0"/>
              <w:spacing w:before="0" w:beforeAutospacing="0" w:after="0" w:afterAutospacing="0" w:line="360" w:lineRule="auto"/>
              <w:ind w:leftChars="0" w:firstLine="480" w:firstLineChars="200"/>
              <w:textAlignment w:val="auto"/>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b w:val="0"/>
                <w:bCs/>
                <w:caps w:val="0"/>
                <w:color w:val="auto"/>
                <w:spacing w:val="0"/>
                <w:position w:val="0"/>
                <w:sz w:val="24"/>
                <w:szCs w:val="24"/>
                <w:highlight w:val="none"/>
              </w:rPr>
              <w:t>根据剂量率与距离成平方反比的关系，距离机房越远，辐射剂量率越低，在机房外50</w:t>
            </w:r>
            <w:r>
              <w:rPr>
                <w:rFonts w:hint="default" w:ascii="Times New Roman" w:hAnsi="Times New Roman" w:eastAsia="宋体" w:cs="Times New Roman"/>
                <w:b w:val="0"/>
                <w:bCs/>
                <w:caps w:val="0"/>
                <w:color w:val="auto"/>
                <w:spacing w:val="0"/>
                <w:position w:val="0"/>
                <w:sz w:val="24"/>
                <w:szCs w:val="24"/>
                <w:highlight w:val="none"/>
                <w:lang w:val="en-US" w:eastAsia="zh-CN"/>
              </w:rPr>
              <w:t>m</w:t>
            </w:r>
            <w:r>
              <w:rPr>
                <w:rFonts w:hint="default" w:ascii="Times New Roman" w:hAnsi="Times New Roman" w:eastAsia="宋体" w:cs="Times New Roman"/>
                <w:b w:val="0"/>
                <w:bCs/>
                <w:caps w:val="0"/>
                <w:color w:val="auto"/>
                <w:spacing w:val="0"/>
                <w:position w:val="0"/>
                <w:sz w:val="24"/>
                <w:szCs w:val="24"/>
                <w:highlight w:val="none"/>
              </w:rPr>
              <w:t>范围，</w:t>
            </w:r>
            <w:r>
              <w:rPr>
                <w:rFonts w:hint="default" w:ascii="Times New Roman" w:hAnsi="Times New Roman" w:eastAsia="宋体" w:cs="Times New Roman"/>
                <w:b w:val="0"/>
                <w:bCs/>
                <w:caps w:val="0"/>
                <w:color w:val="auto"/>
                <w:spacing w:val="0"/>
                <w:position w:val="0"/>
                <w:sz w:val="24"/>
                <w:szCs w:val="24"/>
                <w:highlight w:val="none"/>
                <w:lang w:val="en-US" w:eastAsia="zh-CN"/>
              </w:rPr>
              <w:t>辐射</w:t>
            </w:r>
            <w:r>
              <w:rPr>
                <w:rFonts w:hint="default" w:ascii="Times New Roman" w:hAnsi="Times New Roman" w:eastAsia="宋体" w:cs="Times New Roman"/>
                <w:b w:val="0"/>
                <w:bCs/>
                <w:caps w:val="0"/>
                <w:color w:val="auto"/>
                <w:spacing w:val="0"/>
                <w:position w:val="0"/>
                <w:sz w:val="24"/>
                <w:szCs w:val="24"/>
                <w:highlight w:val="none"/>
              </w:rPr>
              <w:t>剂量率更低，因此</w:t>
            </w:r>
            <w:r>
              <w:rPr>
                <w:rFonts w:hint="default" w:ascii="Times New Roman" w:hAnsi="Times New Roman" w:eastAsia="宋体" w:cs="Times New Roman"/>
                <w:b w:val="0"/>
                <w:bCs/>
                <w:caps w:val="0"/>
                <w:color w:val="auto"/>
                <w:spacing w:val="0"/>
                <w:position w:val="0"/>
                <w:sz w:val="24"/>
                <w:szCs w:val="24"/>
                <w:highlight w:val="none"/>
                <w:lang w:val="en-US" w:eastAsia="zh-CN"/>
              </w:rPr>
              <w:t>本项目</w:t>
            </w:r>
            <w:r>
              <w:rPr>
                <w:rFonts w:hint="default" w:ascii="Times New Roman" w:hAnsi="Times New Roman" w:eastAsia="宋体" w:cs="Times New Roman"/>
                <w:b w:val="0"/>
                <w:bCs/>
                <w:caps w:val="0"/>
                <w:color w:val="auto"/>
                <w:spacing w:val="0"/>
                <w:position w:val="0"/>
                <w:sz w:val="24"/>
                <w:szCs w:val="24"/>
                <w:highlight w:val="none"/>
              </w:rPr>
              <w:t>50</w:t>
            </w:r>
            <w:r>
              <w:rPr>
                <w:rFonts w:hint="default" w:ascii="Times New Roman" w:hAnsi="Times New Roman" w:eastAsia="宋体" w:cs="Times New Roman"/>
                <w:b w:val="0"/>
                <w:bCs/>
                <w:caps w:val="0"/>
                <w:color w:val="auto"/>
                <w:spacing w:val="0"/>
                <w:position w:val="0"/>
                <w:sz w:val="24"/>
                <w:szCs w:val="24"/>
                <w:highlight w:val="none"/>
                <w:lang w:eastAsia="zh-CN"/>
              </w:rPr>
              <w:t>m</w:t>
            </w:r>
            <w:r>
              <w:rPr>
                <w:rFonts w:hint="default" w:ascii="Times New Roman" w:hAnsi="Times New Roman" w:eastAsia="宋体" w:cs="Times New Roman"/>
                <w:b w:val="0"/>
                <w:bCs/>
                <w:caps w:val="0"/>
                <w:color w:val="auto"/>
                <w:spacing w:val="0"/>
                <w:position w:val="0"/>
                <w:sz w:val="24"/>
                <w:szCs w:val="24"/>
                <w:highlight w:val="none"/>
              </w:rPr>
              <w:t>范围内</w:t>
            </w:r>
            <w:r>
              <w:rPr>
                <w:rFonts w:hint="default" w:ascii="Times New Roman" w:hAnsi="Times New Roman" w:eastAsia="宋体" w:cs="Times New Roman"/>
                <w:b w:val="0"/>
                <w:bCs/>
                <w:caps w:val="0"/>
                <w:color w:val="auto"/>
                <w:spacing w:val="0"/>
                <w:position w:val="0"/>
                <w:sz w:val="24"/>
                <w:szCs w:val="24"/>
                <w:highlight w:val="none"/>
                <w:lang w:eastAsia="zh-CN"/>
              </w:rPr>
              <w:t>其他</w:t>
            </w:r>
            <w:r>
              <w:rPr>
                <w:rFonts w:hint="default" w:ascii="Times New Roman" w:hAnsi="Times New Roman" w:eastAsia="宋体" w:cs="Times New Roman"/>
                <w:b w:val="0"/>
                <w:bCs/>
                <w:caps w:val="0"/>
                <w:color w:val="auto"/>
                <w:spacing w:val="0"/>
                <w:position w:val="0"/>
                <w:sz w:val="24"/>
                <w:szCs w:val="24"/>
                <w:highlight w:val="none"/>
              </w:rPr>
              <w:t>公众年有效剂量</w:t>
            </w:r>
            <w:r>
              <w:rPr>
                <w:rFonts w:hint="default" w:ascii="Times New Roman" w:hAnsi="Times New Roman" w:eastAsia="宋体" w:cs="Times New Roman"/>
                <w:b w:val="0"/>
                <w:bCs/>
                <w:caps w:val="0"/>
                <w:color w:val="auto"/>
                <w:spacing w:val="0"/>
                <w:position w:val="0"/>
                <w:sz w:val="24"/>
                <w:szCs w:val="24"/>
                <w:highlight w:val="none"/>
                <w:lang w:val="en-US" w:eastAsia="zh-CN"/>
              </w:rPr>
              <w:t>小于</w:t>
            </w:r>
            <w:r>
              <w:rPr>
                <w:rFonts w:hint="default" w:ascii="Times New Roman" w:hAnsi="Times New Roman" w:eastAsia="宋体" w:cs="Times New Roman"/>
                <w:b w:val="0"/>
                <w:bCs/>
                <w:color w:val="auto"/>
                <w:spacing w:val="0"/>
                <w:position w:val="0"/>
                <w:sz w:val="24"/>
                <w:szCs w:val="24"/>
                <w:highlight w:val="none"/>
                <w:vertAlign w:val="baseline"/>
                <w:lang w:val="en-US" w:eastAsia="zh-CN"/>
              </w:rPr>
              <w:t>2.39E-04</w:t>
            </w:r>
            <w:r>
              <w:rPr>
                <w:rFonts w:hint="default" w:ascii="Times New Roman" w:hAnsi="Times New Roman" w:eastAsia="宋体" w:cs="Times New Roman"/>
                <w:b w:val="0"/>
                <w:bCs/>
                <w:caps w:val="0"/>
                <w:color w:val="auto"/>
                <w:spacing w:val="0"/>
                <w:position w:val="0"/>
                <w:sz w:val="24"/>
                <w:szCs w:val="24"/>
                <w:highlight w:val="none"/>
                <w:lang w:val="en-US" w:eastAsia="zh-CN"/>
              </w:rPr>
              <w:t>mSv/a，可满足《电离辐射防护与辐射源安全基本标准》（GB18871-2002）对公众人员年有效剂量不超过5.0mSv的限值要求，也满足本项目设定的公众人员年有效剂量不超过0.25mSv的剂量约束值要求。</w:t>
            </w:r>
          </w:p>
          <w:p w14:paraId="1C8CA82C">
            <w:pPr>
              <w:pStyle w:val="19"/>
              <w:keepNext w:val="0"/>
              <w:keepLines w:val="0"/>
              <w:pageBreakBefore w:val="0"/>
              <w:widowControl w:val="0"/>
              <w:numPr>
                <w:ilvl w:val="0"/>
                <w:numId w:val="0"/>
              </w:numPr>
              <w:suppressLineNumbers w:val="0"/>
              <w:kinsoku/>
              <w:wordWrap/>
              <w:overflowPunct/>
              <w:topLinePunct w:val="0"/>
              <w:bidi w:val="0"/>
              <w:adjustRightInd/>
              <w:snapToGrid w:val="0"/>
              <w:spacing w:before="0" w:beforeAutospacing="0" w:after="0" w:afterAutospacing="0" w:line="360" w:lineRule="auto"/>
              <w:ind w:leftChars="0" w:right="0" w:rightChars="0" w:firstLine="482" w:firstLineChars="200"/>
              <w:textAlignment w:val="auto"/>
              <w:rPr>
                <w:rFonts w:hint="default" w:ascii="Times New Roman" w:hAnsi="Times New Roman" w:eastAsia="宋体" w:cs="Times New Roman"/>
                <w:b/>
                <w:color w:val="auto"/>
                <w:spacing w:val="0"/>
                <w:position w:val="0"/>
                <w:sz w:val="24"/>
                <w:szCs w:val="24"/>
              </w:rPr>
            </w:pPr>
            <w:r>
              <w:rPr>
                <w:rFonts w:hint="default" w:ascii="Times New Roman" w:hAnsi="Times New Roman" w:eastAsia="宋体" w:cs="Times New Roman"/>
                <w:b/>
                <w:color w:val="auto"/>
                <w:spacing w:val="0"/>
                <w:position w:val="0"/>
                <w:sz w:val="24"/>
                <w:szCs w:val="24"/>
                <w:lang w:val="en-US" w:eastAsia="zh-CN"/>
              </w:rPr>
              <w:t>②介入手术医生</w:t>
            </w:r>
            <w:r>
              <w:rPr>
                <w:rFonts w:hint="default" w:ascii="Times New Roman" w:hAnsi="Times New Roman" w:eastAsia="宋体" w:cs="Times New Roman"/>
                <w:b/>
                <w:color w:val="auto"/>
                <w:spacing w:val="0"/>
                <w:position w:val="0"/>
                <w:sz w:val="24"/>
                <w:szCs w:val="24"/>
              </w:rPr>
              <w:t>受照射剂量估算</w:t>
            </w:r>
          </w:p>
          <w:p w14:paraId="28D8849B">
            <w:pPr>
              <w:pStyle w:val="3"/>
              <w:keepNext w:val="0"/>
              <w:keepLines w:val="0"/>
              <w:pageBreakBefore w:val="0"/>
              <w:widowControl w:val="0"/>
              <w:suppressLineNumbers w:val="0"/>
              <w:kinsoku/>
              <w:wordWrap/>
              <w:overflowPunct/>
              <w:topLinePunct w:val="0"/>
              <w:bidi w:val="0"/>
              <w:adjustRightInd/>
              <w:snapToGrid w:val="0"/>
              <w:spacing w:before="0" w:beforeAutospacing="0" w:after="0" w:afterAutospacing="0" w:line="360" w:lineRule="auto"/>
              <w:ind w:leftChars="0" w:firstLine="480" w:firstLineChars="200"/>
              <w:textAlignment w:val="auto"/>
              <w:rPr>
                <w:rFonts w:hint="default" w:ascii="Times New Roman" w:hAnsi="Times New Roman" w:eastAsia="宋体" w:cs="Times New Roman"/>
                <w:b w:val="0"/>
                <w:bCs/>
                <w:caps w:val="0"/>
                <w:color w:val="auto"/>
                <w:spacing w:val="0"/>
                <w:position w:val="0"/>
                <w:sz w:val="24"/>
                <w:szCs w:val="24"/>
                <w:highlight w:val="none"/>
                <w:lang w:val="en-US" w:eastAsia="zh-CN"/>
              </w:rPr>
            </w:pPr>
            <w:r>
              <w:rPr>
                <w:rFonts w:hint="default" w:ascii="Times New Roman" w:hAnsi="Times New Roman" w:eastAsia="宋体" w:cs="Times New Roman"/>
                <w:b w:val="0"/>
                <w:bCs/>
                <w:caps w:val="0"/>
                <w:color w:val="auto"/>
                <w:spacing w:val="0"/>
                <w:position w:val="0"/>
                <w:sz w:val="24"/>
                <w:szCs w:val="24"/>
                <w:highlight w:val="none"/>
                <w:lang w:val="en-US" w:eastAsia="zh-CN"/>
              </w:rPr>
              <w:t>在减影状况下介入手术医生位于控制室内隔室操作，不在手术室内进行手术操作，在减影时取值参照控制室铅玻璃外30cm点位；在透视情况下介入手术医生位于机房内操作，计算结果见表11-5。</w:t>
            </w:r>
          </w:p>
          <w:p w14:paraId="1007B9A6">
            <w:pPr>
              <w:keepNext w:val="0"/>
              <w:keepLines w:val="0"/>
              <w:pageBreakBefore w:val="0"/>
              <w:widowControl w:val="0"/>
              <w:suppressLineNumbers w:val="0"/>
              <w:kinsoku/>
              <w:wordWrap/>
              <w:overflowPunct/>
              <w:topLinePunct w:val="0"/>
              <w:autoSpaceDE w:val="0"/>
              <w:autoSpaceDN w:val="0"/>
              <w:bidi w:val="0"/>
              <w:adjustRightInd/>
              <w:snapToGrid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0"/>
                <w:kern w:val="2"/>
                <w:sz w:val="21"/>
                <w:szCs w:val="21"/>
                <w:lang w:val="en-US" w:eastAsia="zh-CN" w:bidi="ar-SA"/>
              </w:rPr>
            </w:pPr>
            <w:r>
              <w:rPr>
                <w:rFonts w:hint="default" w:ascii="Times New Roman" w:hAnsi="Times New Roman" w:eastAsia="宋体" w:cs="Times New Roman"/>
                <w:b/>
                <w:color w:val="auto"/>
                <w:spacing w:val="0"/>
                <w:kern w:val="2"/>
                <w:sz w:val="21"/>
                <w:szCs w:val="21"/>
                <w:lang w:val="en-US" w:eastAsia="zh-CN" w:bidi="ar-SA"/>
              </w:rPr>
              <w:t>表11-5  DSA手术室介入手术医生年有效剂量估算结果</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1291"/>
              <w:gridCol w:w="1582"/>
              <w:gridCol w:w="1171"/>
              <w:gridCol w:w="1030"/>
              <w:gridCol w:w="700"/>
              <w:gridCol w:w="1306"/>
              <w:gridCol w:w="1400"/>
            </w:tblGrid>
            <w:tr w14:paraId="1593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18F6F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科室</w:t>
                  </w:r>
                </w:p>
              </w:tc>
              <w:tc>
                <w:tcPr>
                  <w:tcW w:w="7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D8CA6E">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关注点</w:t>
                  </w:r>
                </w:p>
              </w:tc>
              <w:tc>
                <w:tcPr>
                  <w:tcW w:w="1534"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B68DB2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关注点剂量率估值（μSv/h）</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A785D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年出束时长（h）</w:t>
                  </w:r>
                </w:p>
              </w:tc>
              <w:tc>
                <w:tcPr>
                  <w:tcW w:w="39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BED98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居留因子</w:t>
                  </w: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F40A9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年有效剂量（mSv/a）</w:t>
                  </w:r>
                </w:p>
              </w:tc>
              <w:tc>
                <w:tcPr>
                  <w:tcW w:w="7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7F07CE">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总年有效剂量（mSv/a）</w:t>
                  </w:r>
                </w:p>
              </w:tc>
            </w:tr>
            <w:tr w14:paraId="626A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restart"/>
                  <w:tcBorders>
                    <w:top w:val="single" w:color="auto" w:sz="4" w:space="0"/>
                    <w:left w:val="single" w:color="auto" w:sz="4" w:space="0"/>
                    <w:right w:val="single" w:color="auto" w:sz="4" w:space="0"/>
                    <w:tl2br w:val="nil"/>
                    <w:tr2bl w:val="nil"/>
                  </w:tcBorders>
                  <w:noWrap w:val="0"/>
                  <w:vAlign w:val="center"/>
                </w:tcPr>
                <w:p w14:paraId="489AEFA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肝胆科</w:t>
                  </w:r>
                </w:p>
              </w:tc>
              <w:tc>
                <w:tcPr>
                  <w:tcW w:w="719" w:type="pct"/>
                  <w:vMerge w:val="restart"/>
                  <w:tcBorders>
                    <w:top w:val="single" w:color="auto" w:sz="4" w:space="0"/>
                    <w:left w:val="single" w:color="auto" w:sz="4" w:space="0"/>
                    <w:right w:val="single" w:color="auto" w:sz="4" w:space="0"/>
                    <w:tl2br w:val="nil"/>
                    <w:tr2bl w:val="nil"/>
                  </w:tcBorders>
                  <w:noWrap w:val="0"/>
                  <w:vAlign w:val="center"/>
                </w:tcPr>
                <w:p w14:paraId="3F20921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第一术者位</w:t>
                  </w: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C9124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透视模式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62BC1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4.30E+01</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7890AF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75</w:t>
                  </w:r>
                </w:p>
              </w:tc>
              <w:tc>
                <w:tcPr>
                  <w:tcW w:w="390"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4A6450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 xml:space="preserve">1 </w:t>
                  </w: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7BFAA9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3.225</w:t>
                  </w:r>
                </w:p>
              </w:tc>
              <w:tc>
                <w:tcPr>
                  <w:tcW w:w="780"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B7EA40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3.225</w:t>
                  </w:r>
                </w:p>
              </w:tc>
            </w:tr>
            <w:tr w14:paraId="2CF1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102978D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continue"/>
                  <w:tcBorders>
                    <w:left w:val="single" w:color="auto" w:sz="4" w:space="0"/>
                    <w:bottom w:val="single" w:color="auto" w:sz="4" w:space="0"/>
                    <w:right w:val="single" w:color="auto" w:sz="4" w:space="0"/>
                    <w:tl2br w:val="nil"/>
                    <w:tr2bl w:val="nil"/>
                  </w:tcBorders>
                  <w:noWrap w:val="0"/>
                  <w:vAlign w:val="center"/>
                </w:tcPr>
                <w:p w14:paraId="16C8EB9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EB291E">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减影模式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FB289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3.29E-02</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A855A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5</w:t>
                  </w:r>
                </w:p>
              </w:tc>
              <w:tc>
                <w:tcPr>
                  <w:tcW w:w="390"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E16F9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E1AA3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1.645E-04</w:t>
                  </w:r>
                </w:p>
              </w:tc>
              <w:tc>
                <w:tcPr>
                  <w:tcW w:w="780"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B56F72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r>
            <w:tr w14:paraId="5D39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5E78C45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restart"/>
                  <w:tcBorders>
                    <w:top w:val="single" w:color="auto" w:sz="4" w:space="0"/>
                    <w:left w:val="single" w:color="auto" w:sz="4" w:space="0"/>
                    <w:right w:val="single" w:color="auto" w:sz="4" w:space="0"/>
                    <w:tl2br w:val="nil"/>
                    <w:tr2bl w:val="nil"/>
                  </w:tcBorders>
                  <w:noWrap w:val="0"/>
                  <w:vAlign w:val="center"/>
                </w:tcPr>
                <w:p w14:paraId="4C2531D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第二术者位</w:t>
                  </w: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17F68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透视模式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19EC13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6.23E+01</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BF6A6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75</w:t>
                  </w:r>
                </w:p>
              </w:tc>
              <w:tc>
                <w:tcPr>
                  <w:tcW w:w="390"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E25F12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w:t>
                  </w: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1688B9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4.530E-01</w:t>
                  </w:r>
                </w:p>
              </w:tc>
              <w:tc>
                <w:tcPr>
                  <w:tcW w:w="780"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BB6CFA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673</w:t>
                  </w:r>
                </w:p>
              </w:tc>
            </w:tr>
            <w:tr w14:paraId="5E80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2398799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continue"/>
                  <w:tcBorders>
                    <w:left w:val="single" w:color="auto" w:sz="4" w:space="0"/>
                    <w:right w:val="single" w:color="auto" w:sz="4" w:space="0"/>
                    <w:tl2br w:val="nil"/>
                    <w:tr2bl w:val="nil"/>
                  </w:tcBorders>
                  <w:noWrap w:val="0"/>
                  <w:vAlign w:val="center"/>
                </w:tcPr>
                <w:p w14:paraId="7DC22A1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EC1DBD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减影模式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552A8D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3.29E-02</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BC057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5</w:t>
                  </w:r>
                </w:p>
              </w:tc>
              <w:tc>
                <w:tcPr>
                  <w:tcW w:w="390"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B96963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425B7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1.645E-04</w:t>
                  </w:r>
                </w:p>
              </w:tc>
              <w:tc>
                <w:tcPr>
                  <w:tcW w:w="780"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2BFF93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r>
            <w:tr w14:paraId="0886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restart"/>
                  <w:tcBorders>
                    <w:left w:val="single" w:color="auto" w:sz="4" w:space="0"/>
                    <w:right w:val="single" w:color="auto" w:sz="4" w:space="0"/>
                    <w:tl2br w:val="nil"/>
                    <w:tr2bl w:val="nil"/>
                  </w:tcBorders>
                  <w:noWrap w:val="0"/>
                  <w:vAlign w:val="center"/>
                </w:tcPr>
                <w:p w14:paraId="3D85C94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介入科</w:t>
                  </w:r>
                </w:p>
              </w:tc>
              <w:tc>
                <w:tcPr>
                  <w:tcW w:w="719" w:type="pct"/>
                  <w:vMerge w:val="restart"/>
                  <w:tcBorders>
                    <w:left w:val="single" w:color="auto" w:sz="4" w:space="0"/>
                    <w:right w:val="single" w:color="auto" w:sz="4" w:space="0"/>
                    <w:tl2br w:val="nil"/>
                    <w:tr2bl w:val="nil"/>
                  </w:tcBorders>
                  <w:noWrap w:val="0"/>
                  <w:vAlign w:val="center"/>
                </w:tcPr>
                <w:p w14:paraId="52569A9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第一术者位</w:t>
                  </w: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67DEE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透视模式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4359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4.30E+01</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55117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200</w:t>
                  </w:r>
                </w:p>
              </w:tc>
              <w:tc>
                <w:tcPr>
                  <w:tcW w:w="390" w:type="pct"/>
                  <w:vMerge w:val="restart"/>
                  <w:tcBorders>
                    <w:top w:val="single" w:color="auto" w:sz="4" w:space="0"/>
                    <w:left w:val="single" w:color="auto" w:sz="4" w:space="0"/>
                    <w:right w:val="single" w:color="auto" w:sz="4" w:space="0"/>
                    <w:tl2br w:val="nil"/>
                    <w:tr2bl w:val="nil"/>
                  </w:tcBorders>
                  <w:noWrap w:val="0"/>
                  <w:vAlign w:val="center"/>
                </w:tcPr>
                <w:p w14:paraId="77444A3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w:t>
                  </w: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DFA6A3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8.6</w:t>
                  </w:r>
                </w:p>
              </w:tc>
              <w:tc>
                <w:tcPr>
                  <w:tcW w:w="780" w:type="pct"/>
                  <w:vMerge w:val="restart"/>
                  <w:tcBorders>
                    <w:top w:val="single" w:color="auto" w:sz="4" w:space="0"/>
                    <w:left w:val="single" w:color="auto" w:sz="4" w:space="0"/>
                    <w:right w:val="single" w:color="auto" w:sz="4" w:space="0"/>
                    <w:tl2br w:val="nil"/>
                    <w:tr2bl w:val="nil"/>
                  </w:tcBorders>
                  <w:noWrap w:val="0"/>
                  <w:vAlign w:val="center"/>
                </w:tcPr>
                <w:p w14:paraId="6FF5A32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8.6</w:t>
                  </w:r>
                </w:p>
              </w:tc>
            </w:tr>
            <w:tr w14:paraId="4FF4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2C12575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continue"/>
                  <w:tcBorders>
                    <w:left w:val="single" w:color="auto" w:sz="4" w:space="0"/>
                    <w:right w:val="single" w:color="auto" w:sz="4" w:space="0"/>
                    <w:tl2br w:val="nil"/>
                    <w:tr2bl w:val="nil"/>
                  </w:tcBorders>
                  <w:noWrap w:val="0"/>
                  <w:vAlign w:val="center"/>
                </w:tcPr>
                <w:p w14:paraId="3E81FFEE">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06485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减影模式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B04AD9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3.29E-02</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B1DB8A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13.33</w:t>
                  </w:r>
                </w:p>
              </w:tc>
              <w:tc>
                <w:tcPr>
                  <w:tcW w:w="390" w:type="pct"/>
                  <w:vMerge w:val="continue"/>
                  <w:tcBorders>
                    <w:left w:val="single" w:color="auto" w:sz="4" w:space="0"/>
                    <w:bottom w:val="single" w:color="auto" w:sz="4" w:space="0"/>
                    <w:right w:val="single" w:color="auto" w:sz="4" w:space="0"/>
                    <w:tl2br w:val="nil"/>
                    <w:tr2bl w:val="nil"/>
                  </w:tcBorders>
                  <w:noWrap w:val="0"/>
                  <w:vAlign w:val="center"/>
                </w:tcPr>
                <w:p w14:paraId="033561B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AA5536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4.386E-04</w:t>
                  </w:r>
                </w:p>
              </w:tc>
              <w:tc>
                <w:tcPr>
                  <w:tcW w:w="780" w:type="pct"/>
                  <w:vMerge w:val="continue"/>
                  <w:tcBorders>
                    <w:left w:val="single" w:color="auto" w:sz="4" w:space="0"/>
                    <w:bottom w:val="single" w:color="auto" w:sz="4" w:space="0"/>
                    <w:right w:val="single" w:color="auto" w:sz="4" w:space="0"/>
                    <w:tl2br w:val="nil"/>
                    <w:tr2bl w:val="nil"/>
                  </w:tcBorders>
                  <w:noWrap w:val="0"/>
                  <w:vAlign w:val="center"/>
                </w:tcPr>
                <w:p w14:paraId="48EAE0E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r>
            <w:tr w14:paraId="3D0B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0C3B930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restart"/>
                  <w:tcBorders>
                    <w:left w:val="single" w:color="auto" w:sz="4" w:space="0"/>
                    <w:right w:val="single" w:color="auto" w:sz="4" w:space="0"/>
                    <w:tl2br w:val="nil"/>
                    <w:tr2bl w:val="nil"/>
                  </w:tcBorders>
                  <w:noWrap w:val="0"/>
                  <w:vAlign w:val="center"/>
                </w:tcPr>
                <w:p w14:paraId="70D2795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第二术者位</w:t>
                  </w: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3FA78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透视模式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7CEE6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6.23E+01</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331949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200</w:t>
                  </w:r>
                </w:p>
              </w:tc>
              <w:tc>
                <w:tcPr>
                  <w:tcW w:w="390" w:type="pct"/>
                  <w:vMerge w:val="restart"/>
                  <w:tcBorders>
                    <w:top w:val="single" w:color="auto" w:sz="4" w:space="0"/>
                    <w:left w:val="single" w:color="auto" w:sz="4" w:space="0"/>
                    <w:right w:val="single" w:color="auto" w:sz="4" w:space="0"/>
                    <w:tl2br w:val="nil"/>
                    <w:tr2bl w:val="nil"/>
                  </w:tcBorders>
                  <w:noWrap w:val="0"/>
                  <w:vAlign w:val="center"/>
                </w:tcPr>
                <w:p w14:paraId="6BD7ED2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w:t>
                  </w: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BA5625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1.208</w:t>
                  </w:r>
                </w:p>
              </w:tc>
              <w:tc>
                <w:tcPr>
                  <w:tcW w:w="780" w:type="pct"/>
                  <w:vMerge w:val="restart"/>
                  <w:tcBorders>
                    <w:top w:val="single" w:color="auto" w:sz="4" w:space="0"/>
                    <w:left w:val="single" w:color="auto" w:sz="4" w:space="0"/>
                    <w:right w:val="single" w:color="auto" w:sz="4" w:space="0"/>
                    <w:tl2br w:val="nil"/>
                    <w:tr2bl w:val="nil"/>
                  </w:tcBorders>
                  <w:noWrap w:val="0"/>
                  <w:vAlign w:val="center"/>
                </w:tcPr>
                <w:p w14:paraId="1B37651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0"/>
                      <w:sz w:val="21"/>
                      <w:szCs w:val="21"/>
                      <w:u w:val="none"/>
                      <w:lang w:val="en-US" w:eastAsia="zh-CN" w:bidi="ar"/>
                    </w:rPr>
                    <w:t>12.46</w:t>
                  </w:r>
                </w:p>
              </w:tc>
            </w:tr>
            <w:tr w14:paraId="197E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2AD444F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continue"/>
                  <w:tcBorders>
                    <w:left w:val="single" w:color="auto" w:sz="4" w:space="0"/>
                    <w:right w:val="single" w:color="auto" w:sz="4" w:space="0"/>
                    <w:tl2br w:val="nil"/>
                    <w:tr2bl w:val="nil"/>
                  </w:tcBorders>
                  <w:noWrap w:val="0"/>
                  <w:vAlign w:val="center"/>
                </w:tcPr>
                <w:p w14:paraId="1EC01AA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7F3258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减影模式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85DEC5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3.29E-02</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D743D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13.33</w:t>
                  </w:r>
                </w:p>
              </w:tc>
              <w:tc>
                <w:tcPr>
                  <w:tcW w:w="390" w:type="pct"/>
                  <w:vMerge w:val="continue"/>
                  <w:tcBorders>
                    <w:left w:val="single" w:color="auto" w:sz="4" w:space="0"/>
                    <w:bottom w:val="single" w:color="auto" w:sz="4" w:space="0"/>
                    <w:right w:val="single" w:color="auto" w:sz="4" w:space="0"/>
                    <w:tl2br w:val="nil"/>
                    <w:tr2bl w:val="nil"/>
                  </w:tcBorders>
                  <w:noWrap w:val="0"/>
                  <w:vAlign w:val="center"/>
                </w:tcPr>
                <w:p w14:paraId="2EF0453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6E53B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4.386E-04</w:t>
                  </w:r>
                </w:p>
              </w:tc>
              <w:tc>
                <w:tcPr>
                  <w:tcW w:w="780" w:type="pct"/>
                  <w:vMerge w:val="continue"/>
                  <w:tcBorders>
                    <w:left w:val="single" w:color="auto" w:sz="4" w:space="0"/>
                    <w:bottom w:val="single" w:color="auto" w:sz="4" w:space="0"/>
                    <w:right w:val="single" w:color="auto" w:sz="4" w:space="0"/>
                    <w:tl2br w:val="nil"/>
                    <w:tr2bl w:val="nil"/>
                  </w:tcBorders>
                  <w:noWrap w:val="0"/>
                  <w:vAlign w:val="center"/>
                </w:tcPr>
                <w:p w14:paraId="3117E09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r>
            <w:tr w14:paraId="61BE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restart"/>
                  <w:tcBorders>
                    <w:left w:val="single" w:color="auto" w:sz="4" w:space="0"/>
                    <w:right w:val="single" w:color="auto" w:sz="4" w:space="0"/>
                    <w:tl2br w:val="nil"/>
                    <w:tr2bl w:val="nil"/>
                  </w:tcBorders>
                  <w:noWrap w:val="0"/>
                  <w:vAlign w:val="center"/>
                </w:tcPr>
                <w:p w14:paraId="3AE940A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心内科</w:t>
                  </w:r>
                </w:p>
              </w:tc>
              <w:tc>
                <w:tcPr>
                  <w:tcW w:w="719" w:type="pct"/>
                  <w:vMerge w:val="restart"/>
                  <w:tcBorders>
                    <w:left w:val="single" w:color="auto" w:sz="4" w:space="0"/>
                    <w:right w:val="single" w:color="auto" w:sz="4" w:space="0"/>
                    <w:tl2br w:val="nil"/>
                    <w:tr2bl w:val="nil"/>
                  </w:tcBorders>
                  <w:noWrap w:val="0"/>
                  <w:vAlign w:val="center"/>
                </w:tcPr>
                <w:p w14:paraId="2B528C0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第一术者位</w:t>
                  </w: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813CA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透视模式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E9466F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4.30E+01</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7EA64E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125</w:t>
                  </w:r>
                </w:p>
              </w:tc>
              <w:tc>
                <w:tcPr>
                  <w:tcW w:w="390" w:type="pct"/>
                  <w:vMerge w:val="restart"/>
                  <w:tcBorders>
                    <w:top w:val="single" w:color="auto" w:sz="4" w:space="0"/>
                    <w:left w:val="single" w:color="auto" w:sz="4" w:space="0"/>
                    <w:right w:val="single" w:color="auto" w:sz="4" w:space="0"/>
                    <w:tl2br w:val="nil"/>
                    <w:tr2bl w:val="nil"/>
                  </w:tcBorders>
                  <w:noWrap w:val="0"/>
                  <w:vAlign w:val="center"/>
                </w:tcPr>
                <w:p w14:paraId="1B98595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w:t>
                  </w: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9B4AC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5.375</w:t>
                  </w:r>
                </w:p>
              </w:tc>
              <w:tc>
                <w:tcPr>
                  <w:tcW w:w="780" w:type="pct"/>
                  <w:vMerge w:val="restart"/>
                  <w:tcBorders>
                    <w:top w:val="single" w:color="auto" w:sz="4" w:space="0"/>
                    <w:left w:val="single" w:color="auto" w:sz="4" w:space="0"/>
                    <w:right w:val="single" w:color="auto" w:sz="4" w:space="0"/>
                    <w:tl2br w:val="nil"/>
                    <w:tr2bl w:val="nil"/>
                  </w:tcBorders>
                  <w:noWrap w:val="0"/>
                  <w:vAlign w:val="center"/>
                </w:tcPr>
                <w:p w14:paraId="71424A8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5.375</w:t>
                  </w:r>
                </w:p>
              </w:tc>
            </w:tr>
            <w:tr w14:paraId="4B2F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71E35E2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continue"/>
                  <w:tcBorders>
                    <w:left w:val="single" w:color="auto" w:sz="4" w:space="0"/>
                    <w:right w:val="single" w:color="auto" w:sz="4" w:space="0"/>
                    <w:tl2br w:val="nil"/>
                    <w:tr2bl w:val="nil"/>
                  </w:tcBorders>
                  <w:noWrap w:val="0"/>
                  <w:vAlign w:val="center"/>
                </w:tcPr>
                <w:p w14:paraId="468E0A3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7F269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减影模式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94FFB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3.29E-02</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704DE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8.33</w:t>
                  </w:r>
                </w:p>
              </w:tc>
              <w:tc>
                <w:tcPr>
                  <w:tcW w:w="390" w:type="pct"/>
                  <w:vMerge w:val="continue"/>
                  <w:tcBorders>
                    <w:left w:val="single" w:color="auto" w:sz="4" w:space="0"/>
                    <w:bottom w:val="single" w:color="auto" w:sz="4" w:space="0"/>
                    <w:right w:val="single" w:color="auto" w:sz="4" w:space="0"/>
                    <w:tl2br w:val="nil"/>
                    <w:tr2bl w:val="nil"/>
                  </w:tcBorders>
                  <w:noWrap w:val="0"/>
                  <w:vAlign w:val="center"/>
                </w:tcPr>
                <w:p w14:paraId="7DD8D28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6B6B6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2.741E-04</w:t>
                  </w:r>
                </w:p>
              </w:tc>
              <w:tc>
                <w:tcPr>
                  <w:tcW w:w="780" w:type="pct"/>
                  <w:vMerge w:val="continue"/>
                  <w:tcBorders>
                    <w:left w:val="single" w:color="auto" w:sz="4" w:space="0"/>
                    <w:bottom w:val="single" w:color="auto" w:sz="4" w:space="0"/>
                    <w:right w:val="single" w:color="auto" w:sz="4" w:space="0"/>
                    <w:tl2br w:val="nil"/>
                    <w:tr2bl w:val="nil"/>
                  </w:tcBorders>
                  <w:noWrap w:val="0"/>
                  <w:vAlign w:val="center"/>
                </w:tcPr>
                <w:p w14:paraId="5CBFE4C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r>
            <w:tr w14:paraId="7620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right w:val="single" w:color="auto" w:sz="4" w:space="0"/>
                    <w:tl2br w:val="nil"/>
                    <w:tr2bl w:val="nil"/>
                  </w:tcBorders>
                  <w:noWrap w:val="0"/>
                  <w:vAlign w:val="center"/>
                </w:tcPr>
                <w:p w14:paraId="3A4AE02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restart"/>
                  <w:tcBorders>
                    <w:left w:val="single" w:color="auto" w:sz="4" w:space="0"/>
                    <w:right w:val="single" w:color="auto" w:sz="4" w:space="0"/>
                    <w:tl2br w:val="nil"/>
                    <w:tr2bl w:val="nil"/>
                  </w:tcBorders>
                  <w:noWrap w:val="0"/>
                  <w:vAlign w:val="center"/>
                </w:tcPr>
                <w:p w14:paraId="06DBBAC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第二术者位</w:t>
                  </w: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D7E5D6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透视模式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AE8D6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6.23E+01</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9F8A8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125</w:t>
                  </w:r>
                </w:p>
              </w:tc>
              <w:tc>
                <w:tcPr>
                  <w:tcW w:w="390" w:type="pct"/>
                  <w:vMerge w:val="restart"/>
                  <w:tcBorders>
                    <w:top w:val="single" w:color="auto" w:sz="4" w:space="0"/>
                    <w:left w:val="single" w:color="auto" w:sz="4" w:space="0"/>
                    <w:right w:val="single" w:color="auto" w:sz="4" w:space="0"/>
                    <w:tl2br w:val="nil"/>
                    <w:tr2bl w:val="nil"/>
                  </w:tcBorders>
                  <w:noWrap w:val="0"/>
                  <w:vAlign w:val="center"/>
                </w:tcPr>
                <w:p w14:paraId="52FB747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1</w:t>
                  </w: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F5DE8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7.550E-01</w:t>
                  </w:r>
                </w:p>
              </w:tc>
              <w:tc>
                <w:tcPr>
                  <w:tcW w:w="780" w:type="pct"/>
                  <w:vMerge w:val="restart"/>
                  <w:tcBorders>
                    <w:top w:val="single" w:color="auto" w:sz="4" w:space="0"/>
                    <w:left w:val="single" w:color="auto" w:sz="4" w:space="0"/>
                    <w:right w:val="single" w:color="auto" w:sz="4" w:space="0"/>
                    <w:tl2br w:val="nil"/>
                    <w:tr2bl w:val="nil"/>
                  </w:tcBorders>
                  <w:noWrap w:val="0"/>
                  <w:vAlign w:val="center"/>
                </w:tcPr>
                <w:p w14:paraId="635B03B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r>
                    <w:rPr>
                      <w:rFonts w:hint="eastAsia" w:cs="Times New Roman"/>
                      <w:i w:val="0"/>
                      <w:iCs w:val="0"/>
                      <w:color w:val="auto"/>
                      <w:kern w:val="0"/>
                      <w:sz w:val="21"/>
                      <w:szCs w:val="21"/>
                      <w:u w:val="none"/>
                      <w:lang w:val="en-US" w:eastAsia="zh-CN" w:bidi="ar"/>
                    </w:rPr>
                    <w:t>788</w:t>
                  </w:r>
                </w:p>
              </w:tc>
            </w:tr>
            <w:tr w14:paraId="5BFB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Merge w:val="continue"/>
                  <w:tcBorders>
                    <w:left w:val="single" w:color="auto" w:sz="4" w:space="0"/>
                    <w:bottom w:val="single" w:color="auto" w:sz="4" w:space="0"/>
                    <w:right w:val="single" w:color="auto" w:sz="4" w:space="0"/>
                    <w:tl2br w:val="nil"/>
                    <w:tr2bl w:val="nil"/>
                  </w:tcBorders>
                  <w:noWrap w:val="0"/>
                  <w:vAlign w:val="center"/>
                </w:tcPr>
                <w:p w14:paraId="1EF31A1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19" w:type="pct"/>
                  <w:vMerge w:val="continue"/>
                  <w:tcBorders>
                    <w:left w:val="single" w:color="auto" w:sz="4" w:space="0"/>
                    <w:bottom w:val="single" w:color="auto" w:sz="4" w:space="0"/>
                    <w:right w:val="single" w:color="auto" w:sz="4" w:space="0"/>
                    <w:tl2br w:val="nil"/>
                    <w:tr2bl w:val="nil"/>
                  </w:tcBorders>
                  <w:noWrap w:val="0"/>
                  <w:vAlign w:val="center"/>
                </w:tcPr>
                <w:p w14:paraId="249C33F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8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144F0D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减影模式</w:t>
                  </w:r>
                </w:p>
              </w:tc>
              <w:tc>
                <w:tcPr>
                  <w:tcW w:w="65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DCF34D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3.29E-02</w:t>
                  </w:r>
                </w:p>
              </w:tc>
              <w:tc>
                <w:tcPr>
                  <w:tcW w:w="57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44E290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r>
                    <w:rPr>
                      <w:rFonts w:hint="default" w:ascii="Times New Roman" w:hAnsi="Times New Roman" w:eastAsia="宋体" w:cs="Times New Roman"/>
                      <w:b w:val="0"/>
                      <w:bCs/>
                      <w:color w:val="auto"/>
                      <w:spacing w:val="0"/>
                      <w:kern w:val="2"/>
                      <w:sz w:val="21"/>
                      <w:szCs w:val="21"/>
                      <w:lang w:val="en-US" w:eastAsia="zh-CN" w:bidi="ar-SA"/>
                    </w:rPr>
                    <w:t>8.33</w:t>
                  </w:r>
                </w:p>
              </w:tc>
              <w:tc>
                <w:tcPr>
                  <w:tcW w:w="390" w:type="pct"/>
                  <w:vMerge w:val="continue"/>
                  <w:tcBorders>
                    <w:left w:val="single" w:color="auto" w:sz="4" w:space="0"/>
                    <w:bottom w:val="single" w:color="auto" w:sz="4" w:space="0"/>
                    <w:right w:val="single" w:color="auto" w:sz="4" w:space="0"/>
                    <w:tl2br w:val="nil"/>
                    <w:tr2bl w:val="nil"/>
                  </w:tcBorders>
                  <w:noWrap w:val="0"/>
                  <w:vAlign w:val="center"/>
                </w:tcPr>
                <w:p w14:paraId="20E109E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c>
                <w:tcPr>
                  <w:tcW w:w="72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F930F5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2.741E-04</w:t>
                  </w:r>
                </w:p>
              </w:tc>
              <w:tc>
                <w:tcPr>
                  <w:tcW w:w="780" w:type="pct"/>
                  <w:vMerge w:val="continue"/>
                  <w:tcBorders>
                    <w:left w:val="single" w:color="auto" w:sz="4" w:space="0"/>
                    <w:bottom w:val="single" w:color="auto" w:sz="4" w:space="0"/>
                    <w:right w:val="single" w:color="auto" w:sz="4" w:space="0"/>
                    <w:tl2br w:val="nil"/>
                    <w:tr2bl w:val="nil"/>
                  </w:tcBorders>
                  <w:noWrap w:val="0"/>
                  <w:vAlign w:val="center"/>
                </w:tcPr>
                <w:p w14:paraId="1D23A76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240" w:lineRule="auto"/>
                    <w:ind w:left="0" w:leftChars="0" w:right="0" w:rightChars="0" w:firstLine="0" w:firstLineChars="0"/>
                    <w:jc w:val="center"/>
                    <w:outlineLvl w:val="1"/>
                    <w:rPr>
                      <w:rFonts w:hint="default" w:ascii="Times New Roman" w:hAnsi="Times New Roman" w:eastAsia="宋体" w:cs="Times New Roman"/>
                      <w:b w:val="0"/>
                      <w:bCs/>
                      <w:color w:val="auto"/>
                      <w:spacing w:val="0"/>
                      <w:kern w:val="2"/>
                      <w:sz w:val="21"/>
                      <w:szCs w:val="21"/>
                      <w:lang w:val="en-US" w:eastAsia="zh-CN" w:bidi="ar-SA"/>
                    </w:rPr>
                  </w:pPr>
                </w:p>
              </w:tc>
            </w:tr>
          </w:tbl>
          <w:p w14:paraId="0BEC0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根据表11-</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rPr>
              <w:t>估算结果，本项目DSA运行所致</w:t>
            </w:r>
            <w:r>
              <w:rPr>
                <w:rFonts w:hint="default" w:ascii="Times New Roman" w:hAnsi="Times New Roman" w:eastAsia="宋体" w:cs="Times New Roman"/>
                <w:color w:val="auto"/>
                <w:lang w:val="en-US" w:eastAsia="zh-CN"/>
              </w:rPr>
              <w:t>肝胆科</w:t>
            </w:r>
            <w:r>
              <w:rPr>
                <w:rFonts w:hint="default" w:ascii="Times New Roman" w:hAnsi="Times New Roman" w:eastAsia="宋体" w:cs="Times New Roman"/>
                <w:color w:val="auto"/>
              </w:rPr>
              <w:t>第一术者位医生年有效剂量约为</w:t>
            </w:r>
            <w:r>
              <w:rPr>
                <w:rFonts w:hint="default" w:ascii="Times New Roman" w:hAnsi="Times New Roman" w:eastAsia="宋体" w:cs="Times New Roman"/>
                <w:color w:val="auto"/>
                <w:lang w:val="en-US" w:eastAsia="zh-CN"/>
              </w:rPr>
              <w:t>3.225</w:t>
            </w:r>
            <w:r>
              <w:rPr>
                <w:rFonts w:hint="default" w:ascii="Times New Roman" w:hAnsi="Times New Roman" w:eastAsia="宋体" w:cs="Times New Roman"/>
                <w:color w:val="auto"/>
              </w:rPr>
              <w:t>mSv、第二术者位医生年有效剂量约为</w:t>
            </w:r>
            <w:r>
              <w:rPr>
                <w:rFonts w:hint="eastAsia" w:cs="Times New Roman"/>
                <w:color w:val="auto"/>
                <w:lang w:val="en-US" w:eastAsia="zh-CN"/>
              </w:rPr>
              <w:t>4.673</w:t>
            </w:r>
            <w:r>
              <w:rPr>
                <w:rFonts w:hint="default" w:ascii="Times New Roman" w:hAnsi="Times New Roman" w:eastAsia="宋体" w:cs="Times New Roman"/>
                <w:color w:val="auto"/>
              </w:rPr>
              <w:t>mSv</w:t>
            </w:r>
            <w:r>
              <w:rPr>
                <w:rFonts w:hint="default" w:ascii="Times New Roman" w:hAnsi="Times New Roman" w:eastAsia="宋体" w:cs="Times New Roman"/>
                <w:color w:val="auto"/>
                <w:lang w:eastAsia="zh-CN"/>
              </w:rPr>
              <w:t>，所致</w:t>
            </w:r>
            <w:r>
              <w:rPr>
                <w:rFonts w:hint="default" w:ascii="Times New Roman" w:hAnsi="Times New Roman" w:eastAsia="宋体" w:cs="Times New Roman"/>
                <w:color w:val="auto"/>
                <w:lang w:val="en-US" w:eastAsia="zh-CN"/>
              </w:rPr>
              <w:t>介入科</w:t>
            </w:r>
            <w:r>
              <w:rPr>
                <w:rFonts w:hint="default" w:ascii="Times New Roman" w:hAnsi="Times New Roman" w:eastAsia="宋体" w:cs="Times New Roman"/>
                <w:color w:val="auto"/>
                <w:lang w:eastAsia="zh-CN"/>
              </w:rPr>
              <w:t>第一术者位医生年有效剂量约为</w:t>
            </w:r>
            <w:r>
              <w:rPr>
                <w:rFonts w:hint="default" w:ascii="Times New Roman" w:hAnsi="Times New Roman" w:eastAsia="宋体" w:cs="Times New Roman"/>
                <w:color w:val="auto"/>
                <w:lang w:val="en-US" w:eastAsia="zh-CN"/>
              </w:rPr>
              <w:t>8.6</w:t>
            </w:r>
            <w:r>
              <w:rPr>
                <w:rFonts w:hint="default" w:ascii="Times New Roman" w:hAnsi="Times New Roman" w:eastAsia="宋体" w:cs="Times New Roman"/>
                <w:color w:val="auto"/>
                <w:lang w:eastAsia="zh-CN"/>
              </w:rPr>
              <w:t>mSv、第二术者位医生年有效剂量约为</w:t>
            </w:r>
            <w:r>
              <w:rPr>
                <w:rFonts w:hint="default" w:ascii="Times New Roman" w:hAnsi="Times New Roman" w:eastAsia="宋体" w:cs="Times New Roman"/>
                <w:color w:val="auto"/>
                <w:lang w:val="en-US" w:eastAsia="zh-CN"/>
              </w:rPr>
              <w:t>1</w:t>
            </w:r>
            <w:r>
              <w:rPr>
                <w:rFonts w:hint="eastAsia" w:cs="Times New Roman"/>
                <w:color w:val="auto"/>
                <w:lang w:val="en-US" w:eastAsia="zh-CN"/>
              </w:rPr>
              <w:t>2.46</w:t>
            </w:r>
            <w:r>
              <w:rPr>
                <w:rFonts w:hint="default" w:ascii="Times New Roman" w:hAnsi="Times New Roman" w:eastAsia="宋体" w:cs="Times New Roman"/>
                <w:color w:val="auto"/>
                <w:lang w:eastAsia="zh-CN"/>
              </w:rPr>
              <w:t>mSv，所致</w:t>
            </w:r>
            <w:r>
              <w:rPr>
                <w:rFonts w:hint="default" w:ascii="Times New Roman" w:hAnsi="Times New Roman" w:eastAsia="宋体" w:cs="Times New Roman"/>
                <w:color w:val="auto"/>
                <w:lang w:val="en-US" w:eastAsia="zh-CN"/>
              </w:rPr>
              <w:t>心内科</w:t>
            </w:r>
            <w:r>
              <w:rPr>
                <w:rFonts w:hint="default" w:ascii="Times New Roman" w:hAnsi="Times New Roman" w:eastAsia="宋体" w:cs="Times New Roman"/>
                <w:color w:val="auto"/>
                <w:lang w:eastAsia="zh-CN"/>
              </w:rPr>
              <w:t>第一术者位医生年有效剂量约为</w:t>
            </w:r>
            <w:r>
              <w:rPr>
                <w:rFonts w:hint="default" w:ascii="Times New Roman" w:hAnsi="Times New Roman" w:eastAsia="宋体" w:cs="Times New Roman"/>
                <w:color w:val="auto"/>
                <w:lang w:val="en-US" w:eastAsia="zh-CN"/>
              </w:rPr>
              <w:t>5.375</w:t>
            </w:r>
            <w:r>
              <w:rPr>
                <w:rFonts w:hint="default" w:ascii="Times New Roman" w:hAnsi="Times New Roman" w:eastAsia="宋体" w:cs="Times New Roman"/>
                <w:color w:val="auto"/>
                <w:lang w:eastAsia="zh-CN"/>
              </w:rPr>
              <w:t>mSv、第二术者位医生年有效剂量约为</w:t>
            </w:r>
            <w:r>
              <w:rPr>
                <w:rFonts w:hint="eastAsia" w:cs="Times New Roman"/>
                <w:color w:val="auto"/>
                <w:lang w:val="en-US" w:eastAsia="zh-CN"/>
              </w:rPr>
              <w:t>7.788</w:t>
            </w:r>
            <w:r>
              <w:rPr>
                <w:rFonts w:hint="default" w:ascii="Times New Roman" w:hAnsi="Times New Roman" w:eastAsia="宋体" w:cs="Times New Roman"/>
                <w:color w:val="auto"/>
                <w:lang w:eastAsia="zh-CN"/>
              </w:rPr>
              <w:t>mSv。</w:t>
            </w:r>
            <w:r>
              <w:rPr>
                <w:rFonts w:hint="default" w:ascii="Times New Roman" w:hAnsi="Times New Roman" w:eastAsia="宋体" w:cs="Times New Roman"/>
                <w:color w:val="auto"/>
                <w:lang w:val="en-US" w:eastAsia="zh-CN"/>
              </w:rPr>
              <w:t>医院计划为本项目肝胆科配置手术医生3人、护士1人、操作人员（技师）1人，介入科配置手术医生12人、护士4人、操作人员（技师）3人，心内科配置手术医生4人、护士1人、操作人员（技师）1人，各个科室仅负责本科室的手术，不参与其他科室的辐射工作。</w:t>
            </w:r>
          </w:p>
          <w:p w14:paraId="43C85E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每台手术由2名手术医生、1名技师和1名护士组成，其中手术医生负责本项目DSA介入室的介入手术，分为第一手术位和第二手术位；技师负责在控制室操作射线装置，不进入机房；护士负责手术前准备、手术后清理工作。本项目所有辐射工作人员实行轮班排班制度。</w:t>
            </w:r>
          </w:p>
          <w:p w14:paraId="75BFFD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肝胆科3位手术医生轮流负责第一手术位和第二手术位，则平均后肝胆科3位手术医生年有效剂量为（3.225+</w:t>
            </w:r>
            <w:r>
              <w:rPr>
                <w:rFonts w:hint="eastAsia" w:cs="Times New Roman"/>
                <w:color w:val="auto"/>
                <w:lang w:val="en-US" w:eastAsia="zh-CN"/>
              </w:rPr>
              <w:t>4.673</w:t>
            </w:r>
            <w:r>
              <w:rPr>
                <w:rFonts w:hint="default" w:ascii="Times New Roman" w:hAnsi="Times New Roman" w:eastAsia="宋体" w:cs="Times New Roman"/>
                <w:color w:val="auto"/>
                <w:lang w:val="en-US" w:eastAsia="zh-CN"/>
              </w:rPr>
              <w:t>）/3=</w:t>
            </w:r>
            <w:r>
              <w:rPr>
                <w:rFonts w:hint="eastAsia" w:cs="Times New Roman"/>
                <w:color w:val="auto"/>
                <w:lang w:val="en-US" w:eastAsia="zh-CN"/>
              </w:rPr>
              <w:t>2.633</w:t>
            </w:r>
            <w:r>
              <w:rPr>
                <w:rFonts w:hint="default" w:ascii="Times New Roman" w:hAnsi="Times New Roman" w:eastAsia="宋体" w:cs="Times New Roman"/>
                <w:color w:val="auto"/>
                <w:lang w:val="en-US" w:eastAsia="zh-CN"/>
              </w:rPr>
              <w:t>mSv/a。</w:t>
            </w:r>
          </w:p>
          <w:p w14:paraId="64190D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介入科12位手术医生共分6组进行轮班，即6名第一手术者，6名第二手术者，因此平均手术量后介入科每名第一术者位医生年有效剂量约为8.6/6=1.433mSv/a，每名第二术者位医生年有效剂量约为1</w:t>
            </w:r>
            <w:r>
              <w:rPr>
                <w:rFonts w:hint="eastAsia" w:cs="Times New Roman"/>
                <w:color w:val="auto"/>
                <w:lang w:val="en-US" w:eastAsia="zh-CN"/>
              </w:rPr>
              <w:t>2.46</w:t>
            </w:r>
            <w:r>
              <w:rPr>
                <w:rFonts w:hint="default" w:ascii="Times New Roman" w:hAnsi="Times New Roman" w:eastAsia="宋体" w:cs="Times New Roman"/>
                <w:color w:val="auto"/>
                <w:lang w:val="en-US" w:eastAsia="zh-CN"/>
              </w:rPr>
              <w:t>/6=</w:t>
            </w:r>
            <w:r>
              <w:rPr>
                <w:rFonts w:hint="eastAsia" w:cs="Times New Roman"/>
                <w:color w:val="auto"/>
                <w:lang w:val="en-US" w:eastAsia="zh-CN"/>
              </w:rPr>
              <w:t>2.077</w:t>
            </w:r>
            <w:r>
              <w:rPr>
                <w:rFonts w:hint="default" w:ascii="Times New Roman" w:hAnsi="Times New Roman" w:eastAsia="宋体" w:cs="Times New Roman"/>
                <w:color w:val="auto"/>
                <w:lang w:val="en-US" w:eastAsia="zh-CN"/>
              </w:rPr>
              <w:t>mSv/a。</w:t>
            </w:r>
          </w:p>
          <w:p w14:paraId="48295D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心内科4位手术医生共分2组进行轮班，即2名第一手术者，2名第二手术者，因此平均手术量后心内科每名第一术者位医生年有效剂量约为5.375/2=2.69mSv/a，每名第二术者位医生年有效剂量约为</w:t>
            </w:r>
            <w:r>
              <w:rPr>
                <w:rFonts w:hint="eastAsia" w:cs="Times New Roman"/>
                <w:color w:val="auto"/>
                <w:lang w:val="en-US" w:eastAsia="zh-CN"/>
              </w:rPr>
              <w:t>7.788</w:t>
            </w:r>
            <w:r>
              <w:rPr>
                <w:rFonts w:hint="default" w:ascii="Times New Roman" w:hAnsi="Times New Roman" w:eastAsia="宋体" w:cs="Times New Roman"/>
                <w:color w:val="auto"/>
                <w:lang w:val="en-US" w:eastAsia="zh-CN"/>
              </w:rPr>
              <w:t>/2=3.894mSv/a，本项目各科室辐射工作人员均未超过本项目管理限值：职业人员年有效剂量不超过5mSv/a</w:t>
            </w:r>
            <w:r>
              <w:rPr>
                <w:rFonts w:hint="default" w:ascii="Times New Roman" w:hAnsi="Times New Roman" w:eastAsia="宋体" w:cs="Times New Roman"/>
                <w:color w:val="auto"/>
              </w:rPr>
              <w:t>。</w:t>
            </w:r>
          </w:p>
          <w:p w14:paraId="26A181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z w:val="24"/>
              </w:rPr>
              <w:t>与类比监测值相比，本次理论计算值较类比值结果偏大，主要原因是预测过程中采</w:t>
            </w:r>
            <w:r>
              <w:rPr>
                <w:rFonts w:hint="default" w:ascii="Times New Roman" w:hAnsi="Times New Roman" w:eastAsia="宋体" w:cs="Times New Roman"/>
                <w:color w:val="auto"/>
                <w:sz w:val="24"/>
                <w:lang w:eastAsia="zh-CN"/>
              </w:rPr>
              <w:t>取的</w:t>
            </w:r>
            <w:r>
              <w:rPr>
                <w:rFonts w:hint="default" w:ascii="Times New Roman" w:hAnsi="Times New Roman" w:eastAsia="宋体" w:cs="Times New Roman"/>
                <w:color w:val="auto"/>
                <w:sz w:val="24"/>
              </w:rPr>
              <w:t>参数值均为保守取值，计算值较大</w:t>
            </w:r>
            <w:r>
              <w:rPr>
                <w:rFonts w:hint="default" w:ascii="Times New Roman" w:hAnsi="Times New Roman" w:eastAsia="宋体" w:cs="Times New Roman"/>
                <w:color w:val="auto"/>
              </w:rPr>
              <w:t>，且手术量会根据医生工作时间、技术水平等因素进行不均等分配，医生也不会固定在第一术者位或第二术者位，同时随着介入医生手术熟练程度不断增加，每台手术时间也会相应</w:t>
            </w:r>
            <w:r>
              <w:rPr>
                <w:rFonts w:hint="default" w:ascii="Times New Roman" w:hAnsi="Times New Roman" w:eastAsia="宋体" w:cs="Times New Roman"/>
                <w:color w:val="auto"/>
                <w:lang w:eastAsia="zh-CN"/>
              </w:rPr>
              <w:t>地</w:t>
            </w:r>
            <w:r>
              <w:rPr>
                <w:rFonts w:hint="default" w:ascii="Times New Roman" w:hAnsi="Times New Roman" w:eastAsia="宋体" w:cs="Times New Roman"/>
                <w:color w:val="auto"/>
              </w:rPr>
              <w:t>减少，故介入医生的实际年受照剂量小于理论估算值。</w:t>
            </w:r>
          </w:p>
          <w:p w14:paraId="21B69F43">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二、保护目标剂量评价</w:t>
            </w:r>
          </w:p>
          <w:p w14:paraId="0219A201">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职业人员年有效剂量评价</w:t>
            </w:r>
          </w:p>
          <w:p w14:paraId="2350E2E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根据医院提供的</w:t>
            </w:r>
            <w:r>
              <w:rPr>
                <w:rFonts w:hint="default" w:ascii="Times New Roman" w:hAnsi="Times New Roman" w:eastAsia="宋体" w:cs="Times New Roman"/>
                <w:color w:val="auto"/>
                <w:spacing w:val="0"/>
                <w:position w:val="0"/>
                <w:highlight w:val="none"/>
              </w:rPr>
              <w:t>20</w:t>
            </w:r>
            <w:r>
              <w:rPr>
                <w:rFonts w:hint="default" w:ascii="Times New Roman" w:hAnsi="Times New Roman" w:eastAsia="宋体" w:cs="Times New Roman"/>
                <w:color w:val="auto"/>
                <w:spacing w:val="0"/>
                <w:position w:val="0"/>
                <w:highlight w:val="none"/>
                <w:lang w:val="en-US" w:eastAsia="zh-CN"/>
              </w:rPr>
              <w:t>25</w:t>
            </w:r>
            <w:r>
              <w:rPr>
                <w:rFonts w:hint="default" w:ascii="Times New Roman" w:hAnsi="Times New Roman" w:eastAsia="宋体" w:cs="Times New Roman"/>
                <w:color w:val="auto"/>
                <w:spacing w:val="0"/>
                <w:position w:val="0"/>
                <w:highlight w:val="none"/>
              </w:rPr>
              <w:t>年</w:t>
            </w:r>
            <w:r>
              <w:rPr>
                <w:rFonts w:hint="default" w:ascii="Times New Roman" w:hAnsi="Times New Roman" w:eastAsia="宋体" w:cs="Times New Roman"/>
                <w:color w:val="auto"/>
                <w:spacing w:val="0"/>
                <w:position w:val="0"/>
                <w:highlight w:val="none"/>
                <w:lang w:val="en-US" w:eastAsia="zh-CN"/>
              </w:rPr>
              <w:t>第三季度～</w:t>
            </w:r>
            <w:r>
              <w:rPr>
                <w:rFonts w:hint="default" w:ascii="Times New Roman" w:hAnsi="Times New Roman" w:eastAsia="宋体" w:cs="Times New Roman"/>
                <w:color w:val="auto"/>
                <w:spacing w:val="0"/>
                <w:position w:val="0"/>
                <w:highlight w:val="none"/>
              </w:rPr>
              <w:t>202</w:t>
            </w:r>
            <w:r>
              <w:rPr>
                <w:rFonts w:hint="default" w:ascii="Times New Roman" w:hAnsi="Times New Roman" w:eastAsia="宋体" w:cs="Times New Roman"/>
                <w:color w:val="auto"/>
                <w:spacing w:val="0"/>
                <w:position w:val="0"/>
                <w:highlight w:val="none"/>
                <w:lang w:val="en-US" w:eastAsia="zh-CN"/>
              </w:rPr>
              <w:t>6</w:t>
            </w:r>
            <w:r>
              <w:rPr>
                <w:rFonts w:hint="default" w:ascii="Times New Roman" w:hAnsi="Times New Roman" w:eastAsia="宋体" w:cs="Times New Roman"/>
                <w:color w:val="auto"/>
                <w:spacing w:val="0"/>
                <w:position w:val="0"/>
                <w:highlight w:val="none"/>
              </w:rPr>
              <w:t>年</w:t>
            </w:r>
            <w:r>
              <w:rPr>
                <w:rFonts w:hint="default" w:ascii="Times New Roman" w:hAnsi="Times New Roman" w:eastAsia="宋体" w:cs="Times New Roman"/>
                <w:color w:val="auto"/>
                <w:spacing w:val="0"/>
                <w:position w:val="0"/>
                <w:highlight w:val="none"/>
                <w:lang w:val="en-US" w:eastAsia="zh-CN"/>
              </w:rPr>
              <w:t>第二季度</w:t>
            </w:r>
            <w:r>
              <w:rPr>
                <w:rFonts w:hint="default" w:ascii="Times New Roman" w:hAnsi="Times New Roman" w:eastAsia="宋体" w:cs="Times New Roman"/>
                <w:color w:val="auto"/>
                <w:spacing w:val="0"/>
                <w:position w:val="0"/>
                <w:highlight w:val="none"/>
              </w:rPr>
              <w:t>期间的</w:t>
            </w:r>
            <w:r>
              <w:rPr>
                <w:rFonts w:hint="default" w:ascii="Times New Roman" w:hAnsi="Times New Roman" w:eastAsia="宋体" w:cs="Times New Roman"/>
                <w:color w:val="auto"/>
                <w:spacing w:val="0"/>
                <w:position w:val="0"/>
                <w:highlight w:val="none"/>
                <w:lang w:val="en-US" w:eastAsia="zh-CN"/>
              </w:rPr>
              <w:t>肝胆科、介入科、心内科辐射工作人员</w:t>
            </w:r>
            <w:r>
              <w:rPr>
                <w:rFonts w:hint="default" w:ascii="Times New Roman" w:hAnsi="Times New Roman" w:eastAsia="宋体" w:cs="Times New Roman"/>
                <w:color w:val="auto"/>
                <w:spacing w:val="0"/>
                <w:position w:val="0"/>
                <w:highlight w:val="none"/>
              </w:rPr>
              <w:t>个人检测报告，受检</w:t>
            </w:r>
            <w:r>
              <w:rPr>
                <w:rFonts w:hint="default" w:ascii="Times New Roman" w:hAnsi="Times New Roman" w:eastAsia="宋体" w:cs="Times New Roman"/>
                <w:color w:val="auto"/>
                <w:spacing w:val="0"/>
                <w:position w:val="0"/>
                <w:highlight w:val="none"/>
                <w:lang w:val="en-US" w:eastAsia="zh-CN"/>
              </w:rPr>
              <w:t>肝胆科</w:t>
            </w:r>
            <w:r>
              <w:rPr>
                <w:rFonts w:hint="default" w:ascii="Times New Roman" w:hAnsi="Times New Roman" w:eastAsia="宋体" w:cs="Times New Roman"/>
                <w:color w:val="auto"/>
                <w:spacing w:val="0"/>
                <w:position w:val="0"/>
                <w:highlight w:val="none"/>
              </w:rPr>
              <w:t>辐射工作人员年个人剂量当量在</w:t>
            </w:r>
            <w:r>
              <w:rPr>
                <w:rFonts w:hint="default" w:ascii="Times New Roman" w:hAnsi="Times New Roman" w:eastAsia="宋体" w:cs="Times New Roman"/>
                <w:color w:val="auto"/>
                <w:spacing w:val="0"/>
                <w:position w:val="0"/>
                <w:highlight w:val="none"/>
                <w:lang w:val="en-US" w:eastAsia="zh-CN"/>
              </w:rPr>
              <w:t>0.114</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val="en-US" w:eastAsia="zh-CN"/>
              </w:rPr>
              <w:t>0.357</w:t>
            </w:r>
            <w:r>
              <w:rPr>
                <w:rFonts w:hint="default" w:ascii="Times New Roman" w:hAnsi="Times New Roman" w:eastAsia="宋体" w:cs="Times New Roman"/>
                <w:color w:val="auto"/>
                <w:spacing w:val="0"/>
                <w:position w:val="0"/>
                <w:highlight w:val="none"/>
              </w:rPr>
              <w:t>mSv/a</w:t>
            </w:r>
            <w:r>
              <w:rPr>
                <w:rFonts w:hint="default" w:ascii="Times New Roman" w:hAnsi="Times New Roman" w:eastAsia="宋体" w:cs="Times New Roman"/>
                <w:color w:val="auto"/>
                <w:spacing w:val="0"/>
                <w:position w:val="0"/>
                <w:highlight w:val="none"/>
                <w:lang w:eastAsia="zh-CN"/>
              </w:rPr>
              <w:t>，受检</w:t>
            </w:r>
            <w:r>
              <w:rPr>
                <w:rFonts w:hint="default" w:ascii="Times New Roman" w:hAnsi="Times New Roman" w:eastAsia="宋体" w:cs="Times New Roman"/>
                <w:color w:val="auto"/>
                <w:spacing w:val="0"/>
                <w:position w:val="0"/>
                <w:highlight w:val="none"/>
                <w:lang w:val="en-US" w:eastAsia="zh-CN"/>
              </w:rPr>
              <w:t>介入科</w:t>
            </w:r>
            <w:r>
              <w:rPr>
                <w:rFonts w:hint="default" w:ascii="Times New Roman" w:hAnsi="Times New Roman" w:eastAsia="宋体" w:cs="Times New Roman"/>
                <w:color w:val="auto"/>
                <w:spacing w:val="0"/>
                <w:position w:val="0"/>
                <w:highlight w:val="none"/>
                <w:lang w:eastAsia="zh-CN"/>
              </w:rPr>
              <w:t>辐射工作人员年个人剂量当量在</w:t>
            </w:r>
            <w:r>
              <w:rPr>
                <w:rFonts w:hint="default" w:ascii="Times New Roman" w:hAnsi="Times New Roman" w:eastAsia="宋体" w:cs="Times New Roman"/>
                <w:color w:val="auto"/>
                <w:spacing w:val="0"/>
                <w:position w:val="0"/>
                <w:highlight w:val="none"/>
                <w:lang w:val="en-US" w:eastAsia="zh-CN"/>
              </w:rPr>
              <w:t>0.05</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1.4</w:t>
            </w:r>
            <w:r>
              <w:rPr>
                <w:rFonts w:hint="default" w:ascii="Times New Roman" w:hAnsi="Times New Roman" w:eastAsia="宋体" w:cs="Times New Roman"/>
                <w:color w:val="auto"/>
                <w:spacing w:val="0"/>
                <w:position w:val="0"/>
                <w:highlight w:val="none"/>
                <w:lang w:eastAsia="zh-CN"/>
              </w:rPr>
              <w:t>mSv/a，受检</w:t>
            </w:r>
            <w:r>
              <w:rPr>
                <w:rFonts w:hint="default" w:ascii="Times New Roman" w:hAnsi="Times New Roman" w:eastAsia="宋体" w:cs="Times New Roman"/>
                <w:color w:val="auto"/>
                <w:spacing w:val="0"/>
                <w:position w:val="0"/>
                <w:highlight w:val="none"/>
                <w:lang w:val="en-US" w:eastAsia="zh-CN"/>
              </w:rPr>
              <w:t>介入科</w:t>
            </w:r>
            <w:r>
              <w:rPr>
                <w:rFonts w:hint="default" w:ascii="Times New Roman" w:hAnsi="Times New Roman" w:eastAsia="宋体" w:cs="Times New Roman"/>
                <w:color w:val="auto"/>
                <w:spacing w:val="0"/>
                <w:position w:val="0"/>
                <w:highlight w:val="none"/>
                <w:lang w:eastAsia="zh-CN"/>
              </w:rPr>
              <w:t>辐射工作人员年个人剂量当量在</w:t>
            </w:r>
            <w:r>
              <w:rPr>
                <w:rFonts w:hint="default" w:ascii="Times New Roman" w:hAnsi="Times New Roman" w:eastAsia="宋体" w:cs="Times New Roman"/>
                <w:color w:val="auto"/>
                <w:spacing w:val="0"/>
                <w:position w:val="0"/>
                <w:highlight w:val="none"/>
                <w:lang w:val="en-US" w:eastAsia="zh-CN"/>
              </w:rPr>
              <w:t>0.063</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0.287</w:t>
            </w:r>
            <w:r>
              <w:rPr>
                <w:rFonts w:hint="default" w:ascii="Times New Roman" w:hAnsi="Times New Roman" w:eastAsia="宋体" w:cs="Times New Roman"/>
                <w:color w:val="auto"/>
                <w:spacing w:val="0"/>
                <w:position w:val="0"/>
                <w:highlight w:val="none"/>
                <w:lang w:eastAsia="zh-CN"/>
              </w:rPr>
              <w:t>mSv/a</w:t>
            </w:r>
            <w:r>
              <w:rPr>
                <w:rFonts w:hint="default" w:ascii="Times New Roman" w:hAnsi="Times New Roman" w:eastAsia="宋体" w:cs="Times New Roman"/>
                <w:color w:val="auto"/>
                <w:spacing w:val="0"/>
                <w:position w:val="0"/>
              </w:rPr>
              <w:t>。本项目介入手术医生</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护士、操作技师</w:t>
            </w:r>
            <w:r>
              <w:rPr>
                <w:rFonts w:hint="default" w:ascii="Times New Roman" w:hAnsi="Times New Roman" w:eastAsia="宋体" w:cs="Times New Roman"/>
                <w:color w:val="auto"/>
                <w:spacing w:val="0"/>
                <w:position w:val="0"/>
              </w:rPr>
              <w:t>从原有</w:t>
            </w:r>
            <w:r>
              <w:rPr>
                <w:rFonts w:hint="default" w:ascii="Times New Roman" w:hAnsi="Times New Roman" w:eastAsia="宋体" w:cs="Times New Roman"/>
                <w:color w:val="auto"/>
                <w:spacing w:val="0"/>
                <w:position w:val="0"/>
                <w:lang w:val="en-US" w:eastAsia="zh-CN"/>
              </w:rPr>
              <w:t>肝胆科、介入科、心内科</w:t>
            </w:r>
            <w:r>
              <w:rPr>
                <w:rFonts w:hint="default" w:ascii="Times New Roman" w:hAnsi="Times New Roman" w:eastAsia="宋体" w:cs="Times New Roman"/>
                <w:color w:val="auto"/>
                <w:spacing w:val="0"/>
                <w:position w:val="0"/>
              </w:rPr>
              <w:t>辐射工作人员调配，</w:t>
            </w:r>
            <w:r>
              <w:rPr>
                <w:rFonts w:hint="default" w:ascii="Times New Roman" w:hAnsi="Times New Roman" w:eastAsia="宋体" w:cs="Times New Roman"/>
                <w:color w:val="auto"/>
                <w:spacing w:val="0"/>
                <w:position w:val="0"/>
                <w:lang w:val="en-US" w:eastAsia="zh-CN"/>
              </w:rPr>
              <w:t>本项目辐射工作人员调配后仍</w:t>
            </w:r>
            <w:r>
              <w:rPr>
                <w:rFonts w:hint="default" w:ascii="Times New Roman" w:hAnsi="Times New Roman" w:eastAsia="宋体" w:cs="Times New Roman"/>
                <w:color w:val="auto"/>
                <w:spacing w:val="0"/>
                <w:position w:val="0"/>
              </w:rPr>
              <w:t>参与</w:t>
            </w:r>
            <w:r>
              <w:rPr>
                <w:rFonts w:hint="eastAsia" w:cs="Times New Roman"/>
                <w:color w:val="auto"/>
                <w:spacing w:val="0"/>
                <w:position w:val="0"/>
                <w:lang w:val="en-US" w:eastAsia="zh-CN"/>
              </w:rPr>
              <w:t>本科室</w:t>
            </w:r>
            <w:r>
              <w:rPr>
                <w:rFonts w:hint="default" w:ascii="Times New Roman" w:hAnsi="Times New Roman" w:eastAsia="宋体" w:cs="Times New Roman"/>
                <w:color w:val="auto"/>
                <w:spacing w:val="0"/>
                <w:position w:val="0"/>
              </w:rPr>
              <w:t>其他射线工作</w:t>
            </w:r>
            <w:r>
              <w:rPr>
                <w:rFonts w:hint="eastAsia" w:cs="Times New Roman"/>
                <w:color w:val="auto"/>
                <w:spacing w:val="0"/>
                <w:position w:val="0"/>
                <w:lang w:val="en-US" w:eastAsia="zh-CN"/>
              </w:rPr>
              <w:t>，不参与其他科室辐射工作</w:t>
            </w:r>
            <w:r>
              <w:rPr>
                <w:rFonts w:hint="default" w:ascii="Times New Roman" w:hAnsi="Times New Roman" w:eastAsia="宋体" w:cs="Times New Roman"/>
                <w:color w:val="auto"/>
                <w:spacing w:val="0"/>
                <w:position w:val="0"/>
                <w:lang w:eastAsia="zh-CN"/>
              </w:rPr>
              <w:t>。</w:t>
            </w:r>
          </w:p>
          <w:p w14:paraId="36E197F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所致肝胆科介入医生的年有效剂量最大估算值为2.633mSv/a，所致操作技师和护士的年有效剂量最大估算值为1.65E-04mSv/a，现有最大受照剂量叠加本项目受照剂量后，肝胆科介入医生所受到的个人剂量最大值为2.</w:t>
            </w:r>
            <w:r>
              <w:rPr>
                <w:rFonts w:hint="eastAsia" w:ascii="Times New Roman" w:hAnsi="Times New Roman" w:eastAsia="宋体" w:cs="Times New Roman"/>
                <w:color w:val="auto"/>
                <w:spacing w:val="0"/>
                <w:position w:val="0"/>
                <w:lang w:val="en-US" w:eastAsia="zh-CN"/>
              </w:rPr>
              <w:t>99</w:t>
            </w:r>
            <w:r>
              <w:rPr>
                <w:rFonts w:hint="default" w:ascii="Times New Roman" w:hAnsi="Times New Roman" w:eastAsia="宋体" w:cs="Times New Roman"/>
                <w:color w:val="auto"/>
                <w:spacing w:val="0"/>
                <w:position w:val="0"/>
                <w:lang w:val="en-US" w:eastAsia="zh-CN"/>
              </w:rPr>
              <w:t>mSv/a，操作技师和护士所受到的个人剂量最大值为0.357mSv/a。</w:t>
            </w:r>
          </w:p>
          <w:p w14:paraId="237BCAC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本项目所致介入科介入医生的年有效剂量最大估算值为2.077mSv/a，所致操作技师和护士的年有效剂量最大估算值为4.39E-04mSv/a，现有最大受照剂量叠加本项目受照剂量后，介入科介入医生所受到的个人剂量最大值为</w:t>
            </w:r>
            <w:r>
              <w:rPr>
                <w:rFonts w:hint="eastAsia" w:cs="Times New Roman"/>
                <w:color w:val="auto"/>
                <w:spacing w:val="0"/>
                <w:position w:val="0"/>
                <w:lang w:val="en-US" w:eastAsia="zh-CN"/>
              </w:rPr>
              <w:t>3.4</w:t>
            </w:r>
            <w:r>
              <w:rPr>
                <w:rFonts w:hint="default" w:ascii="Times New Roman" w:hAnsi="Times New Roman" w:eastAsia="宋体" w:cs="Times New Roman"/>
                <w:color w:val="auto"/>
                <w:spacing w:val="0"/>
                <w:position w:val="0"/>
                <w:lang w:val="en-US" w:eastAsia="zh-CN"/>
              </w:rPr>
              <w:t>77mSv/a，操作技师和护士所受到的个人剂量最大值为1.4mSv/a。</w:t>
            </w:r>
          </w:p>
          <w:p w14:paraId="01890E3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本项目所致心内科介入医生的年有效剂量最大估算值为</w:t>
            </w:r>
            <w:r>
              <w:rPr>
                <w:rFonts w:hint="default" w:ascii="Times New Roman" w:hAnsi="Times New Roman" w:eastAsia="宋体" w:cs="Times New Roman"/>
                <w:color w:val="auto"/>
                <w:lang w:val="en-US" w:eastAsia="zh-CN"/>
              </w:rPr>
              <w:t>3.894mSv/a</w:t>
            </w:r>
            <w:r>
              <w:rPr>
                <w:rFonts w:hint="default" w:ascii="Times New Roman" w:hAnsi="Times New Roman" w:eastAsia="宋体" w:cs="Times New Roman"/>
                <w:color w:val="auto"/>
                <w:spacing w:val="0"/>
                <w:position w:val="0"/>
                <w:lang w:val="en-US" w:eastAsia="zh-CN"/>
              </w:rPr>
              <w:t>，所致操作技师和护士的年有效剂量最大估算值为2.74E-04mSv/a，现有最大受照剂量叠加本项目受照剂量后，心内科介入医生所受到的个人剂量最大值为</w:t>
            </w:r>
            <w:r>
              <w:rPr>
                <w:rFonts w:hint="eastAsia" w:ascii="Times New Roman" w:hAnsi="Times New Roman" w:eastAsia="宋体" w:cs="Times New Roman"/>
                <w:color w:val="auto"/>
                <w:lang w:val="en-US" w:eastAsia="zh-CN"/>
              </w:rPr>
              <w:t>4.181</w:t>
            </w:r>
            <w:r>
              <w:rPr>
                <w:rFonts w:hint="default" w:ascii="Times New Roman" w:hAnsi="Times New Roman" w:eastAsia="宋体" w:cs="Times New Roman"/>
                <w:color w:val="auto"/>
                <w:lang w:val="en-US" w:eastAsia="zh-CN"/>
              </w:rPr>
              <w:t>mSv/a</w:t>
            </w:r>
            <w:r>
              <w:rPr>
                <w:rFonts w:hint="default" w:ascii="Times New Roman" w:hAnsi="Times New Roman" w:eastAsia="宋体" w:cs="Times New Roman"/>
                <w:color w:val="auto"/>
                <w:spacing w:val="0"/>
                <w:position w:val="0"/>
                <w:lang w:val="en-US" w:eastAsia="zh-CN"/>
              </w:rPr>
              <w:t>，操作技师和护士所受到的个人剂量最大值为0.287mSv/a。</w:t>
            </w:r>
            <w:r>
              <w:rPr>
                <w:rFonts w:hint="default" w:ascii="Times New Roman" w:hAnsi="Times New Roman" w:eastAsia="宋体" w:cs="Times New Roman"/>
                <w:color w:val="auto"/>
                <w:spacing w:val="0"/>
                <w:position w:val="0"/>
              </w:rPr>
              <w:t>故在做好个人防护措施、安全措施的情况下，本项目投入运行后，</w:t>
            </w:r>
            <w:r>
              <w:rPr>
                <w:rFonts w:hint="default" w:ascii="Times New Roman" w:hAnsi="Times New Roman" w:eastAsia="宋体" w:cs="Times New Roman"/>
                <w:color w:val="auto"/>
                <w:spacing w:val="0"/>
                <w:position w:val="0"/>
                <w:lang w:val="en-US" w:eastAsia="zh-CN"/>
              </w:rPr>
              <w:t>原有</w:t>
            </w:r>
            <w:r>
              <w:rPr>
                <w:rFonts w:hint="default" w:ascii="Times New Roman" w:hAnsi="Times New Roman" w:eastAsia="宋体" w:cs="Times New Roman"/>
                <w:color w:val="auto"/>
                <w:spacing w:val="0"/>
                <w:position w:val="0"/>
              </w:rPr>
              <w:t>辐射工作人员年有效剂量</w:t>
            </w:r>
            <w:r>
              <w:rPr>
                <w:rFonts w:hint="default" w:ascii="Times New Roman" w:hAnsi="Times New Roman" w:eastAsia="宋体" w:cs="Times New Roman"/>
                <w:color w:val="auto"/>
                <w:spacing w:val="0"/>
                <w:position w:val="0"/>
                <w:lang w:val="en-US" w:eastAsia="zh-CN"/>
              </w:rPr>
              <w:t>叠加受照剂量后，仍能够</w:t>
            </w:r>
            <w:r>
              <w:rPr>
                <w:rFonts w:hint="default" w:ascii="Times New Roman" w:hAnsi="Times New Roman" w:eastAsia="宋体" w:cs="Times New Roman"/>
                <w:color w:val="auto"/>
                <w:spacing w:val="0"/>
                <w:position w:val="0"/>
              </w:rPr>
              <w:t>满足《电离辐射防护与辐射源安全基本标准》（GB18871-2002）中的剂量限值要求和《云南省环保局关于</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在辐射安全许可工作中确定电离项目辐射安全管理限值请示</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的复函》（云环函</w:t>
            </w:r>
            <w:r>
              <w:rPr>
                <w:rFonts w:hint="default" w:ascii="Times New Roman" w:hAnsi="Times New Roman" w:eastAsia="宋体" w:cs="Times New Roman"/>
                <w:color w:val="auto"/>
                <w:spacing w:val="0"/>
                <w:position w:val="0"/>
                <w:lang w:eastAsia="zh-CN"/>
              </w:rPr>
              <w:t>〔2006〕727号</w:t>
            </w:r>
            <w:r>
              <w:rPr>
                <w:rFonts w:hint="default" w:ascii="Times New Roman" w:hAnsi="Times New Roman" w:eastAsia="宋体" w:cs="Times New Roman"/>
                <w:color w:val="auto"/>
                <w:spacing w:val="0"/>
                <w:position w:val="0"/>
              </w:rPr>
              <w:t>）规定的要求（职业人员年有效剂量不超过5mSv）。</w:t>
            </w:r>
          </w:p>
          <w:p w14:paraId="4C40D24F">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本项目周围公众年有效剂量评价</w:t>
            </w:r>
          </w:p>
          <w:p w14:paraId="48EA99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textAlignment w:val="auto"/>
              <w:rPr>
                <w:rFonts w:hint="default" w:ascii="Times New Roman" w:hAnsi="Times New Roman" w:eastAsia="宋体" w:cs="Times New Roman"/>
                <w:color w:val="auto"/>
                <w:spacing w:val="0"/>
                <w:position w:val="0"/>
                <w:highlight w:val="none"/>
                <w:lang w:val="en-US" w:eastAsia="zh-CN"/>
              </w:rPr>
            </w:pPr>
            <w:r>
              <w:rPr>
                <w:rFonts w:hint="default" w:ascii="Times New Roman" w:hAnsi="Times New Roman" w:eastAsia="宋体" w:cs="Times New Roman"/>
                <w:color w:val="auto"/>
                <w:spacing w:val="0"/>
                <w:kern w:val="0"/>
                <w:position w:val="0"/>
                <w:sz w:val="24"/>
                <w:szCs w:val="24"/>
                <w:lang w:val="en-US" w:eastAsia="zh-CN" w:bidi="ar"/>
              </w:rPr>
              <w:t>根据医院提供的平面布局，本项目DSA介入手术室实体屏蔽物边界外50m评价范围内射线装置均位于住院楼4楼西侧分别为，8号手术室的Ziehm Solo移动式C形臂X射线机，距离39m，-4.8m；9号手术室的Ziehm Solo移动式C形臂X射线机，距离46.8m，-4.8m；10号手术室的Bv Libra移动式C型臂X线系统，距离49.5m，-4.8m。按照最不利情况考虑，</w:t>
            </w:r>
            <w:r>
              <w:rPr>
                <w:rFonts w:hint="default" w:ascii="Times New Roman" w:hAnsi="Times New Roman" w:eastAsia="宋体" w:cs="Times New Roman"/>
                <w:color w:val="auto"/>
                <w:spacing w:val="0"/>
                <w:position w:val="0"/>
                <w:highlight w:val="none"/>
                <w:lang w:val="en-US" w:eastAsia="zh-CN"/>
              </w:rPr>
              <w:t>本项目环境保护目标除受本项目DSA辐射影响外，也会受到住院楼4楼3</w:t>
            </w:r>
            <w:r>
              <w:rPr>
                <w:rFonts w:hint="default" w:ascii="Times New Roman" w:hAnsi="Times New Roman" w:eastAsia="宋体" w:cs="Times New Roman"/>
                <w:color w:val="auto"/>
                <w:spacing w:val="0"/>
                <w:kern w:val="0"/>
                <w:position w:val="0"/>
                <w:sz w:val="24"/>
                <w:szCs w:val="24"/>
                <w:lang w:val="en-US" w:eastAsia="zh-CN" w:bidi="ar"/>
              </w:rPr>
              <w:t>台射线装置</w:t>
            </w:r>
            <w:r>
              <w:rPr>
                <w:rFonts w:hint="default" w:ascii="Times New Roman" w:hAnsi="Times New Roman" w:eastAsia="宋体" w:cs="Times New Roman"/>
                <w:color w:val="auto"/>
                <w:spacing w:val="0"/>
                <w:position w:val="0"/>
                <w:highlight w:val="none"/>
                <w:lang w:val="en-US" w:eastAsia="zh-CN"/>
              </w:rPr>
              <w:t>的辐射影响。</w:t>
            </w:r>
          </w:p>
          <w:p w14:paraId="72B346C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根据医院提供的射线装置检测报告及医院提供的各类仪器实际年使用时间，可估算出3台射线装置所致本项目评价范围内公众的年有效剂量，估算结果见表11-6~11-8。</w:t>
            </w:r>
          </w:p>
          <w:p w14:paraId="5F27FE72">
            <w:pPr>
              <w:pStyle w:val="16"/>
              <w:keepNext/>
              <w:keepLines/>
              <w:suppressLineNumbers w:val="0"/>
              <w:autoSpaceDE w:val="0"/>
              <w:spacing w:before="0" w:beforeLines="0" w:beforeAutospacing="0" w:after="0" w:afterLines="0" w:afterAutospacing="0"/>
              <w:ind w:left="0" w:right="0" w:firstLine="0" w:firstLineChars="0"/>
              <w:jc w:val="center"/>
              <w:outlineLvl w:val="0"/>
              <w:rPr>
                <w:rFonts w:hint="default" w:ascii="Times New Roman" w:hAnsi="Times New Roman" w:eastAsia="宋体" w:cs="Times New Roman"/>
                <w:b/>
                <w:color w:val="auto"/>
                <w:spacing w:val="0"/>
                <w:kern w:val="44"/>
                <w:position w:val="0"/>
                <w:sz w:val="21"/>
                <w:szCs w:val="21"/>
                <w:highlight w:val="none"/>
              </w:rPr>
            </w:pPr>
            <w:r>
              <w:rPr>
                <w:rFonts w:hint="default" w:ascii="Times New Roman" w:hAnsi="Times New Roman" w:eastAsia="宋体" w:cs="Times New Roman"/>
                <w:b/>
                <w:color w:val="auto"/>
                <w:spacing w:val="0"/>
                <w:kern w:val="44"/>
                <w:position w:val="0"/>
                <w:sz w:val="21"/>
                <w:szCs w:val="21"/>
                <w:highlight w:val="none"/>
              </w:rPr>
              <w:t>表11-</w:t>
            </w:r>
            <w:r>
              <w:rPr>
                <w:rFonts w:hint="default" w:ascii="Times New Roman" w:hAnsi="Times New Roman" w:eastAsia="宋体" w:cs="Times New Roman"/>
                <w:b/>
                <w:color w:val="auto"/>
                <w:spacing w:val="0"/>
                <w:kern w:val="44"/>
                <w:position w:val="0"/>
                <w:sz w:val="21"/>
                <w:szCs w:val="21"/>
                <w:highlight w:val="none"/>
                <w:lang w:val="en-US" w:eastAsia="zh-CN"/>
              </w:rPr>
              <w:t>6  8号手术室的Ziehm Solo</w:t>
            </w:r>
            <w:r>
              <w:rPr>
                <w:rFonts w:hint="default" w:ascii="Times New Roman" w:hAnsi="Times New Roman" w:eastAsia="宋体" w:cs="Times New Roman"/>
                <w:b/>
                <w:color w:val="auto"/>
                <w:spacing w:val="0"/>
                <w:kern w:val="44"/>
                <w:position w:val="0"/>
                <w:sz w:val="21"/>
                <w:szCs w:val="21"/>
                <w:highlight w:val="none"/>
              </w:rPr>
              <w:t>所致本项目评价范围内公众人员年有效剂量</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6016"/>
            </w:tblGrid>
            <w:tr w14:paraId="357B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D2B27D">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rPr>
                    <w:t>场所名称</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2682AEC2">
                  <w:pPr>
                    <w:pStyle w:val="16"/>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highlight w:val="none"/>
                      <w:lang w:val="en-US"/>
                    </w:rPr>
                  </w:pPr>
                  <w:r>
                    <w:rPr>
                      <w:rFonts w:hint="default" w:ascii="Times New Roman" w:hAnsi="Times New Roman" w:eastAsia="宋体" w:cs="Times New Roman"/>
                      <w:color w:val="auto"/>
                      <w:spacing w:val="0"/>
                      <w:kern w:val="2"/>
                      <w:position w:val="0"/>
                      <w:sz w:val="21"/>
                      <w:szCs w:val="21"/>
                      <w:highlight w:val="none"/>
                      <w:lang w:val="en-US" w:eastAsia="zh-CN"/>
                    </w:rPr>
                    <w:t>住院楼8号手术室</w:t>
                  </w:r>
                </w:p>
              </w:tc>
            </w:tr>
            <w:tr w14:paraId="62D7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925519">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rPr>
                    <w:t>与本项目位置关系</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3F82E8A0">
                  <w:pPr>
                    <w:pStyle w:val="16"/>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西侧下方39m，-4.8m</w:t>
                  </w:r>
                </w:p>
              </w:tc>
            </w:tr>
            <w:tr w14:paraId="530B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6A3E30">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rPr>
                    <w:t>射线装置名称、型号</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3CC4CACD">
                  <w:pPr>
                    <w:pStyle w:val="16"/>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highlight w:val="none"/>
                      <w:lang w:eastAsia="zh-CN"/>
                    </w:rPr>
                  </w:pPr>
                  <w:r>
                    <w:rPr>
                      <w:rFonts w:hint="default" w:ascii="Times New Roman" w:hAnsi="Times New Roman" w:eastAsia="宋体" w:cs="Times New Roman"/>
                      <w:color w:val="auto"/>
                      <w:spacing w:val="0"/>
                      <w:kern w:val="2"/>
                      <w:position w:val="0"/>
                      <w:sz w:val="21"/>
                      <w:szCs w:val="21"/>
                      <w:highlight w:val="none"/>
                      <w:lang w:val="en-US" w:eastAsia="zh-CN"/>
                    </w:rPr>
                    <w:t>Ziehm Solo移动式C形臂X射线机</w:t>
                  </w:r>
                </w:p>
              </w:tc>
            </w:tr>
            <w:tr w14:paraId="5D9B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729E35">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rPr>
                    <w:t>监测报告</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34B619DA">
                  <w:pPr>
                    <w:pStyle w:val="16"/>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BC-GAHJ25380420-R13</w:t>
                  </w:r>
                </w:p>
              </w:tc>
            </w:tr>
            <w:tr w14:paraId="3060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45CD69">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lang w:val="en-US" w:eastAsia="zh-CN" w:bidi="ar"/>
                    </w:rPr>
                    <w:t>选取的监测点位</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543E847B">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4.机房门M1外30cm（下）</w:t>
                  </w:r>
                </w:p>
              </w:tc>
            </w:tr>
            <w:tr w14:paraId="7679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AE8704">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lang w:val="en-US" w:eastAsia="zh-CN" w:bidi="ar"/>
                    </w:rPr>
                    <w:t>测量值（μSv/h）</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3C1EE533">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0.84</w:t>
                  </w:r>
                </w:p>
              </w:tc>
            </w:tr>
            <w:tr w14:paraId="2781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95AE9A">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到本项目边界处的X-γ剂量率(μSv/h）（理论计算值）</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7531EBA6">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5.4</w:t>
                  </w:r>
                  <w:r>
                    <w:rPr>
                      <w:rFonts w:hint="eastAsia" w:cs="Times New Roman"/>
                      <w:color w:val="auto"/>
                      <w:spacing w:val="0"/>
                      <w:kern w:val="2"/>
                      <w:position w:val="0"/>
                      <w:sz w:val="21"/>
                      <w:szCs w:val="21"/>
                      <w:highlight w:val="none"/>
                      <w:lang w:val="en-US" w:eastAsia="zh-CN" w:bidi="ar"/>
                    </w:rPr>
                    <w:t>7E-04</w:t>
                  </w:r>
                </w:p>
              </w:tc>
            </w:tr>
            <w:tr w14:paraId="45FA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B64363">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lang w:val="en-US" w:eastAsia="zh-CN" w:bidi="ar"/>
                    </w:rPr>
                    <w:t>居留因子</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421EDEBC">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1/4</w:t>
                  </w:r>
                </w:p>
              </w:tc>
            </w:tr>
            <w:tr w14:paraId="6B89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6161DF">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lang w:val="en-US" w:eastAsia="zh-CN" w:bidi="ar"/>
                    </w:rPr>
                    <w:t>年有效工作时间（h/a）</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37A45DEE">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200</w:t>
                  </w:r>
                </w:p>
              </w:tc>
            </w:tr>
            <w:tr w14:paraId="492A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2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34BB9E">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none"/>
                    </w:rPr>
                  </w:pPr>
                  <w:r>
                    <w:rPr>
                      <w:rFonts w:hint="default" w:ascii="Times New Roman" w:hAnsi="Times New Roman" w:eastAsia="宋体" w:cs="Times New Roman"/>
                      <w:color w:val="auto"/>
                      <w:spacing w:val="0"/>
                      <w:kern w:val="2"/>
                      <w:position w:val="0"/>
                      <w:sz w:val="21"/>
                      <w:szCs w:val="21"/>
                      <w:highlight w:val="none"/>
                      <w:lang w:val="en-US" w:eastAsia="zh-CN" w:bidi="ar"/>
                    </w:rPr>
                    <w:t>年有效剂量（mSv）</w:t>
                  </w:r>
                </w:p>
              </w:tc>
              <w:tc>
                <w:tcPr>
                  <w:tcW w:w="6016" w:type="dxa"/>
                  <w:tcBorders>
                    <w:top w:val="single" w:color="auto" w:sz="4" w:space="0"/>
                    <w:left w:val="nil"/>
                    <w:bottom w:val="single" w:color="auto" w:sz="4" w:space="0"/>
                    <w:right w:val="single" w:color="auto" w:sz="4" w:space="0"/>
                    <w:tl2br w:val="nil"/>
                    <w:tr2bl w:val="nil"/>
                  </w:tcBorders>
                  <w:noWrap w:val="0"/>
                  <w:vAlign w:val="center"/>
                </w:tcPr>
                <w:p w14:paraId="2C9F2DA2">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vertAlign w:val="baseline"/>
                      <w:lang w:val="en-US" w:eastAsia="zh-CN"/>
                    </w:rPr>
                  </w:pPr>
                  <w:r>
                    <w:rPr>
                      <w:rFonts w:hint="eastAsia" w:cs="Times New Roman"/>
                      <w:color w:val="auto"/>
                      <w:spacing w:val="0"/>
                      <w:kern w:val="2"/>
                      <w:position w:val="0"/>
                      <w:sz w:val="21"/>
                      <w:szCs w:val="21"/>
                      <w:highlight w:val="none"/>
                      <w:vertAlign w:val="baseline"/>
                      <w:lang w:val="en-US" w:eastAsia="zh-CN"/>
                    </w:rPr>
                    <w:t>2.73E-05</w:t>
                  </w:r>
                </w:p>
              </w:tc>
            </w:tr>
            <w:tr w14:paraId="3B8E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72B73F5">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none"/>
                      <w:vertAlign w:val="baseli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bidi="ar"/>
                    </w:rPr>
                    <w:t>注：X射线装置年照射时间参考医院实际年开机运行情况。</w:t>
                  </w:r>
                </w:p>
              </w:tc>
            </w:tr>
          </w:tbl>
          <w:p w14:paraId="5DAFBDCD">
            <w:pPr>
              <w:pStyle w:val="16"/>
              <w:keepNext/>
              <w:keepLines/>
              <w:suppressLineNumbers w:val="0"/>
              <w:autoSpaceDE w:val="0"/>
              <w:spacing w:before="0" w:beforeLines="0" w:beforeAutospacing="0" w:after="0" w:afterLines="0" w:afterAutospacing="0"/>
              <w:ind w:left="0" w:right="0" w:firstLine="0" w:firstLineChars="0"/>
              <w:jc w:val="center"/>
              <w:outlineLvl w:val="0"/>
              <w:rPr>
                <w:rFonts w:hint="default" w:ascii="Times New Roman" w:hAnsi="Times New Roman" w:eastAsia="宋体" w:cs="Times New Roman"/>
                <w:b/>
                <w:color w:val="auto"/>
                <w:spacing w:val="0"/>
                <w:kern w:val="44"/>
                <w:position w:val="0"/>
                <w:sz w:val="21"/>
                <w:szCs w:val="21"/>
              </w:rPr>
            </w:pPr>
            <w:r>
              <w:rPr>
                <w:rFonts w:hint="default" w:ascii="Times New Roman" w:hAnsi="Times New Roman" w:eastAsia="宋体" w:cs="Times New Roman"/>
                <w:b/>
                <w:color w:val="auto"/>
                <w:spacing w:val="0"/>
                <w:kern w:val="44"/>
                <w:position w:val="0"/>
                <w:sz w:val="21"/>
                <w:szCs w:val="21"/>
                <w:highlight w:val="none"/>
              </w:rPr>
              <w:t>表11</w:t>
            </w:r>
            <w:r>
              <w:rPr>
                <w:rFonts w:hint="default" w:ascii="Times New Roman" w:hAnsi="Times New Roman" w:eastAsia="宋体" w:cs="Times New Roman"/>
                <w:b/>
                <w:color w:val="auto"/>
                <w:spacing w:val="0"/>
                <w:kern w:val="44"/>
                <w:position w:val="0"/>
                <w:sz w:val="21"/>
                <w:szCs w:val="21"/>
                <w:highlight w:val="none"/>
                <w:lang w:val="en-US" w:eastAsia="zh-CN"/>
              </w:rPr>
              <w:t>-7  9号手术室的Ziehm Solo</w:t>
            </w:r>
            <w:r>
              <w:rPr>
                <w:rFonts w:hint="default" w:ascii="Times New Roman" w:hAnsi="Times New Roman" w:eastAsia="宋体" w:cs="Times New Roman"/>
                <w:b/>
                <w:color w:val="auto"/>
                <w:spacing w:val="0"/>
                <w:kern w:val="44"/>
                <w:position w:val="0"/>
                <w:sz w:val="21"/>
                <w:szCs w:val="21"/>
              </w:rPr>
              <w:t>所致本项目评价范围内公众人员年有效剂量</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1"/>
              <w:gridCol w:w="6039"/>
            </w:tblGrid>
            <w:tr w14:paraId="7098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6D7C86">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场所名称</w:t>
                  </w:r>
                </w:p>
              </w:tc>
              <w:tc>
                <w:tcPr>
                  <w:tcW w:w="6039" w:type="dxa"/>
                  <w:tcBorders>
                    <w:top w:val="single" w:color="auto" w:sz="4" w:space="0"/>
                    <w:left w:val="nil"/>
                    <w:bottom w:val="single" w:color="auto" w:sz="4" w:space="0"/>
                    <w:right w:val="single" w:color="auto" w:sz="4" w:space="0"/>
                    <w:tl2br w:val="nil"/>
                    <w:tr2bl w:val="nil"/>
                  </w:tcBorders>
                  <w:noWrap w:val="0"/>
                  <w:vAlign w:val="center"/>
                </w:tcPr>
                <w:p w14:paraId="09267C6F">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住院楼9号手术室</w:t>
                  </w:r>
                </w:p>
              </w:tc>
            </w:tr>
            <w:tr w14:paraId="45FB8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5A7B93">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与本项目位置关系</w:t>
                  </w:r>
                </w:p>
              </w:tc>
              <w:tc>
                <w:tcPr>
                  <w:tcW w:w="6039" w:type="dxa"/>
                  <w:tcBorders>
                    <w:top w:val="single" w:color="auto" w:sz="4" w:space="0"/>
                    <w:left w:val="nil"/>
                    <w:bottom w:val="single" w:color="auto" w:sz="4" w:space="0"/>
                    <w:right w:val="single" w:color="auto" w:sz="4" w:space="0"/>
                    <w:tl2br w:val="nil"/>
                    <w:tr2bl w:val="nil"/>
                  </w:tcBorders>
                  <w:noWrap w:val="0"/>
                  <w:vAlign w:val="center"/>
                </w:tcPr>
                <w:p w14:paraId="513E4478">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西侧下方46.8m，-4.8m</w:t>
                  </w:r>
                </w:p>
              </w:tc>
            </w:tr>
            <w:tr w14:paraId="7CC9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D75986">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射线装置名称、型号</w:t>
                  </w:r>
                </w:p>
              </w:tc>
              <w:tc>
                <w:tcPr>
                  <w:tcW w:w="6039" w:type="dxa"/>
                  <w:tcBorders>
                    <w:top w:val="single" w:color="auto" w:sz="4" w:space="0"/>
                    <w:left w:val="nil"/>
                    <w:bottom w:val="single" w:color="auto" w:sz="4" w:space="0"/>
                    <w:right w:val="single" w:color="auto" w:sz="4" w:space="0"/>
                    <w:tl2br w:val="nil"/>
                    <w:tr2bl w:val="nil"/>
                  </w:tcBorders>
                  <w:noWrap w:val="0"/>
                  <w:vAlign w:val="center"/>
                </w:tcPr>
                <w:p w14:paraId="1C6F7D82">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Ziehm Solo移动式C形臂X射线机</w:t>
                  </w:r>
                </w:p>
              </w:tc>
            </w:tr>
            <w:tr w14:paraId="0646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1F8F93">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监测报告</w:t>
                  </w:r>
                </w:p>
              </w:tc>
              <w:tc>
                <w:tcPr>
                  <w:tcW w:w="6039" w:type="dxa"/>
                  <w:tcBorders>
                    <w:top w:val="single" w:color="auto" w:sz="4" w:space="0"/>
                    <w:left w:val="nil"/>
                    <w:bottom w:val="single" w:color="auto" w:sz="4" w:space="0"/>
                    <w:right w:val="single" w:color="auto" w:sz="4" w:space="0"/>
                    <w:tl2br w:val="nil"/>
                    <w:tr2bl w:val="nil"/>
                  </w:tcBorders>
                  <w:noWrap w:val="0"/>
                  <w:vAlign w:val="center"/>
                </w:tcPr>
                <w:p w14:paraId="38362AE0">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BC-GAHJ25380420-R12</w:t>
                  </w:r>
                </w:p>
              </w:tc>
            </w:tr>
            <w:tr w14:paraId="540F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2F2219">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lang w:val="en-US" w:eastAsia="zh-CN" w:bidi="ar"/>
                    </w:rPr>
                    <w:t>选取的监测点位</w:t>
                  </w:r>
                </w:p>
              </w:tc>
              <w:tc>
                <w:tcPr>
                  <w:tcW w:w="6039" w:type="dxa"/>
                  <w:tcBorders>
                    <w:top w:val="single" w:color="auto" w:sz="4" w:space="0"/>
                    <w:left w:val="nil"/>
                    <w:right w:val="single" w:color="auto" w:sz="4" w:space="0"/>
                    <w:tl2br w:val="nil"/>
                    <w:tr2bl w:val="nil"/>
                  </w:tcBorders>
                  <w:noWrap w:val="0"/>
                  <w:vAlign w:val="center"/>
                </w:tcPr>
                <w:p w14:paraId="5FCADB85">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4.机房门M1外30cm（下）</w:t>
                  </w:r>
                </w:p>
              </w:tc>
            </w:tr>
            <w:tr w14:paraId="51406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3AA6B2">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lang w:val="en-US" w:eastAsia="zh-CN" w:bidi="ar"/>
                    </w:rPr>
                    <w:t>测量值（μ</w:t>
                  </w:r>
                  <w:r>
                    <w:rPr>
                      <w:rFonts w:hint="default" w:ascii="Times New Roman" w:hAnsi="Times New Roman" w:eastAsia="宋体" w:cs="Times New Roman"/>
                      <w:color w:val="auto"/>
                      <w:spacing w:val="0"/>
                      <w:kern w:val="2"/>
                      <w:position w:val="0"/>
                      <w:sz w:val="21"/>
                      <w:szCs w:val="21"/>
                      <w:highlight w:val="none"/>
                      <w:lang w:val="en-US" w:eastAsia="zh-CN" w:bidi="ar"/>
                    </w:rPr>
                    <w:t>Sv</w:t>
                  </w:r>
                  <w:r>
                    <w:rPr>
                      <w:rFonts w:hint="default" w:ascii="Times New Roman" w:hAnsi="Times New Roman" w:eastAsia="宋体" w:cs="Times New Roman"/>
                      <w:color w:val="auto"/>
                      <w:spacing w:val="0"/>
                      <w:kern w:val="2"/>
                      <w:position w:val="0"/>
                      <w:sz w:val="21"/>
                      <w:szCs w:val="21"/>
                      <w:lang w:val="en-US" w:eastAsia="zh-CN" w:bidi="ar"/>
                    </w:rPr>
                    <w:t>/h）</w:t>
                  </w:r>
                </w:p>
              </w:tc>
              <w:tc>
                <w:tcPr>
                  <w:tcW w:w="6039" w:type="dxa"/>
                  <w:tcBorders>
                    <w:left w:val="nil"/>
                    <w:right w:val="single" w:color="auto" w:sz="4" w:space="0"/>
                    <w:tl2br w:val="nil"/>
                    <w:tr2bl w:val="nil"/>
                  </w:tcBorders>
                  <w:noWrap w:val="0"/>
                  <w:vAlign w:val="center"/>
                </w:tcPr>
                <w:p w14:paraId="4EB6678B">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1.08</w:t>
                  </w:r>
                </w:p>
              </w:tc>
            </w:tr>
            <w:tr w14:paraId="5914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F8ADEC">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lang w:val="en-US" w:eastAsia="zh-CN" w:bidi="ar"/>
                    </w:rPr>
                  </w:pPr>
                  <w:r>
                    <w:rPr>
                      <w:rFonts w:hint="default" w:ascii="Times New Roman" w:hAnsi="Times New Roman" w:eastAsia="宋体" w:cs="Times New Roman"/>
                      <w:color w:val="auto"/>
                      <w:spacing w:val="0"/>
                      <w:kern w:val="2"/>
                      <w:position w:val="0"/>
                      <w:sz w:val="21"/>
                      <w:szCs w:val="21"/>
                      <w:lang w:val="en-US" w:eastAsia="zh-CN" w:bidi="ar"/>
                    </w:rPr>
                    <w:t>到本项目边界处的X-γ剂量率(μSv/h）（理论计算值）</w:t>
                  </w:r>
                </w:p>
              </w:tc>
              <w:tc>
                <w:tcPr>
                  <w:tcW w:w="6039" w:type="dxa"/>
                  <w:tcBorders>
                    <w:left w:val="nil"/>
                    <w:right w:val="single" w:color="auto" w:sz="4" w:space="0"/>
                    <w:tl2br w:val="nil"/>
                    <w:tr2bl w:val="nil"/>
                  </w:tcBorders>
                  <w:noWrap w:val="0"/>
                  <w:vAlign w:val="center"/>
                </w:tcPr>
                <w:p w14:paraId="0C0E246B">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4.8</w:t>
                  </w:r>
                  <w:r>
                    <w:rPr>
                      <w:rFonts w:hint="eastAsia" w:cs="Times New Roman"/>
                      <w:color w:val="auto"/>
                      <w:spacing w:val="0"/>
                      <w:kern w:val="2"/>
                      <w:position w:val="0"/>
                      <w:sz w:val="21"/>
                      <w:szCs w:val="21"/>
                      <w:highlight w:val="none"/>
                      <w:lang w:val="en-US" w:eastAsia="zh-CN" w:bidi="ar"/>
                    </w:rPr>
                    <w:t>9E-04</w:t>
                  </w:r>
                </w:p>
              </w:tc>
            </w:tr>
            <w:tr w14:paraId="23B3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88A1A7">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lang w:val="en-US" w:eastAsia="zh-CN" w:bidi="ar"/>
                    </w:rPr>
                    <w:t>居留因子</w:t>
                  </w:r>
                </w:p>
              </w:tc>
              <w:tc>
                <w:tcPr>
                  <w:tcW w:w="6039" w:type="dxa"/>
                  <w:tcBorders>
                    <w:left w:val="nil"/>
                    <w:right w:val="single" w:color="auto" w:sz="4" w:space="0"/>
                    <w:tl2br w:val="nil"/>
                    <w:tr2bl w:val="nil"/>
                  </w:tcBorders>
                  <w:noWrap w:val="0"/>
                  <w:vAlign w:val="center"/>
                </w:tcPr>
                <w:p w14:paraId="671902FA">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1/4</w:t>
                  </w:r>
                </w:p>
              </w:tc>
            </w:tr>
            <w:tr w14:paraId="55DD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254D0B">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yellow"/>
                    </w:rPr>
                  </w:pPr>
                  <w:r>
                    <w:rPr>
                      <w:rFonts w:hint="default" w:ascii="Times New Roman" w:hAnsi="Times New Roman" w:eastAsia="宋体" w:cs="Times New Roman"/>
                      <w:color w:val="auto"/>
                      <w:spacing w:val="0"/>
                      <w:kern w:val="2"/>
                      <w:position w:val="0"/>
                      <w:sz w:val="21"/>
                      <w:szCs w:val="21"/>
                      <w:highlight w:val="none"/>
                      <w:lang w:val="en-US" w:eastAsia="zh-CN" w:bidi="ar"/>
                    </w:rPr>
                    <w:t>年有效工作时间（h/a）</w:t>
                  </w:r>
                </w:p>
              </w:tc>
              <w:tc>
                <w:tcPr>
                  <w:tcW w:w="6039" w:type="dxa"/>
                  <w:tcBorders>
                    <w:left w:val="nil"/>
                    <w:right w:val="single" w:color="auto" w:sz="4" w:space="0"/>
                    <w:tl2br w:val="nil"/>
                    <w:tr2bl w:val="nil"/>
                  </w:tcBorders>
                  <w:noWrap w:val="0"/>
                  <w:vAlign w:val="center"/>
                </w:tcPr>
                <w:p w14:paraId="315CC842">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200</w:t>
                  </w:r>
                </w:p>
              </w:tc>
            </w:tr>
            <w:tr w14:paraId="3AAE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55DEFC">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yellow"/>
                    </w:rPr>
                  </w:pPr>
                  <w:r>
                    <w:rPr>
                      <w:rFonts w:hint="default" w:ascii="Times New Roman" w:hAnsi="Times New Roman" w:eastAsia="宋体" w:cs="Times New Roman"/>
                      <w:color w:val="auto"/>
                      <w:spacing w:val="0"/>
                      <w:kern w:val="2"/>
                      <w:position w:val="0"/>
                      <w:sz w:val="21"/>
                      <w:szCs w:val="21"/>
                      <w:highlight w:val="none"/>
                      <w:lang w:val="en-US" w:eastAsia="zh-CN" w:bidi="ar"/>
                    </w:rPr>
                    <w:t>年有效剂量（mSv）</w:t>
                  </w:r>
                </w:p>
              </w:tc>
              <w:tc>
                <w:tcPr>
                  <w:tcW w:w="6039" w:type="dxa"/>
                  <w:tcBorders>
                    <w:left w:val="nil"/>
                    <w:bottom w:val="single" w:color="auto" w:sz="4" w:space="0"/>
                    <w:right w:val="single" w:color="auto" w:sz="4" w:space="0"/>
                    <w:tl2br w:val="nil"/>
                    <w:tr2bl w:val="nil"/>
                  </w:tcBorders>
                  <w:noWrap w:val="0"/>
                  <w:vAlign w:val="center"/>
                </w:tcPr>
                <w:p w14:paraId="0E27B1A2">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vertAlign w:val="baseline"/>
                      <w:lang w:val="en-US" w:eastAsia="zh-CN" w:bidi="ar-SA"/>
                    </w:rPr>
                  </w:pPr>
                  <w:r>
                    <w:rPr>
                      <w:rFonts w:hint="default" w:ascii="Times New Roman" w:hAnsi="Times New Roman" w:eastAsia="宋体" w:cs="Times New Roman"/>
                      <w:color w:val="auto"/>
                      <w:spacing w:val="0"/>
                      <w:kern w:val="2"/>
                      <w:position w:val="0"/>
                      <w:sz w:val="21"/>
                      <w:szCs w:val="21"/>
                      <w:highlight w:val="none"/>
                      <w:vertAlign w:val="baseline"/>
                      <w:lang w:val="en-US" w:eastAsia="zh-CN"/>
                    </w:rPr>
                    <w:t>2.44E-05</w:t>
                  </w:r>
                </w:p>
              </w:tc>
            </w:tr>
            <w:tr w14:paraId="4E0F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C553466">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vertAlign w:val="baseline"/>
                      <w:lang w:val="en-US" w:eastAsia="zh-CN"/>
                    </w:rPr>
                  </w:pPr>
                  <w:r>
                    <w:rPr>
                      <w:rFonts w:hint="default" w:ascii="Times New Roman" w:hAnsi="Times New Roman" w:eastAsia="宋体" w:cs="Times New Roman"/>
                      <w:color w:val="auto"/>
                      <w:spacing w:val="0"/>
                      <w:kern w:val="2"/>
                      <w:position w:val="0"/>
                      <w:sz w:val="21"/>
                      <w:szCs w:val="21"/>
                      <w:lang w:val="en-US" w:eastAsia="zh-CN" w:bidi="ar"/>
                    </w:rPr>
                    <w:t>注：X射线装置年照射时间参考医院实际年开机运行情况。</w:t>
                  </w:r>
                </w:p>
              </w:tc>
            </w:tr>
          </w:tbl>
          <w:p w14:paraId="742C9A0C">
            <w:pPr>
              <w:pStyle w:val="16"/>
              <w:keepNext/>
              <w:keepLines/>
              <w:suppressLineNumbers w:val="0"/>
              <w:autoSpaceDE w:val="0"/>
              <w:spacing w:before="0" w:beforeLines="0" w:beforeAutospacing="0" w:after="0" w:afterLines="0" w:afterAutospacing="0"/>
              <w:ind w:left="0" w:right="0" w:firstLine="0" w:firstLineChars="0"/>
              <w:jc w:val="center"/>
              <w:outlineLvl w:val="0"/>
              <w:rPr>
                <w:rFonts w:hint="default" w:ascii="Times New Roman" w:hAnsi="Times New Roman" w:eastAsia="宋体" w:cs="Times New Roman"/>
                <w:b/>
                <w:color w:val="auto"/>
                <w:spacing w:val="0"/>
                <w:kern w:val="44"/>
                <w:position w:val="0"/>
                <w:sz w:val="21"/>
                <w:szCs w:val="21"/>
              </w:rPr>
            </w:pPr>
            <w:r>
              <w:rPr>
                <w:rFonts w:hint="default" w:ascii="Times New Roman" w:hAnsi="Times New Roman" w:eastAsia="宋体" w:cs="Times New Roman"/>
                <w:b/>
                <w:color w:val="auto"/>
                <w:spacing w:val="0"/>
                <w:kern w:val="44"/>
                <w:position w:val="0"/>
                <w:sz w:val="21"/>
                <w:szCs w:val="21"/>
              </w:rPr>
              <w:t>表11-</w:t>
            </w:r>
            <w:r>
              <w:rPr>
                <w:rFonts w:hint="default" w:ascii="Times New Roman" w:hAnsi="Times New Roman" w:eastAsia="宋体" w:cs="Times New Roman"/>
                <w:b/>
                <w:color w:val="auto"/>
                <w:spacing w:val="0"/>
                <w:kern w:val="44"/>
                <w:position w:val="0"/>
                <w:sz w:val="21"/>
                <w:szCs w:val="21"/>
                <w:lang w:val="en-US" w:eastAsia="zh-CN"/>
              </w:rPr>
              <w:t>8   10号手术室的Bv Libra</w:t>
            </w:r>
            <w:r>
              <w:rPr>
                <w:rFonts w:hint="default" w:ascii="Times New Roman" w:hAnsi="Times New Roman" w:eastAsia="宋体" w:cs="Times New Roman"/>
                <w:b/>
                <w:color w:val="auto"/>
                <w:spacing w:val="0"/>
                <w:kern w:val="44"/>
                <w:position w:val="0"/>
                <w:sz w:val="21"/>
                <w:szCs w:val="21"/>
              </w:rPr>
              <w:t>所致本项目评价范围内公众人员年有效剂量</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3"/>
              <w:gridCol w:w="5277"/>
            </w:tblGrid>
            <w:tr w14:paraId="5F24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F50F30">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场所名称</w:t>
                  </w:r>
                </w:p>
              </w:tc>
              <w:tc>
                <w:tcPr>
                  <w:tcW w:w="5277" w:type="dxa"/>
                  <w:tcBorders>
                    <w:top w:val="single" w:color="auto" w:sz="4" w:space="0"/>
                    <w:left w:val="nil"/>
                    <w:bottom w:val="single" w:color="auto" w:sz="4" w:space="0"/>
                    <w:right w:val="single" w:color="auto" w:sz="4" w:space="0"/>
                    <w:tl2br w:val="nil"/>
                    <w:tr2bl w:val="nil"/>
                  </w:tcBorders>
                  <w:noWrap w:val="0"/>
                  <w:vAlign w:val="center"/>
                </w:tcPr>
                <w:p w14:paraId="14F3018B">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住院楼10号手术室</w:t>
                  </w:r>
                </w:p>
              </w:tc>
            </w:tr>
            <w:tr w14:paraId="68EC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E491D8">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与本项目位置关系</w:t>
                  </w:r>
                </w:p>
              </w:tc>
              <w:tc>
                <w:tcPr>
                  <w:tcW w:w="5277" w:type="dxa"/>
                  <w:tcBorders>
                    <w:top w:val="single" w:color="auto" w:sz="4" w:space="0"/>
                    <w:left w:val="nil"/>
                    <w:bottom w:val="single" w:color="auto" w:sz="4" w:space="0"/>
                    <w:right w:val="single" w:color="auto" w:sz="4" w:space="0"/>
                    <w:tl2br w:val="nil"/>
                    <w:tr2bl w:val="nil"/>
                  </w:tcBorders>
                  <w:noWrap w:val="0"/>
                  <w:vAlign w:val="center"/>
                </w:tcPr>
                <w:p w14:paraId="25E0A17B">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西侧下方49.5m，-4.8m</w:t>
                  </w:r>
                </w:p>
              </w:tc>
            </w:tr>
            <w:tr w14:paraId="6454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222242">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射线装置名称、型号</w:t>
                  </w:r>
                </w:p>
              </w:tc>
              <w:tc>
                <w:tcPr>
                  <w:tcW w:w="5277" w:type="dxa"/>
                  <w:tcBorders>
                    <w:top w:val="single" w:color="auto" w:sz="4" w:space="0"/>
                    <w:left w:val="nil"/>
                    <w:bottom w:val="single" w:color="auto" w:sz="4" w:space="0"/>
                    <w:right w:val="single" w:color="auto" w:sz="4" w:space="0"/>
                    <w:tl2br w:val="nil"/>
                    <w:tr2bl w:val="nil"/>
                  </w:tcBorders>
                  <w:noWrap w:val="0"/>
                  <w:vAlign w:val="center"/>
                </w:tcPr>
                <w:p w14:paraId="71DADBB2">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Bv Libra移动式C型臂X线系统</w:t>
                  </w:r>
                </w:p>
              </w:tc>
            </w:tr>
            <w:tr w14:paraId="2665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5FDA1A">
                  <w:pPr>
                    <w:pStyle w:val="16"/>
                    <w:keepNext w:val="0"/>
                    <w:keepLines w:val="0"/>
                    <w:suppressLineNumbers w:val="0"/>
                    <w:spacing w:before="0" w:beforeLines="0" w:beforeAutospacing="0" w:after="0" w:afterLines="0" w:afterAutospacing="0" w:line="240" w:lineRule="auto"/>
                    <w:ind w:left="0" w:right="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rPr>
                    <w:t>监测报告</w:t>
                  </w:r>
                </w:p>
              </w:tc>
              <w:tc>
                <w:tcPr>
                  <w:tcW w:w="5277" w:type="dxa"/>
                  <w:tcBorders>
                    <w:top w:val="single" w:color="auto" w:sz="4" w:space="0"/>
                    <w:left w:val="nil"/>
                    <w:bottom w:val="single" w:color="auto" w:sz="4" w:space="0"/>
                    <w:right w:val="single" w:color="auto" w:sz="4" w:space="0"/>
                    <w:tl2br w:val="nil"/>
                    <w:tr2bl w:val="nil"/>
                  </w:tcBorders>
                  <w:noWrap w:val="0"/>
                  <w:vAlign w:val="center"/>
                </w:tcPr>
                <w:p w14:paraId="0DD3F404">
                  <w:pPr>
                    <w:pStyle w:val="16"/>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BC-GAHJ25380420-R11</w:t>
                  </w:r>
                </w:p>
              </w:tc>
            </w:tr>
            <w:tr w14:paraId="780C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7F6D5E">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lang w:val="en-US" w:eastAsia="zh-CN" w:bidi="ar"/>
                    </w:rPr>
                    <w:t>选取的监测点位</w:t>
                  </w:r>
                </w:p>
              </w:tc>
              <w:tc>
                <w:tcPr>
                  <w:tcW w:w="5277" w:type="dxa"/>
                  <w:tcBorders>
                    <w:top w:val="single" w:color="auto" w:sz="4" w:space="0"/>
                    <w:left w:val="nil"/>
                    <w:right w:val="single" w:color="auto" w:sz="4" w:space="0"/>
                    <w:tl2br w:val="nil"/>
                    <w:tr2bl w:val="nil"/>
                  </w:tcBorders>
                  <w:noWrap w:val="0"/>
                  <w:vAlign w:val="center"/>
                </w:tcPr>
                <w:p w14:paraId="070B6286">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9.机房门M1外30cm（下）</w:t>
                  </w:r>
                </w:p>
              </w:tc>
            </w:tr>
            <w:tr w14:paraId="7BBA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F152CC">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lang w:val="en-US" w:eastAsia="zh-CN" w:bidi="ar"/>
                    </w:rPr>
                    <w:t>测量值（μSv/h）</w:t>
                  </w:r>
                </w:p>
              </w:tc>
              <w:tc>
                <w:tcPr>
                  <w:tcW w:w="5277" w:type="dxa"/>
                  <w:tcBorders>
                    <w:left w:val="nil"/>
                    <w:right w:val="single" w:color="auto" w:sz="4" w:space="0"/>
                    <w:tl2br w:val="nil"/>
                    <w:tr2bl w:val="nil"/>
                  </w:tcBorders>
                  <w:noWrap w:val="0"/>
                  <w:vAlign w:val="center"/>
                </w:tcPr>
                <w:p w14:paraId="6A420F4C">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0.94</w:t>
                  </w:r>
                </w:p>
              </w:tc>
            </w:tr>
            <w:tr w14:paraId="66DB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ECEC2F">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lang w:val="en-US" w:eastAsia="zh-CN" w:bidi="ar"/>
                    </w:rPr>
                  </w:pPr>
                  <w:r>
                    <w:rPr>
                      <w:rFonts w:hint="default" w:ascii="Times New Roman" w:hAnsi="Times New Roman" w:eastAsia="宋体" w:cs="Times New Roman"/>
                      <w:color w:val="auto"/>
                      <w:spacing w:val="0"/>
                      <w:kern w:val="2"/>
                      <w:position w:val="0"/>
                      <w:sz w:val="21"/>
                      <w:szCs w:val="21"/>
                      <w:lang w:val="en-US" w:eastAsia="zh-CN" w:bidi="ar"/>
                    </w:rPr>
                    <w:t>到本项目边界处的X-γ剂量率(μSv/h）（理论计算值）</w:t>
                  </w:r>
                </w:p>
              </w:tc>
              <w:tc>
                <w:tcPr>
                  <w:tcW w:w="5277" w:type="dxa"/>
                  <w:tcBorders>
                    <w:left w:val="nil"/>
                    <w:right w:val="single" w:color="auto" w:sz="4" w:space="0"/>
                    <w:tl2br w:val="nil"/>
                    <w:tr2bl w:val="nil"/>
                  </w:tcBorders>
                  <w:noWrap w:val="0"/>
                  <w:vAlign w:val="center"/>
                </w:tcPr>
                <w:p w14:paraId="4E8012AB">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3.8E-04</w:t>
                  </w:r>
                </w:p>
              </w:tc>
            </w:tr>
            <w:tr w14:paraId="779B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14E1EB">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rPr>
                  </w:pPr>
                  <w:r>
                    <w:rPr>
                      <w:rFonts w:hint="default" w:ascii="Times New Roman" w:hAnsi="Times New Roman" w:eastAsia="宋体" w:cs="Times New Roman"/>
                      <w:color w:val="auto"/>
                      <w:spacing w:val="0"/>
                      <w:kern w:val="2"/>
                      <w:position w:val="0"/>
                      <w:sz w:val="21"/>
                      <w:szCs w:val="21"/>
                      <w:lang w:val="en-US" w:eastAsia="zh-CN" w:bidi="ar"/>
                    </w:rPr>
                    <w:t>居留因子</w:t>
                  </w:r>
                </w:p>
              </w:tc>
              <w:tc>
                <w:tcPr>
                  <w:tcW w:w="5277" w:type="dxa"/>
                  <w:tcBorders>
                    <w:left w:val="nil"/>
                    <w:right w:val="single" w:color="auto" w:sz="4" w:space="0"/>
                    <w:tl2br w:val="nil"/>
                    <w:tr2bl w:val="nil"/>
                  </w:tcBorders>
                  <w:noWrap w:val="0"/>
                  <w:vAlign w:val="center"/>
                </w:tcPr>
                <w:p w14:paraId="60A282D7">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
                    </w:rPr>
                  </w:pPr>
                  <w:r>
                    <w:rPr>
                      <w:rFonts w:hint="default" w:ascii="Times New Roman" w:hAnsi="Times New Roman" w:eastAsia="宋体" w:cs="Times New Roman"/>
                      <w:color w:val="auto"/>
                      <w:spacing w:val="0"/>
                      <w:kern w:val="2"/>
                      <w:position w:val="0"/>
                      <w:sz w:val="21"/>
                      <w:szCs w:val="21"/>
                      <w:highlight w:val="none"/>
                      <w:lang w:val="en-US" w:eastAsia="zh-CN" w:bidi="ar"/>
                    </w:rPr>
                    <w:t>1/4</w:t>
                  </w:r>
                </w:p>
              </w:tc>
            </w:tr>
            <w:tr w14:paraId="14FF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6BE470">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yellow"/>
                    </w:rPr>
                  </w:pPr>
                  <w:r>
                    <w:rPr>
                      <w:rFonts w:hint="default" w:ascii="Times New Roman" w:hAnsi="Times New Roman" w:eastAsia="宋体" w:cs="Times New Roman"/>
                      <w:color w:val="auto"/>
                      <w:spacing w:val="0"/>
                      <w:kern w:val="2"/>
                      <w:position w:val="0"/>
                      <w:sz w:val="21"/>
                      <w:szCs w:val="21"/>
                      <w:highlight w:val="none"/>
                      <w:lang w:val="en-US" w:eastAsia="zh-CN" w:bidi="ar"/>
                    </w:rPr>
                    <w:t>年有效工作时间（h/a）</w:t>
                  </w:r>
                </w:p>
              </w:tc>
              <w:tc>
                <w:tcPr>
                  <w:tcW w:w="5277" w:type="dxa"/>
                  <w:tcBorders>
                    <w:left w:val="nil"/>
                    <w:right w:val="single" w:color="auto" w:sz="4" w:space="0"/>
                    <w:tl2br w:val="nil"/>
                    <w:tr2bl w:val="nil"/>
                  </w:tcBorders>
                  <w:noWrap w:val="0"/>
                  <w:vAlign w:val="center"/>
                </w:tcPr>
                <w:p w14:paraId="5D6696EA">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200</w:t>
                  </w:r>
                </w:p>
              </w:tc>
            </w:tr>
            <w:tr w14:paraId="456C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17E404">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highlight w:val="yellow"/>
                    </w:rPr>
                  </w:pPr>
                  <w:r>
                    <w:rPr>
                      <w:rFonts w:hint="default" w:ascii="Times New Roman" w:hAnsi="Times New Roman" w:eastAsia="宋体" w:cs="Times New Roman"/>
                      <w:color w:val="auto"/>
                      <w:spacing w:val="0"/>
                      <w:kern w:val="2"/>
                      <w:position w:val="0"/>
                      <w:sz w:val="21"/>
                      <w:szCs w:val="21"/>
                      <w:highlight w:val="none"/>
                      <w:lang w:val="en-US" w:eastAsia="zh-CN" w:bidi="ar"/>
                    </w:rPr>
                    <w:t>年有效剂量（mSv）</w:t>
                  </w:r>
                </w:p>
              </w:tc>
              <w:tc>
                <w:tcPr>
                  <w:tcW w:w="5277" w:type="dxa"/>
                  <w:tcBorders>
                    <w:left w:val="nil"/>
                    <w:bottom w:val="single" w:color="auto" w:sz="4" w:space="0"/>
                    <w:right w:val="single" w:color="auto" w:sz="4" w:space="0"/>
                    <w:tl2br w:val="nil"/>
                    <w:tr2bl w:val="nil"/>
                  </w:tcBorders>
                  <w:noWrap w:val="0"/>
                  <w:vAlign w:val="center"/>
                </w:tcPr>
                <w:p w14:paraId="36B3FB81">
                  <w:pPr>
                    <w:pStyle w:val="16"/>
                    <w:keepNext w:val="0"/>
                    <w:keepLines w:val="0"/>
                    <w:widowControl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kern w:val="2"/>
                      <w:position w:val="0"/>
                      <w:sz w:val="21"/>
                      <w:szCs w:val="21"/>
                      <w:highlight w:val="none"/>
                      <w:vertAlign w:val="baseline"/>
                      <w:lang w:val="en-US" w:eastAsia="zh-CN" w:bidi="ar-SA"/>
                    </w:rPr>
                  </w:pPr>
                  <w:r>
                    <w:rPr>
                      <w:rFonts w:hint="default" w:ascii="Times New Roman" w:hAnsi="Times New Roman" w:eastAsia="宋体" w:cs="Times New Roman"/>
                      <w:color w:val="auto"/>
                      <w:spacing w:val="0"/>
                      <w:kern w:val="2"/>
                      <w:position w:val="0"/>
                      <w:sz w:val="21"/>
                      <w:szCs w:val="21"/>
                      <w:highlight w:val="none"/>
                      <w:vertAlign w:val="baseline"/>
                      <w:lang w:val="en-US" w:eastAsia="zh-CN"/>
                    </w:rPr>
                    <w:t>1.9E-05</w:t>
                  </w:r>
                </w:p>
              </w:tc>
            </w:tr>
            <w:tr w14:paraId="20D27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4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75907FB">
                  <w:pPr>
                    <w:pStyle w:val="16"/>
                    <w:keepNext w:val="0"/>
                    <w:keepLines w:val="0"/>
                    <w:widowControl w:val="0"/>
                    <w:suppressLineNumbers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spacing w:val="0"/>
                      <w:kern w:val="2"/>
                      <w:position w:val="0"/>
                      <w:sz w:val="21"/>
                      <w:szCs w:val="21"/>
                      <w:vertAlign w:val="baseline"/>
                      <w:lang w:val="en-US" w:eastAsia="zh-CN"/>
                    </w:rPr>
                  </w:pPr>
                  <w:r>
                    <w:rPr>
                      <w:rFonts w:hint="default" w:ascii="Times New Roman" w:hAnsi="Times New Roman" w:eastAsia="宋体" w:cs="Times New Roman"/>
                      <w:color w:val="auto"/>
                      <w:spacing w:val="0"/>
                      <w:kern w:val="2"/>
                      <w:position w:val="0"/>
                      <w:sz w:val="21"/>
                      <w:szCs w:val="21"/>
                      <w:lang w:val="en-US" w:eastAsia="zh-CN" w:bidi="ar"/>
                    </w:rPr>
                    <w:t>注：X射线装置年照射时间参考医院实际年开机运行情况。</w:t>
                  </w:r>
                </w:p>
              </w:tc>
            </w:tr>
          </w:tbl>
          <w:p w14:paraId="138B688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 w:val="24"/>
                <w:szCs w:val="24"/>
                <w:lang w:val="en-US" w:eastAsia="zh-CN" w:bidi="ar"/>
              </w:rPr>
            </w:pPr>
            <w:r>
              <w:rPr>
                <w:rFonts w:hint="default" w:ascii="Times New Roman" w:hAnsi="Times New Roman" w:eastAsia="宋体" w:cs="Times New Roman"/>
                <w:color w:val="auto"/>
                <w:spacing w:val="0"/>
                <w:position w:val="0"/>
                <w:highlight w:val="none"/>
                <w:lang w:val="en-US" w:eastAsia="zh-CN"/>
              </w:rPr>
              <w:t>由表11-6~11-8可知，已有3</w:t>
            </w:r>
            <w:r>
              <w:rPr>
                <w:rFonts w:hint="default" w:ascii="Times New Roman" w:hAnsi="Times New Roman" w:eastAsia="宋体" w:cs="Times New Roman"/>
                <w:color w:val="auto"/>
                <w:spacing w:val="0"/>
                <w:kern w:val="0"/>
                <w:position w:val="0"/>
                <w:sz w:val="24"/>
                <w:szCs w:val="24"/>
                <w:lang w:val="en-US" w:eastAsia="zh-CN" w:bidi="ar"/>
              </w:rPr>
              <w:t>台射线装置</w:t>
            </w:r>
            <w:r>
              <w:rPr>
                <w:rFonts w:hint="default" w:ascii="Times New Roman" w:hAnsi="Times New Roman" w:eastAsia="宋体" w:cs="Times New Roman"/>
                <w:color w:val="auto"/>
                <w:spacing w:val="0"/>
                <w:position w:val="0"/>
                <w:highlight w:val="none"/>
                <w:lang w:val="en-US" w:eastAsia="zh-CN"/>
              </w:rPr>
              <w:t>所致本项目评价范围内公众年有效剂量叠加值为</w:t>
            </w:r>
            <w:r>
              <w:rPr>
                <w:rFonts w:hint="default" w:ascii="Times New Roman" w:hAnsi="Times New Roman" w:eastAsia="宋体" w:cs="Times New Roman"/>
                <w:color w:val="auto"/>
                <w:spacing w:val="0"/>
                <w:kern w:val="2"/>
                <w:position w:val="0"/>
                <w:sz w:val="24"/>
                <w:szCs w:val="24"/>
                <w:highlight w:val="none"/>
                <w:vertAlign w:val="baseline"/>
                <w:lang w:val="en-US" w:eastAsia="zh-CN"/>
              </w:rPr>
              <w:t>7.07E-05</w:t>
            </w:r>
            <w:r>
              <w:rPr>
                <w:rFonts w:hint="default" w:ascii="Times New Roman" w:hAnsi="Times New Roman" w:eastAsia="宋体" w:cs="Times New Roman"/>
                <w:color w:val="auto"/>
                <w:spacing w:val="0"/>
                <w:position w:val="0"/>
                <w:sz w:val="24"/>
                <w:szCs w:val="24"/>
                <w:highlight w:val="none"/>
              </w:rPr>
              <w:t>mSv</w:t>
            </w:r>
            <w:r>
              <w:rPr>
                <w:rFonts w:hint="default" w:ascii="Times New Roman" w:hAnsi="Times New Roman" w:eastAsia="宋体" w:cs="Times New Roman"/>
                <w:color w:val="auto"/>
                <w:spacing w:val="0"/>
                <w:position w:val="0"/>
                <w:sz w:val="24"/>
                <w:szCs w:val="24"/>
                <w:highlight w:val="none"/>
                <w:lang w:val="en-US" w:eastAsia="zh-CN"/>
              </w:rPr>
              <w:t>/a</w:t>
            </w:r>
            <w:r>
              <w:rPr>
                <w:rFonts w:hint="default" w:ascii="Times New Roman" w:hAnsi="Times New Roman" w:eastAsia="宋体" w:cs="Times New Roman"/>
                <w:color w:val="auto"/>
                <w:spacing w:val="0"/>
                <w:position w:val="0"/>
                <w:sz w:val="24"/>
                <w:szCs w:val="24"/>
                <w:highlight w:val="none"/>
                <w:lang w:eastAsia="zh-CN"/>
              </w:rPr>
              <w:t>，</w:t>
            </w:r>
            <w:r>
              <w:rPr>
                <w:rFonts w:hint="default" w:ascii="Times New Roman" w:hAnsi="Times New Roman" w:eastAsia="宋体" w:cs="Times New Roman"/>
                <w:color w:val="auto"/>
                <w:spacing w:val="0"/>
                <w:position w:val="0"/>
                <w:sz w:val="24"/>
                <w:szCs w:val="24"/>
                <w:highlight w:val="none"/>
                <w:lang w:val="en-US" w:eastAsia="zh-CN"/>
              </w:rPr>
              <w:t>本项目</w:t>
            </w:r>
            <w:r>
              <w:rPr>
                <w:rFonts w:hint="default" w:ascii="Times New Roman" w:hAnsi="Times New Roman" w:eastAsia="宋体" w:cs="Times New Roman"/>
                <w:color w:val="auto"/>
                <w:spacing w:val="0"/>
                <w:position w:val="0"/>
                <w:highlight w:val="none"/>
                <w:lang w:val="en-US" w:eastAsia="zh-CN"/>
              </w:rPr>
              <w:t>DSA所致评价范围内公众年有效剂量为2.39E-04mSv/a，本项目拟建DSA</w:t>
            </w:r>
            <w:r>
              <w:rPr>
                <w:rFonts w:hint="default" w:ascii="Times New Roman" w:hAnsi="Times New Roman" w:eastAsia="宋体" w:cs="Times New Roman"/>
                <w:color w:val="auto"/>
                <w:spacing w:val="0"/>
                <w:position w:val="0"/>
                <w:sz w:val="24"/>
                <w:szCs w:val="24"/>
                <w:highlight w:val="none"/>
                <w:lang w:val="en-US" w:eastAsia="zh-CN"/>
              </w:rPr>
              <w:t>叠加住院楼4楼已有3台射线装置</w:t>
            </w:r>
            <w:r>
              <w:rPr>
                <w:rFonts w:hint="default" w:ascii="Times New Roman" w:hAnsi="Times New Roman" w:eastAsia="宋体" w:cs="Times New Roman"/>
                <w:color w:val="auto"/>
                <w:spacing w:val="0"/>
                <w:position w:val="0"/>
                <w:highlight w:val="none"/>
                <w:lang w:val="en-US" w:eastAsia="zh-CN"/>
              </w:rPr>
              <w:t>后，50m评价范围内公众年有效剂量为</w:t>
            </w:r>
            <w:r>
              <w:rPr>
                <w:rFonts w:hint="eastAsia" w:hAnsi="Times New Roman" w:cs="Times New Roman"/>
                <w:b w:val="0"/>
                <w:bCs/>
                <w:caps w:val="0"/>
                <w:color w:val="auto"/>
                <w:spacing w:val="0"/>
                <w:position w:val="0"/>
                <w:sz w:val="24"/>
                <w:szCs w:val="24"/>
                <w:highlight w:val="none"/>
                <w:lang w:val="en-US" w:eastAsia="zh-CN"/>
              </w:rPr>
              <w:t>3.1</w:t>
            </w:r>
            <w:r>
              <w:rPr>
                <w:rFonts w:hint="default" w:ascii="Times New Roman" w:hAnsi="Times New Roman" w:eastAsia="宋体" w:cs="Times New Roman"/>
                <w:b w:val="0"/>
                <w:bCs/>
                <w:color w:val="auto"/>
                <w:spacing w:val="0"/>
                <w:position w:val="0"/>
                <w:sz w:val="24"/>
                <w:szCs w:val="24"/>
                <w:highlight w:val="none"/>
                <w:vertAlign w:val="baseline"/>
                <w:lang w:val="en-US" w:eastAsia="zh-CN"/>
              </w:rPr>
              <w:t>E-04</w:t>
            </w:r>
            <w:r>
              <w:rPr>
                <w:rFonts w:hint="default" w:ascii="Times New Roman" w:hAnsi="Times New Roman" w:eastAsia="宋体" w:cs="Times New Roman"/>
                <w:color w:val="auto"/>
                <w:spacing w:val="0"/>
                <w:position w:val="0"/>
                <w:highlight w:val="none"/>
                <w:lang w:val="en-US" w:eastAsia="zh-CN"/>
              </w:rPr>
              <w:t>mSv/a，</w:t>
            </w:r>
            <w:r>
              <w:rPr>
                <w:rFonts w:hint="default" w:ascii="Times New Roman" w:hAnsi="Times New Roman" w:eastAsia="宋体" w:cs="Times New Roman"/>
                <w:color w:val="auto"/>
                <w:spacing w:val="0"/>
                <w:kern w:val="0"/>
                <w:position w:val="0"/>
                <w:sz w:val="24"/>
                <w:szCs w:val="24"/>
                <w:lang w:val="en-US" w:eastAsia="zh-CN" w:bidi="ar"/>
              </w:rPr>
              <w:t>故本项目50m评价范围内公众叠加原有项目及本项目的有效剂量满足《电离辐射防护与辐射源安全基本标准》（GB18871-2002）中的剂量限值要求和本项目管理目标中对公众剂量约束值的要求（公众年有效剂量不超过0.25mSv/a）。</w:t>
            </w:r>
          </w:p>
          <w:p w14:paraId="23AEEF8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 w:val="24"/>
                <w:szCs w:val="24"/>
                <w:lang w:val="en-US" w:eastAsia="zh-CN" w:bidi="ar"/>
              </w:rPr>
            </w:pPr>
            <w:r>
              <w:rPr>
                <w:rFonts w:hint="default" w:ascii="Times New Roman" w:hAnsi="Times New Roman" w:eastAsia="宋体" w:cs="Times New Roman"/>
                <w:color w:val="auto"/>
                <w:spacing w:val="0"/>
                <w:kern w:val="0"/>
                <w:position w:val="0"/>
                <w:sz w:val="24"/>
                <w:szCs w:val="24"/>
                <w:lang w:val="en-US" w:eastAsia="zh-CN" w:bidi="ar"/>
              </w:rPr>
              <w:t>住院楼4楼3台已有射线装置与本项目属于不同楼层，实际运行过程中，经距离衰减及建筑墙体屏蔽作用，装置对公众有效剂量贡献有限，叠加后对公众造成的辐射影响较小。</w:t>
            </w:r>
          </w:p>
          <w:p w14:paraId="28A1A2AB">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三、大气环境影响分析</w:t>
            </w:r>
          </w:p>
          <w:p w14:paraId="56DE3DD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DSA运行时会使DSA介入室内的空气电离产生少量的臭氧和氮氧化物，</w:t>
            </w:r>
            <w:r>
              <w:rPr>
                <w:rFonts w:hint="default" w:ascii="Times New Roman" w:hAnsi="Times New Roman" w:eastAsia="宋体" w:cs="Times New Roman"/>
                <w:color w:val="auto"/>
                <w:spacing w:val="0"/>
                <w:position w:val="0"/>
                <w:lang w:val="en-US" w:eastAsia="zh-CN"/>
              </w:rPr>
              <w:t>废气经净化空调排风机引至住院楼5楼中央空调机房，经5楼中央空调统一通过住院楼排风竖井排放，排风口设在楼顶，该区域不属于人员办公、就医区域，人员不会长时间驻留，空调外机避开了人群集中区域</w:t>
            </w:r>
            <w:r>
              <w:rPr>
                <w:rFonts w:hint="default" w:ascii="Times New Roman" w:hAnsi="Times New Roman" w:eastAsia="宋体" w:cs="Times New Roman"/>
                <w:color w:val="auto"/>
                <w:spacing w:val="0"/>
                <w:position w:val="0"/>
              </w:rPr>
              <w:t>，周围无环境制约因素，且臭</w:t>
            </w:r>
            <w:r>
              <w:rPr>
                <w:rFonts w:hint="default" w:ascii="Times New Roman" w:hAnsi="Times New Roman" w:eastAsia="宋体" w:cs="Times New Roman"/>
                <w:color w:val="auto"/>
                <w:spacing w:val="0"/>
                <w:position w:val="0"/>
                <w:lang w:eastAsia="zh-CN"/>
              </w:rPr>
              <w:t>氧在</w:t>
            </w:r>
            <w:r>
              <w:rPr>
                <w:rFonts w:hint="default" w:ascii="Times New Roman" w:hAnsi="Times New Roman" w:eastAsia="宋体" w:cs="Times New Roman"/>
                <w:color w:val="auto"/>
                <w:spacing w:val="0"/>
                <w:position w:val="0"/>
              </w:rPr>
              <w:t>常温下可自行分解为氧气，对周围的环境影响很小。</w:t>
            </w:r>
          </w:p>
          <w:p w14:paraId="7EB009A1">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四、水环境影响分析</w:t>
            </w:r>
          </w:p>
          <w:p w14:paraId="4FAC106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lang w:val="en-US" w:eastAsia="zh-CN"/>
              </w:rPr>
              <w:t>本项目</w:t>
            </w:r>
            <w:r>
              <w:rPr>
                <w:rFonts w:hint="default" w:ascii="Times New Roman" w:hAnsi="Times New Roman" w:eastAsia="宋体" w:cs="Times New Roman"/>
                <w:color w:val="auto"/>
                <w:spacing w:val="0"/>
                <w:position w:val="0"/>
              </w:rPr>
              <w:t>工作人员生活污水及手术过程中产生的医疗废水将依托</w:t>
            </w:r>
            <w:r>
              <w:rPr>
                <w:rFonts w:hint="default" w:ascii="Times New Roman" w:hAnsi="Times New Roman" w:eastAsia="宋体" w:cs="Times New Roman"/>
                <w:color w:val="auto"/>
                <w:spacing w:val="0"/>
                <w:position w:val="0"/>
                <w:lang w:val="en-US" w:eastAsia="zh-CN"/>
              </w:rPr>
              <w:t>曲靖市第二人民医院主</w:t>
            </w:r>
            <w:r>
              <w:rPr>
                <w:rFonts w:hint="default" w:ascii="Times New Roman" w:hAnsi="Times New Roman" w:eastAsia="宋体" w:cs="Times New Roman"/>
                <w:color w:val="auto"/>
                <w:spacing w:val="0"/>
                <w:position w:val="0"/>
              </w:rPr>
              <w:t>体</w:t>
            </w:r>
            <w:r>
              <w:rPr>
                <w:rFonts w:hint="default" w:ascii="Times New Roman" w:hAnsi="Times New Roman" w:eastAsia="宋体" w:cs="Times New Roman"/>
                <w:color w:val="auto"/>
                <w:spacing w:val="0"/>
                <w:position w:val="0"/>
                <w:lang w:val="en-US" w:eastAsia="zh-CN"/>
              </w:rPr>
              <w:t>已建</w:t>
            </w:r>
            <w:r>
              <w:rPr>
                <w:rFonts w:hint="default" w:ascii="Times New Roman" w:hAnsi="Times New Roman" w:eastAsia="宋体" w:cs="Times New Roman"/>
                <w:color w:val="auto"/>
                <w:spacing w:val="0"/>
                <w:position w:val="0"/>
              </w:rPr>
              <w:t>的</w:t>
            </w:r>
            <w:r>
              <w:rPr>
                <w:rFonts w:hint="default" w:ascii="Times New Roman" w:hAnsi="Times New Roman" w:eastAsia="宋体" w:cs="Times New Roman"/>
                <w:color w:val="auto"/>
                <w:spacing w:val="0"/>
                <w:position w:val="0"/>
                <w:lang w:val="en-US" w:eastAsia="zh-CN"/>
              </w:rPr>
              <w:t>化粪池和</w:t>
            </w:r>
            <w:r>
              <w:rPr>
                <w:rFonts w:hint="default" w:ascii="Times New Roman" w:hAnsi="Times New Roman" w:eastAsia="宋体" w:cs="Times New Roman"/>
                <w:color w:val="auto"/>
                <w:spacing w:val="0"/>
                <w:position w:val="0"/>
              </w:rPr>
              <w:t>污水处理站进行处置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同时本项目</w:t>
            </w:r>
            <w:r>
              <w:rPr>
                <w:rFonts w:hint="default" w:ascii="Times New Roman" w:hAnsi="Times New Roman" w:eastAsia="宋体" w:cs="Times New Roman"/>
                <w:color w:val="auto"/>
                <w:spacing w:val="0"/>
                <w:position w:val="0"/>
                <w:lang w:eastAsia="zh-CN"/>
              </w:rPr>
              <w:t>辐射工作人员从医院现有人员中调配，</w:t>
            </w:r>
            <w:r>
              <w:rPr>
                <w:rFonts w:hint="default" w:ascii="Times New Roman" w:hAnsi="Times New Roman" w:eastAsia="宋体" w:cs="Times New Roman"/>
                <w:color w:val="auto"/>
                <w:spacing w:val="0"/>
                <w:position w:val="0"/>
                <w:lang w:val="en-US" w:eastAsia="zh-CN"/>
              </w:rPr>
              <w:t>因此不</w:t>
            </w:r>
            <w:r>
              <w:rPr>
                <w:rFonts w:hint="default" w:ascii="Times New Roman" w:hAnsi="Times New Roman" w:eastAsia="宋体" w:cs="Times New Roman"/>
                <w:color w:val="auto"/>
                <w:spacing w:val="0"/>
                <w:position w:val="0"/>
                <w:lang w:eastAsia="zh-CN"/>
              </w:rPr>
              <w:t>新增</w:t>
            </w:r>
            <w:r>
              <w:rPr>
                <w:rFonts w:hint="default" w:ascii="Times New Roman" w:hAnsi="Times New Roman" w:eastAsia="宋体" w:cs="Times New Roman"/>
                <w:color w:val="auto"/>
                <w:spacing w:val="0"/>
                <w:position w:val="0"/>
                <w:lang w:val="en-US" w:eastAsia="zh-CN"/>
              </w:rPr>
              <w:t>医疗人员</w:t>
            </w:r>
            <w:r>
              <w:rPr>
                <w:rFonts w:hint="default" w:ascii="Times New Roman" w:hAnsi="Times New Roman" w:eastAsia="宋体" w:cs="Times New Roman"/>
                <w:color w:val="auto"/>
                <w:spacing w:val="0"/>
                <w:position w:val="0"/>
                <w:lang w:eastAsia="zh-CN"/>
              </w:rPr>
              <w:t>生活污水，</w:t>
            </w:r>
            <w:r>
              <w:rPr>
                <w:rFonts w:hint="default" w:ascii="Times New Roman" w:hAnsi="Times New Roman" w:eastAsia="宋体" w:cs="Times New Roman"/>
                <w:color w:val="auto"/>
                <w:spacing w:val="0"/>
                <w:position w:val="0"/>
                <w:lang w:val="en-US" w:eastAsia="zh-CN"/>
              </w:rPr>
              <w:t>废水进入化粪池进行预处理后统一排入曲靖市第二人民医院已建设的800m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/d的污水处理站统一处理，经处理达标后排至市政污水管网最终进入曲靖市污水处理厂</w:t>
            </w:r>
            <w:r>
              <w:rPr>
                <w:rFonts w:hint="default" w:ascii="Times New Roman" w:hAnsi="Times New Roman" w:eastAsia="宋体" w:cs="Times New Roman"/>
                <w:color w:val="auto"/>
                <w:spacing w:val="0"/>
                <w:position w:val="0"/>
              </w:rPr>
              <w:t>。</w:t>
            </w:r>
          </w:p>
          <w:p w14:paraId="54AB95C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根据前文分析本项目医疗废水经污水处理站处理达标后排入污水管网，根据医院提供资料，目前医院实际废水产生量约为500m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/d，已建的800m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/d污水处理站剩余处理能力能够接纳处理本项目产生的少量废水（</w:t>
            </w:r>
            <w:r>
              <w:rPr>
                <w:rFonts w:hint="default" w:ascii="Times New Roman" w:hAnsi="Times New Roman" w:eastAsia="宋体" w:cs="Times New Roman"/>
                <w:color w:val="auto"/>
                <w:spacing w:val="0"/>
                <w:kern w:val="0"/>
                <w:position w:val="0"/>
                <w:lang w:val="en-US" w:eastAsia="zh-CN"/>
              </w:rPr>
              <w:t>0.205m</w:t>
            </w:r>
            <w:r>
              <w:rPr>
                <w:rFonts w:hint="default" w:ascii="Times New Roman" w:hAnsi="Times New Roman" w:eastAsia="宋体" w:cs="Times New Roman"/>
                <w:color w:val="auto"/>
                <w:spacing w:val="0"/>
                <w:kern w:val="0"/>
                <w:position w:val="0"/>
                <w:vertAlign w:val="superscript"/>
                <w:lang w:val="en-US" w:eastAsia="zh-CN"/>
              </w:rPr>
              <w:t>3</w:t>
            </w:r>
            <w:r>
              <w:rPr>
                <w:rFonts w:hint="default" w:ascii="Times New Roman" w:hAnsi="Times New Roman" w:eastAsia="宋体" w:cs="Times New Roman"/>
                <w:color w:val="auto"/>
                <w:spacing w:val="0"/>
                <w:kern w:val="0"/>
                <w:position w:val="0"/>
                <w:lang w:val="en-US" w:eastAsia="zh-CN"/>
              </w:rPr>
              <w:t>/d</w:t>
            </w:r>
            <w:r>
              <w:rPr>
                <w:rFonts w:hint="default" w:ascii="Times New Roman" w:hAnsi="Times New Roman" w:eastAsia="宋体" w:cs="Times New Roman"/>
                <w:color w:val="auto"/>
                <w:spacing w:val="0"/>
                <w:position w:val="0"/>
                <w:lang w:val="en-US" w:eastAsia="zh-CN"/>
              </w:rPr>
              <w:t>），本项目产生的废水经过处理后，排放浓度满足《医疗机构水污染物排放标准》（GB 18466-2005，含2026年修改单）表2预处理标准和《污水排入城镇下水道水质标准》（GB/T31962-2015）表1A等级标准，</w:t>
            </w:r>
            <w:r>
              <w:rPr>
                <w:rFonts w:hint="default" w:ascii="Times New Roman" w:hAnsi="Times New Roman" w:eastAsia="宋体" w:cs="Times New Roman"/>
                <w:color w:val="auto"/>
                <w:spacing w:val="0"/>
                <w:position w:val="0"/>
                <w:lang w:val="zh-CN"/>
              </w:rPr>
              <w:t>因此本项目产生的少量</w:t>
            </w:r>
            <w:r>
              <w:rPr>
                <w:rFonts w:hint="default" w:ascii="Times New Roman" w:hAnsi="Times New Roman" w:eastAsia="宋体" w:cs="Times New Roman"/>
                <w:color w:val="auto"/>
                <w:spacing w:val="0"/>
                <w:position w:val="0"/>
                <w:lang w:val="en-US" w:eastAsia="zh-CN"/>
              </w:rPr>
              <w:t>能够</w:t>
            </w:r>
            <w:r>
              <w:rPr>
                <w:rFonts w:hint="default" w:ascii="Times New Roman" w:hAnsi="Times New Roman" w:eastAsia="宋体" w:cs="Times New Roman"/>
                <w:color w:val="auto"/>
                <w:spacing w:val="0"/>
                <w:position w:val="0"/>
                <w:lang w:val="zh-CN"/>
              </w:rPr>
              <w:t>依托现有污水处理设施处理</w:t>
            </w:r>
            <w:r>
              <w:rPr>
                <w:rFonts w:hint="default" w:ascii="Times New Roman" w:hAnsi="Times New Roman" w:eastAsia="宋体" w:cs="Times New Roman"/>
                <w:color w:val="auto"/>
                <w:spacing w:val="0"/>
                <w:position w:val="0"/>
                <w:lang w:val="en-US" w:eastAsia="zh-CN"/>
              </w:rPr>
              <w:t>可行</w:t>
            </w:r>
            <w:r>
              <w:rPr>
                <w:rFonts w:hint="default" w:ascii="Times New Roman" w:hAnsi="Times New Roman" w:eastAsia="宋体" w:cs="Times New Roman"/>
                <w:color w:val="auto"/>
                <w:spacing w:val="0"/>
                <w:position w:val="0"/>
                <w:lang w:val="zh-CN"/>
              </w:rPr>
              <w:t>。</w:t>
            </w:r>
          </w:p>
          <w:p w14:paraId="321FF4E9">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五、声环境影响分析</w:t>
            </w:r>
          </w:p>
          <w:p w14:paraId="0802CEF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w:t>
            </w:r>
            <w:r>
              <w:rPr>
                <w:rFonts w:hint="default" w:ascii="Times New Roman" w:hAnsi="Times New Roman" w:eastAsia="宋体" w:cs="Times New Roman"/>
                <w:color w:val="auto"/>
                <w:spacing w:val="0"/>
                <w:position w:val="0"/>
                <w:lang w:val="en-US" w:eastAsia="zh-CN"/>
              </w:rPr>
              <w:t>DSA</w:t>
            </w:r>
            <w:r>
              <w:rPr>
                <w:rFonts w:hint="default" w:ascii="Times New Roman" w:hAnsi="Times New Roman" w:eastAsia="宋体" w:cs="Times New Roman"/>
                <w:color w:val="auto"/>
                <w:spacing w:val="0"/>
                <w:position w:val="0"/>
              </w:rPr>
              <w:t>属于低噪设备，运行时基本无噪声产生，噪声主要来源于</w:t>
            </w:r>
            <w:r>
              <w:rPr>
                <w:rFonts w:hint="default" w:ascii="Times New Roman" w:hAnsi="Times New Roman" w:eastAsia="宋体" w:cs="Times New Roman"/>
                <w:color w:val="auto"/>
                <w:spacing w:val="0"/>
                <w:position w:val="0"/>
                <w:lang w:val="en-US" w:eastAsia="zh-CN"/>
              </w:rPr>
              <w:t>项目</w:t>
            </w:r>
            <w:r>
              <w:rPr>
                <w:rFonts w:hint="default" w:ascii="Times New Roman" w:hAnsi="Times New Roman" w:eastAsia="宋体" w:cs="Times New Roman"/>
                <w:color w:val="auto"/>
                <w:spacing w:val="0"/>
                <w:position w:val="0"/>
              </w:rPr>
              <w:t>配套</w:t>
            </w:r>
            <w:r>
              <w:rPr>
                <w:rFonts w:hint="default" w:ascii="Times New Roman" w:hAnsi="Times New Roman" w:eastAsia="宋体" w:cs="Times New Roman"/>
                <w:color w:val="auto"/>
                <w:spacing w:val="0"/>
                <w:position w:val="0"/>
                <w:lang w:val="en-US" w:eastAsia="zh-CN"/>
              </w:rPr>
              <w:t>换</w:t>
            </w:r>
            <w:r>
              <w:rPr>
                <w:rFonts w:hint="default" w:ascii="Times New Roman" w:hAnsi="Times New Roman" w:eastAsia="宋体" w:cs="Times New Roman"/>
                <w:color w:val="auto"/>
                <w:spacing w:val="0"/>
                <w:position w:val="0"/>
              </w:rPr>
              <w:t>风机运行噪声。项目选用</w:t>
            </w:r>
            <w:r>
              <w:rPr>
                <w:rFonts w:hint="default" w:ascii="Times New Roman" w:hAnsi="Times New Roman" w:eastAsia="宋体" w:cs="Times New Roman"/>
                <w:color w:val="auto"/>
                <w:spacing w:val="0"/>
                <w:position w:val="0"/>
                <w:lang w:val="en-US" w:eastAsia="zh-CN"/>
              </w:rPr>
              <w:t>净化空调</w:t>
            </w:r>
            <w:r>
              <w:rPr>
                <w:rFonts w:hint="default" w:ascii="Times New Roman" w:hAnsi="Times New Roman" w:eastAsia="宋体" w:cs="Times New Roman"/>
                <w:color w:val="auto"/>
                <w:spacing w:val="0"/>
                <w:position w:val="0"/>
              </w:rPr>
              <w:t>换气</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空调外机住院楼5楼专用空调机房内</w:t>
            </w:r>
            <w:r>
              <w:rPr>
                <w:rFonts w:hint="default" w:ascii="Times New Roman" w:hAnsi="Times New Roman" w:eastAsia="宋体" w:cs="Times New Roman"/>
                <w:color w:val="auto"/>
                <w:spacing w:val="0"/>
                <w:position w:val="0"/>
              </w:rPr>
              <w:t>，风机功率较小，噪声一般约为</w:t>
            </w:r>
            <w:r>
              <w:rPr>
                <w:rFonts w:hint="default" w:ascii="Times New Roman" w:hAnsi="Times New Roman" w:eastAsia="宋体" w:cs="Times New Roman"/>
                <w:color w:val="auto"/>
                <w:spacing w:val="0"/>
                <w:position w:val="0"/>
                <w:lang w:val="en-US" w:eastAsia="zh-CN"/>
              </w:rPr>
              <w:t>55</w:t>
            </w:r>
            <w:r>
              <w:rPr>
                <w:rFonts w:hint="default" w:ascii="Times New Roman" w:hAnsi="Times New Roman" w:eastAsia="宋体" w:cs="Times New Roman"/>
                <w:color w:val="auto"/>
                <w:spacing w:val="0"/>
                <w:position w:val="0"/>
              </w:rPr>
              <w:t>dB</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A</w:t>
            </w:r>
            <w:r>
              <w:rPr>
                <w:rFonts w:hint="default" w:ascii="Times New Roman" w:hAnsi="Times New Roman" w:eastAsia="宋体" w:cs="Times New Roman"/>
                <w:color w:val="auto"/>
                <w:spacing w:val="0"/>
                <w:position w:val="0"/>
                <w:lang w:eastAsia="zh-CN"/>
              </w:rPr>
              <w:t>），排风、新风（送风）管道上设置有消声器，外机支架上面使用减振器降噪处理，通过降噪措施降噪、机房墙体阻隔和距离衰减后，对周围声环境影响较小</w:t>
            </w:r>
            <w:r>
              <w:rPr>
                <w:rFonts w:hint="default" w:ascii="Times New Roman" w:hAnsi="Times New Roman" w:eastAsia="宋体" w:cs="Times New Roman"/>
                <w:color w:val="auto"/>
                <w:spacing w:val="0"/>
                <w:position w:val="0"/>
              </w:rPr>
              <w:t>。</w:t>
            </w:r>
          </w:p>
          <w:p w14:paraId="2E28C615">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六、固体废弃物影响分析</w:t>
            </w:r>
          </w:p>
          <w:p w14:paraId="76C948F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①本项目DSA采用数字成像，无废胶片产生；</w:t>
            </w:r>
          </w:p>
          <w:p w14:paraId="395CD8D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yellow"/>
                <w:lang w:val="en-US" w:eastAsia="zh-CN"/>
              </w:rPr>
            </w:pPr>
            <w:r>
              <w:rPr>
                <w:rFonts w:hint="default" w:ascii="Times New Roman" w:hAnsi="Times New Roman" w:eastAsia="宋体" w:cs="Times New Roman"/>
                <w:color w:val="auto"/>
                <w:spacing w:val="0"/>
                <w:position w:val="0"/>
              </w:rPr>
              <w:t>②</w:t>
            </w:r>
            <w:r>
              <w:rPr>
                <w:rFonts w:hint="default" w:ascii="Times New Roman" w:hAnsi="Times New Roman" w:eastAsia="宋体" w:cs="Times New Roman"/>
                <w:color w:val="auto"/>
                <w:spacing w:val="0"/>
                <w:position w:val="0"/>
                <w:highlight w:val="none"/>
                <w:lang w:val="en-US" w:eastAsia="zh-CN"/>
              </w:rPr>
              <w:t>造影剂使用完后，造影剂瓶同</w:t>
            </w:r>
            <w:r>
              <w:rPr>
                <w:rFonts w:hint="default" w:ascii="Times New Roman" w:hAnsi="Times New Roman" w:eastAsia="宋体" w:cs="Times New Roman"/>
                <w:color w:val="auto"/>
                <w:spacing w:val="0"/>
                <w:position w:val="0"/>
                <w:highlight w:val="none"/>
              </w:rPr>
              <w:t>手术过程中产生的棉签、纱布、手套、器具等医疗废物暂时收集于DSA介入室的医疗废物垃圾桶内，手术结束后运送至医院</w:t>
            </w:r>
            <w:r>
              <w:rPr>
                <w:rFonts w:hint="default" w:ascii="Times New Roman" w:hAnsi="Times New Roman" w:eastAsia="宋体" w:cs="Times New Roman"/>
                <w:color w:val="auto"/>
                <w:spacing w:val="0"/>
                <w:position w:val="0"/>
                <w:highlight w:val="none"/>
                <w:lang w:val="en-US" w:eastAsia="zh-CN"/>
              </w:rPr>
              <w:t>的医疗废物暂存间</w:t>
            </w:r>
            <w:r>
              <w:rPr>
                <w:rFonts w:hint="default" w:ascii="Times New Roman" w:hAnsi="Times New Roman" w:eastAsia="宋体" w:cs="Times New Roman"/>
                <w:color w:val="auto"/>
                <w:spacing w:val="0"/>
                <w:position w:val="0"/>
                <w:highlight w:val="none"/>
              </w:rPr>
              <w:t>内暂存</w:t>
            </w:r>
            <w:r>
              <w:rPr>
                <w:rFonts w:hint="default" w:ascii="Times New Roman" w:hAnsi="Times New Roman" w:eastAsia="宋体" w:cs="Times New Roman"/>
                <w:color w:val="auto"/>
                <w:spacing w:val="0"/>
                <w:position w:val="0"/>
              </w:rPr>
              <w:t>，后委托有资质的医疗废物处置单位进行处置；</w:t>
            </w:r>
          </w:p>
          <w:p w14:paraId="328655B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③</w:t>
            </w:r>
            <w:r>
              <w:rPr>
                <w:rFonts w:hint="default" w:ascii="Times New Roman" w:hAnsi="Times New Roman" w:eastAsia="宋体" w:cs="Times New Roman"/>
                <w:color w:val="auto"/>
                <w:spacing w:val="0"/>
                <w:position w:val="0"/>
              </w:rPr>
              <w:t>工作人员工作中产生的少量办公垃圾，通过普通垃圾桶收集后，运送至医院垃圾</w:t>
            </w:r>
            <w:r>
              <w:rPr>
                <w:rFonts w:hint="default" w:ascii="Times New Roman" w:hAnsi="Times New Roman" w:eastAsia="宋体" w:cs="Times New Roman"/>
                <w:color w:val="auto"/>
                <w:spacing w:val="0"/>
                <w:position w:val="0"/>
                <w:lang w:val="en-US" w:eastAsia="zh-CN"/>
              </w:rPr>
              <w:t>收集房</w:t>
            </w:r>
            <w:r>
              <w:rPr>
                <w:rFonts w:hint="default" w:ascii="Times New Roman" w:hAnsi="Times New Roman" w:eastAsia="宋体" w:cs="Times New Roman"/>
                <w:color w:val="auto"/>
                <w:spacing w:val="0"/>
                <w:position w:val="0"/>
              </w:rPr>
              <w:t>暂存，后交由环卫部门统一处理。</w:t>
            </w:r>
          </w:p>
          <w:p w14:paraId="7E9AF2F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医疗废物和生活垃圾存放时间不超过2天。医疗</w:t>
            </w:r>
            <w:r>
              <w:rPr>
                <w:rFonts w:hint="default" w:ascii="Times New Roman" w:hAnsi="Times New Roman" w:eastAsia="宋体" w:cs="Times New Roman"/>
                <w:color w:val="auto"/>
                <w:spacing w:val="0"/>
                <w:position w:val="0"/>
                <w:lang w:val="en-US" w:eastAsia="zh-CN"/>
              </w:rPr>
              <w:t>固废临时贮存间</w:t>
            </w:r>
            <w:r>
              <w:rPr>
                <w:rFonts w:hint="default" w:ascii="Times New Roman" w:hAnsi="Times New Roman" w:eastAsia="宋体" w:cs="Times New Roman"/>
                <w:color w:val="auto"/>
                <w:spacing w:val="0"/>
                <w:position w:val="0"/>
              </w:rPr>
              <w:t>必须贴有明显标识，建立健全的医疗废物转移台账。</w:t>
            </w:r>
          </w:p>
          <w:p w14:paraId="3F7C4DC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院区已单独设置医疗废物暂存间，设计阶段，已考虑全院满住院和最大就诊人数情况下的医疗废物产生量，设计的医疗废物暂存间规模和空间能够接纳院区产生的医疗废物。医疗废物暂时储存间完全封闭、并防渗防漏，由专人管理，定期消毒，医疗废物暂存间按照《危险废物贮存污染控制标准》（GB18597-2023）中6.1.4条要求进行了防渗建设。</w:t>
            </w:r>
            <w:r>
              <w:rPr>
                <w:rFonts w:hint="default" w:ascii="Times New Roman" w:hAnsi="Times New Roman" w:eastAsia="宋体" w:cs="Times New Roman"/>
                <w:color w:val="auto"/>
                <w:spacing w:val="0"/>
                <w:position w:val="0"/>
              </w:rPr>
              <w:t>本项目固体废弃物处理措施满足环保要求，固体废弃物经妥善处理后对周围环境影响很小。</w:t>
            </w:r>
          </w:p>
          <w:p w14:paraId="35C48FAA">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11.3事故影响分析</w:t>
            </w:r>
          </w:p>
          <w:p w14:paraId="15A35F7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放射性同位素与射线装置安全和防护条例》（国务院令第449号）第四十条：根据辐射事故的性质、严重程度、可控性和影响范围等因素，从重到轻将辐射事故分为特别重大辐射事故、重大辐射事故、较大辐射事故和一般辐射事故四个等级。</w:t>
            </w:r>
          </w:p>
          <w:p w14:paraId="4A8213F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①特别重大辐射事故，是指Ⅰ类、Ⅱ类放射源丢失、被盗、失控造成大范围严重辐射污染后果，或者放射性同位素和射线装置失控导致3人以上（含3人）急性死亡。</w:t>
            </w:r>
          </w:p>
          <w:p w14:paraId="4ED05C4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②重大辐射事故，是指Ⅰ类、Ⅱ类放射源丢失、被盗、失控，或者放射性同位素和射线装置失控导致2人以下（含2人）急性死亡或者10人以上（含10人）急性重度放射病、局部器官残疾。</w:t>
            </w:r>
          </w:p>
          <w:p w14:paraId="4EB3924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③较大辐射事故，是指Ⅲ类放射源丢失、被盗、失控，或者放射性同位素和射线装置失控导致9人以下（含9）急性重度放射病、局部器官残疾。</w:t>
            </w:r>
          </w:p>
          <w:p w14:paraId="3850F0B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④一般辐射事故：Ⅳ类、Ⅴ类放射源丢失、被盗、失控，或放射性同位素和射线装置失控导致人员受到超过年剂量限值的照射。</w:t>
            </w:r>
          </w:p>
          <w:p w14:paraId="7FA925DA">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本项目可能产生的辐射事故主要有：</w:t>
            </w:r>
          </w:p>
          <w:p w14:paraId="1CEB2CA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本项目涉及一台类射线装置——数字减影血管造影</w:t>
            </w:r>
            <w:r>
              <w:rPr>
                <w:rFonts w:hint="default" w:ascii="Times New Roman" w:hAnsi="Times New Roman" w:eastAsia="宋体" w:cs="Times New Roman"/>
                <w:color w:val="auto"/>
                <w:spacing w:val="0"/>
                <w:position w:val="0"/>
                <w:lang w:eastAsia="zh-CN"/>
              </w:rPr>
              <w:t>系统</w:t>
            </w:r>
            <w:r>
              <w:rPr>
                <w:rFonts w:hint="default" w:ascii="Times New Roman" w:hAnsi="Times New Roman" w:eastAsia="宋体" w:cs="Times New Roman"/>
                <w:color w:val="auto"/>
                <w:spacing w:val="0"/>
                <w:position w:val="0"/>
              </w:rPr>
              <w:t>（DSA）的使用。DSA射线装置不运行时不存在放射性事故，也不存在影响辐射环境质量事故，只有DSA射线</w:t>
            </w:r>
            <w:r>
              <w:rPr>
                <w:rFonts w:hint="default" w:ascii="Times New Roman" w:hAnsi="Times New Roman" w:eastAsia="宋体" w:cs="Times New Roman"/>
                <w:color w:val="auto"/>
                <w:spacing w:val="0"/>
                <w:position w:val="0"/>
                <w:lang w:eastAsia="zh-CN"/>
              </w:rPr>
              <w:t>装置</w:t>
            </w:r>
            <w:r>
              <w:rPr>
                <w:rFonts w:hint="default" w:ascii="Times New Roman" w:hAnsi="Times New Roman" w:eastAsia="宋体" w:cs="Times New Roman"/>
                <w:color w:val="auto"/>
                <w:spacing w:val="0"/>
                <w:position w:val="0"/>
              </w:rPr>
              <w:t>运行期间才会产生X射线等危害因素，事故主要包括以下几种：</w:t>
            </w:r>
          </w:p>
          <w:p w14:paraId="489DAB4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（1）门灯</w:t>
            </w:r>
            <w:r>
              <w:rPr>
                <w:rFonts w:hint="default" w:ascii="Times New Roman" w:hAnsi="Times New Roman" w:eastAsia="宋体" w:cs="Times New Roman"/>
                <w:color w:val="auto"/>
                <w:spacing w:val="0"/>
                <w:position w:val="0"/>
                <w:lang w:eastAsia="zh-CN"/>
              </w:rPr>
              <w:t>联锁</w:t>
            </w:r>
            <w:r>
              <w:rPr>
                <w:rFonts w:hint="default" w:ascii="Times New Roman" w:hAnsi="Times New Roman" w:eastAsia="宋体" w:cs="Times New Roman"/>
                <w:color w:val="auto"/>
                <w:spacing w:val="0"/>
                <w:position w:val="0"/>
              </w:rPr>
              <w:t>装置和报警系统发生故障状况下，人员误入正在运行的射线装置机房。</w:t>
            </w:r>
          </w:p>
          <w:p w14:paraId="7A6FBD0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w:t>
            </w:r>
            <w:r>
              <w:rPr>
                <w:rFonts w:hint="default" w:ascii="Times New Roman" w:hAnsi="Times New Roman" w:eastAsia="宋体" w:cs="Times New Roman"/>
                <w:color w:val="auto"/>
                <w:spacing w:val="0"/>
                <w:position w:val="0"/>
                <w:lang w:eastAsia="zh-CN"/>
              </w:rPr>
              <w:t>其他</w:t>
            </w:r>
            <w:r>
              <w:rPr>
                <w:rFonts w:hint="default" w:ascii="Times New Roman" w:hAnsi="Times New Roman" w:eastAsia="宋体" w:cs="Times New Roman"/>
                <w:color w:val="auto"/>
                <w:spacing w:val="0"/>
                <w:position w:val="0"/>
              </w:rPr>
              <w:t>医护人员在未撤出机房时，即进行曝光，人员受到不必要的照射。所受到的照射剂量与其所在位置有关，距离射线装置越近，受照剂量越大。</w:t>
            </w:r>
          </w:p>
          <w:p w14:paraId="6DAB6D7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（3）在防护门未关闭的情况下即进行曝光操作，可能给工作人员和周围活动的人员造成不必要的照射。</w:t>
            </w:r>
          </w:p>
          <w:p w14:paraId="23D1151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（4）医护人员开展介入治疗时，未穿防护服进行手术操作受到射线照射。</w:t>
            </w:r>
          </w:p>
          <w:p w14:paraId="052426E8">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lang w:val="en-US" w:eastAsia="zh-CN"/>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事故影响</w:t>
            </w:r>
            <w:r>
              <w:rPr>
                <w:rFonts w:hint="default" w:ascii="Times New Roman" w:hAnsi="Times New Roman" w:eastAsia="宋体" w:cs="Times New Roman"/>
                <w:b/>
                <w:bCs/>
                <w:color w:val="auto"/>
                <w:spacing w:val="0"/>
                <w:position w:val="0"/>
                <w:lang w:val="en-US" w:eastAsia="zh-CN"/>
              </w:rPr>
              <w:t>分析</w:t>
            </w:r>
          </w:p>
          <w:p w14:paraId="6B55618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（1）不同事故情况下人员受到的有效剂量当量</w:t>
            </w:r>
          </w:p>
          <w:p w14:paraId="5576EE9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根据以上可能发生的事故可以看出，事故情况下人员均处于非主射束方向。其中事故工况（1）～（3），保守按公众误入或未撤离或防护门未关闭、与射线束之间最近距离为0.3m，无防护来考虑事故情况下人员受到的有效剂量当量；事故工况（4），具体细分为第一术者位和第二术者位两个操作位，其中第一术者位未穿防护服且无铅帘遮挡，未穿防护服或无铅帘遮挡，与射线束之间最近距离为0.3m；第二术者位未穿防护服且无铅帘遮挡，未穿防护服或无铅帘遮挡，与射线束之间最近距离为0.8m。</w:t>
            </w:r>
          </w:p>
          <w:p w14:paraId="790265D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val="en-US" w:eastAsia="zh-CN"/>
              </w:rPr>
              <w:t>根据院方提供的资料，本项目一台DSA手术中累积减影时间最长为1min，透视时间为15min，其减影工况为65~95kV/200～650mA，透视工况为60~75kV/5～15mA。机房内设置可以观察机房的监控设备，同时在减影、透视曝光时间，操作人员会通过观察窗随时观察病患情况，因此如果有无关人员误入机房时会很快发现并及时停止出束，由于减影工况比透视工况要大，因此，无关人员误入按</w:t>
            </w:r>
            <w:r>
              <w:rPr>
                <w:rFonts w:hint="eastAsia" w:cs="Times New Roman"/>
                <w:color w:val="auto"/>
                <w:spacing w:val="0"/>
                <w:position w:val="0"/>
                <w:highlight w:val="none"/>
                <w:lang w:val="en-US" w:eastAsia="zh-CN"/>
              </w:rPr>
              <w:t>1</w:t>
            </w:r>
            <w:r>
              <w:rPr>
                <w:rFonts w:hint="default" w:ascii="Times New Roman" w:hAnsi="Times New Roman" w:eastAsia="宋体" w:cs="Times New Roman"/>
                <w:color w:val="auto"/>
                <w:spacing w:val="0"/>
                <w:position w:val="0"/>
                <w:highlight w:val="none"/>
                <w:lang w:val="en-US" w:eastAsia="zh-CN"/>
              </w:rPr>
              <w:t>min减影时间计算，以15min透视时间估算职业人员无防护或仅有设备自带铅帘情况下造成误照射剂量。 DSA</w:t>
            </w:r>
            <w:r>
              <w:rPr>
                <w:rFonts w:hint="default" w:ascii="Times New Roman" w:hAnsi="Times New Roman" w:eastAsia="宋体" w:cs="Times New Roman"/>
                <w:color w:val="auto"/>
                <w:spacing w:val="0"/>
                <w:position w:val="0"/>
                <w:highlight w:val="none"/>
              </w:rPr>
              <w:t>不同事故情况下工作人员及公众所受到的有效剂量当量见表11</w:t>
            </w:r>
            <w:r>
              <w:rPr>
                <w:rFonts w:hint="default" w:ascii="Times New Roman" w:hAnsi="Times New Roman" w:eastAsia="宋体" w:cs="Times New Roman"/>
                <w:color w:val="auto"/>
                <w:spacing w:val="0"/>
                <w:position w:val="0"/>
                <w:highlight w:val="none"/>
                <w:lang w:val="en-US" w:eastAsia="zh-CN"/>
              </w:rPr>
              <w:t>-9</w:t>
            </w:r>
            <w:r>
              <w:rPr>
                <w:rFonts w:hint="default" w:ascii="Times New Roman" w:hAnsi="Times New Roman" w:eastAsia="宋体" w:cs="Times New Roman"/>
                <w:color w:val="auto"/>
                <w:spacing w:val="0"/>
                <w:position w:val="0"/>
                <w:highlight w:val="none"/>
              </w:rPr>
              <w:t>。</w:t>
            </w:r>
          </w:p>
          <w:p w14:paraId="44F33188">
            <w:pPr>
              <w:pStyle w:val="35"/>
              <w:suppressLineNumbers w:val="0"/>
              <w:bidi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表11-</w:t>
            </w: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不同事故情况下人员所致剂量当量估算</w:t>
            </w:r>
          </w:p>
          <w:tbl>
            <w:tblPr>
              <w:tblStyle w:val="53"/>
              <w:tblW w:w="494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8"/>
              <w:gridCol w:w="940"/>
              <w:gridCol w:w="912"/>
              <w:gridCol w:w="382"/>
              <w:gridCol w:w="1532"/>
              <w:gridCol w:w="525"/>
              <w:gridCol w:w="525"/>
              <w:gridCol w:w="1003"/>
              <w:gridCol w:w="791"/>
              <w:gridCol w:w="1140"/>
              <w:gridCol w:w="802"/>
            </w:tblGrid>
            <w:tr w14:paraId="4926C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718" w:type="pct"/>
                  <w:gridSpan w:val="2"/>
                  <w:noWrap w:val="0"/>
                  <w:vAlign w:val="center"/>
                </w:tcPr>
                <w:p w14:paraId="770A2276">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事故情况</w:t>
                  </w:r>
                </w:p>
              </w:tc>
              <w:tc>
                <w:tcPr>
                  <w:tcW w:w="512" w:type="pct"/>
                  <w:noWrap w:val="0"/>
                  <w:vAlign w:val="center"/>
                </w:tcPr>
                <w:p w14:paraId="75D298EA">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与射线束之间最近距离（m）</w:t>
                  </w:r>
                </w:p>
              </w:tc>
              <w:tc>
                <w:tcPr>
                  <w:tcW w:w="214" w:type="pct"/>
                  <w:noWrap w:val="0"/>
                  <w:vAlign w:val="center"/>
                </w:tcPr>
                <w:p w14:paraId="1ACFB6A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人员</w:t>
                  </w:r>
                </w:p>
              </w:tc>
              <w:tc>
                <w:tcPr>
                  <w:tcW w:w="861" w:type="pct"/>
                  <w:noWrap w:val="0"/>
                  <w:vAlign w:val="center"/>
                </w:tcPr>
                <w:p w14:paraId="1D4DDE9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防护情况</w:t>
                  </w:r>
                </w:p>
              </w:tc>
              <w:tc>
                <w:tcPr>
                  <w:tcW w:w="295" w:type="pct"/>
                  <w:noWrap w:val="0"/>
                  <w:vAlign w:val="center"/>
                </w:tcPr>
                <w:p w14:paraId="3EC6483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防护铅当量</w:t>
                  </w:r>
                </w:p>
              </w:tc>
              <w:tc>
                <w:tcPr>
                  <w:tcW w:w="295" w:type="pct"/>
                  <w:noWrap w:val="0"/>
                  <w:vAlign w:val="center"/>
                </w:tcPr>
                <w:p w14:paraId="7B1168A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曝光方式</w:t>
                  </w:r>
                </w:p>
              </w:tc>
              <w:tc>
                <w:tcPr>
                  <w:tcW w:w="564" w:type="pct"/>
                  <w:noWrap w:val="0"/>
                  <w:vAlign w:val="center"/>
                </w:tcPr>
                <w:p w14:paraId="7731839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剂量率水平（μSv/h）</w:t>
                  </w:r>
                </w:p>
              </w:tc>
              <w:tc>
                <w:tcPr>
                  <w:tcW w:w="444" w:type="pct"/>
                  <w:noWrap w:val="0"/>
                  <w:vAlign w:val="center"/>
                </w:tcPr>
                <w:p w14:paraId="5C62E1EA">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曝光时间（</w:t>
                  </w:r>
                  <w:r>
                    <w:rPr>
                      <w:rFonts w:hint="default" w:ascii="Times New Roman" w:hAnsi="Times New Roman" w:eastAsia="宋体" w:cs="Times New Roman"/>
                      <w:color w:val="auto"/>
                      <w:sz w:val="21"/>
                      <w:szCs w:val="21"/>
                      <w:highlight w:val="none"/>
                      <w:lang w:val="en-US" w:eastAsia="zh-CN"/>
                    </w:rPr>
                    <w:t>min</w:t>
                  </w:r>
                  <w:r>
                    <w:rPr>
                      <w:rFonts w:hint="default" w:ascii="Times New Roman" w:hAnsi="Times New Roman" w:eastAsia="宋体" w:cs="Times New Roman"/>
                      <w:color w:val="auto"/>
                      <w:sz w:val="21"/>
                      <w:szCs w:val="21"/>
                      <w:highlight w:val="none"/>
                    </w:rPr>
                    <w:t>）</w:t>
                  </w:r>
                </w:p>
              </w:tc>
              <w:tc>
                <w:tcPr>
                  <w:tcW w:w="641" w:type="pct"/>
                  <w:noWrap w:val="0"/>
                  <w:vAlign w:val="center"/>
                </w:tcPr>
                <w:p w14:paraId="27D7698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所致剂量当量估算（mSv）</w:t>
                  </w:r>
                </w:p>
              </w:tc>
              <w:tc>
                <w:tcPr>
                  <w:tcW w:w="451" w:type="pct"/>
                  <w:noWrap w:val="0"/>
                  <w:vAlign w:val="center"/>
                </w:tcPr>
                <w:p w14:paraId="517E654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剂量限值（mSv）</w:t>
                  </w:r>
                </w:p>
              </w:tc>
            </w:tr>
            <w:tr w14:paraId="385FC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718" w:type="pct"/>
                  <w:gridSpan w:val="2"/>
                  <w:noWrap w:val="0"/>
                  <w:vAlign w:val="center"/>
                </w:tcPr>
                <w:p w14:paraId="1F849D9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公众（误入或未撤离</w:t>
                  </w:r>
                  <w:r>
                    <w:rPr>
                      <w:rFonts w:hint="default" w:ascii="Times New Roman" w:hAnsi="Times New Roman" w:eastAsia="宋体" w:cs="Times New Roman"/>
                      <w:color w:val="auto"/>
                      <w:sz w:val="21"/>
                      <w:szCs w:val="21"/>
                      <w:highlight w:val="none"/>
                      <w:lang w:eastAsia="zh-CN"/>
                    </w:rPr>
                    <w:t>或</w:t>
                  </w:r>
                  <w:r>
                    <w:rPr>
                      <w:rFonts w:hint="default" w:ascii="Times New Roman" w:hAnsi="Times New Roman" w:eastAsia="宋体" w:cs="Times New Roman"/>
                      <w:color w:val="auto"/>
                      <w:sz w:val="21"/>
                      <w:szCs w:val="21"/>
                      <w:highlight w:val="none"/>
                    </w:rPr>
                    <w:t>防护门未关闭）</w:t>
                  </w:r>
                </w:p>
              </w:tc>
              <w:tc>
                <w:tcPr>
                  <w:tcW w:w="512" w:type="pct"/>
                  <w:noWrap w:val="0"/>
                  <w:vAlign w:val="center"/>
                </w:tcPr>
                <w:p w14:paraId="05B8617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p>
              </w:tc>
              <w:tc>
                <w:tcPr>
                  <w:tcW w:w="214" w:type="pct"/>
                  <w:noWrap w:val="0"/>
                  <w:vAlign w:val="center"/>
                </w:tcPr>
                <w:p w14:paraId="38C030E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公众</w:t>
                  </w:r>
                </w:p>
              </w:tc>
              <w:tc>
                <w:tcPr>
                  <w:tcW w:w="861" w:type="pct"/>
                  <w:noWrap w:val="0"/>
                  <w:vAlign w:val="center"/>
                </w:tcPr>
                <w:p w14:paraId="3FEFECD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无防护</w:t>
                  </w:r>
                </w:p>
              </w:tc>
              <w:tc>
                <w:tcPr>
                  <w:tcW w:w="295" w:type="pct"/>
                  <w:noWrap w:val="0"/>
                  <w:vAlign w:val="center"/>
                </w:tcPr>
                <w:p w14:paraId="764C790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p>
              </w:tc>
              <w:tc>
                <w:tcPr>
                  <w:tcW w:w="295" w:type="pct"/>
                  <w:noWrap w:val="0"/>
                  <w:vAlign w:val="center"/>
                </w:tcPr>
                <w:p w14:paraId="0997D30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95kV减影</w:t>
                  </w:r>
                </w:p>
              </w:tc>
              <w:tc>
                <w:tcPr>
                  <w:tcW w:w="564" w:type="pct"/>
                  <w:noWrap w:val="0"/>
                  <w:vAlign w:val="center"/>
                </w:tcPr>
                <w:p w14:paraId="105E752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3.43E+06</w:t>
                  </w:r>
                </w:p>
              </w:tc>
              <w:tc>
                <w:tcPr>
                  <w:tcW w:w="444" w:type="pct"/>
                  <w:noWrap w:val="0"/>
                  <w:vAlign w:val="center"/>
                </w:tcPr>
                <w:p w14:paraId="3B2A1363">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1140" w:type="dxa"/>
                  <w:noWrap w:val="0"/>
                  <w:vAlign w:val="center"/>
                </w:tcPr>
                <w:p w14:paraId="0A2EF2D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57.1</w:t>
                  </w:r>
                  <w:r>
                    <w:rPr>
                      <w:rFonts w:hint="default" w:ascii="Times New Roman" w:hAnsi="Times New Roman" w:eastAsia="宋体" w:cs="Times New Roman"/>
                      <w:color w:val="auto"/>
                      <w:sz w:val="21"/>
                      <w:szCs w:val="21"/>
                      <w:highlight w:val="none"/>
                      <w:lang w:val="en-US" w:eastAsia="zh-CN"/>
                    </w:rPr>
                    <w:t xml:space="preserve"> </w:t>
                  </w:r>
                </w:p>
              </w:tc>
              <w:tc>
                <w:tcPr>
                  <w:tcW w:w="451" w:type="pct"/>
                  <w:noWrap w:val="0"/>
                  <w:vAlign w:val="center"/>
                </w:tcPr>
                <w:p w14:paraId="1CA477C5">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0B306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90" w:type="pct"/>
                  <w:vMerge w:val="restart"/>
                  <w:tcBorders>
                    <w:right w:val="single" w:color="auto" w:sz="4" w:space="0"/>
                  </w:tcBorders>
                  <w:noWrap w:val="0"/>
                  <w:vAlign w:val="center"/>
                </w:tcPr>
                <w:p w14:paraId="00A7690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职业人员</w:t>
                  </w:r>
                </w:p>
              </w:tc>
              <w:tc>
                <w:tcPr>
                  <w:tcW w:w="528" w:type="pct"/>
                  <w:vMerge w:val="restart"/>
                  <w:tcBorders>
                    <w:left w:val="single" w:color="auto" w:sz="4" w:space="0"/>
                  </w:tcBorders>
                  <w:noWrap w:val="0"/>
                  <w:vAlign w:val="center"/>
                </w:tcPr>
                <w:p w14:paraId="764B7649">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第一术者位</w:t>
                  </w:r>
                </w:p>
              </w:tc>
              <w:tc>
                <w:tcPr>
                  <w:tcW w:w="512" w:type="pct"/>
                  <w:vMerge w:val="restart"/>
                  <w:noWrap w:val="0"/>
                  <w:vAlign w:val="center"/>
                </w:tcPr>
                <w:p w14:paraId="29F44772">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0.3</w:t>
                  </w:r>
                </w:p>
              </w:tc>
              <w:tc>
                <w:tcPr>
                  <w:tcW w:w="214" w:type="pct"/>
                  <w:vMerge w:val="restart"/>
                  <w:noWrap w:val="0"/>
                  <w:vAlign w:val="center"/>
                </w:tcPr>
                <w:p w14:paraId="6FEC6F4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职业</w:t>
                  </w:r>
                </w:p>
              </w:tc>
              <w:tc>
                <w:tcPr>
                  <w:tcW w:w="861" w:type="pct"/>
                  <w:noWrap w:val="0"/>
                  <w:vAlign w:val="center"/>
                </w:tcPr>
                <w:p w14:paraId="1FD19DD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未穿防护服且无床侧防护帘遮挡</w:t>
                  </w:r>
                </w:p>
              </w:tc>
              <w:tc>
                <w:tcPr>
                  <w:tcW w:w="295" w:type="pct"/>
                  <w:noWrap w:val="0"/>
                  <w:vAlign w:val="center"/>
                </w:tcPr>
                <w:p w14:paraId="3A0B183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p>
              </w:tc>
              <w:tc>
                <w:tcPr>
                  <w:tcW w:w="295" w:type="pct"/>
                  <w:noWrap w:val="0"/>
                  <w:vAlign w:val="center"/>
                </w:tcPr>
                <w:p w14:paraId="14EEDFE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75kV透视</w:t>
                  </w:r>
                </w:p>
              </w:tc>
              <w:tc>
                <w:tcPr>
                  <w:tcW w:w="1003" w:type="dxa"/>
                  <w:noWrap w:val="0"/>
                  <w:vAlign w:val="center"/>
                </w:tcPr>
                <w:p w14:paraId="31E60F56">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6.23E+04</w:t>
                  </w:r>
                </w:p>
              </w:tc>
              <w:tc>
                <w:tcPr>
                  <w:tcW w:w="444" w:type="pct"/>
                  <w:noWrap w:val="0"/>
                  <w:vAlign w:val="center"/>
                </w:tcPr>
                <w:p w14:paraId="12AA7957">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140" w:type="dxa"/>
                  <w:noWrap w:val="0"/>
                  <w:vAlign w:val="center"/>
                </w:tcPr>
                <w:p w14:paraId="0C51ACA5">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15.58 </w:t>
                  </w:r>
                </w:p>
              </w:tc>
              <w:tc>
                <w:tcPr>
                  <w:tcW w:w="451" w:type="pct"/>
                  <w:noWrap w:val="0"/>
                  <w:vAlign w:val="center"/>
                </w:tcPr>
                <w:p w14:paraId="61E7288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r>
            <w:tr w14:paraId="57605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90" w:type="pct"/>
                  <w:vMerge w:val="continue"/>
                  <w:tcBorders>
                    <w:right w:val="single" w:color="auto" w:sz="4" w:space="0"/>
                  </w:tcBorders>
                  <w:noWrap w:val="0"/>
                  <w:vAlign w:val="center"/>
                </w:tcPr>
                <w:p w14:paraId="2A7F53A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28" w:type="pct"/>
                  <w:vMerge w:val="continue"/>
                  <w:tcBorders>
                    <w:left w:val="single" w:color="auto" w:sz="4" w:space="0"/>
                    <w:bottom w:val="single" w:color="auto" w:sz="4" w:space="0"/>
                  </w:tcBorders>
                  <w:noWrap w:val="0"/>
                  <w:vAlign w:val="center"/>
                </w:tcPr>
                <w:p w14:paraId="19DDF13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512" w:type="pct"/>
                  <w:vMerge w:val="continue"/>
                  <w:noWrap w:val="0"/>
                  <w:vAlign w:val="center"/>
                </w:tcPr>
                <w:p w14:paraId="7926C43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214" w:type="pct"/>
                  <w:vMerge w:val="continue"/>
                  <w:noWrap w:val="0"/>
                  <w:vAlign w:val="center"/>
                </w:tcPr>
                <w:p w14:paraId="60797559">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861" w:type="pct"/>
                  <w:noWrap w:val="0"/>
                  <w:vAlign w:val="center"/>
                </w:tcPr>
                <w:p w14:paraId="2FDCAB7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w:t>
                  </w:r>
                  <w:r>
                    <w:rPr>
                      <w:rFonts w:hint="default" w:ascii="Times New Roman" w:hAnsi="Times New Roman" w:eastAsia="宋体" w:cs="Times New Roman"/>
                      <w:color w:val="auto"/>
                      <w:sz w:val="21"/>
                      <w:szCs w:val="21"/>
                      <w:highlight w:val="none"/>
                      <w:lang w:val="en-US" w:eastAsia="zh-CN"/>
                    </w:rPr>
                    <w:t>或</w:t>
                  </w:r>
                  <w:r>
                    <w:rPr>
                      <w:rFonts w:hint="default" w:ascii="Times New Roman" w:hAnsi="Times New Roman" w:eastAsia="宋体" w:cs="Times New Roman"/>
                      <w:color w:val="auto"/>
                      <w:sz w:val="21"/>
                      <w:szCs w:val="21"/>
                      <w:highlight w:val="none"/>
                    </w:rPr>
                    <w:t>无床侧防护帘遮挡</w:t>
                  </w:r>
                </w:p>
              </w:tc>
              <w:tc>
                <w:tcPr>
                  <w:tcW w:w="295" w:type="pct"/>
                  <w:noWrap w:val="0"/>
                  <w:vAlign w:val="center"/>
                </w:tcPr>
                <w:p w14:paraId="2DC16B7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w:t>
                  </w:r>
                </w:p>
              </w:tc>
              <w:tc>
                <w:tcPr>
                  <w:tcW w:w="295" w:type="pct"/>
                  <w:noWrap w:val="0"/>
                  <w:vAlign w:val="center"/>
                </w:tcPr>
                <w:p w14:paraId="523E42C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75kV透视</w:t>
                  </w:r>
                </w:p>
              </w:tc>
              <w:tc>
                <w:tcPr>
                  <w:tcW w:w="1003" w:type="dxa"/>
                  <w:noWrap w:val="0"/>
                  <w:vAlign w:val="center"/>
                </w:tcPr>
                <w:p w14:paraId="7CCE66E2">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5.61E+02</w:t>
                  </w:r>
                </w:p>
              </w:tc>
              <w:tc>
                <w:tcPr>
                  <w:tcW w:w="444" w:type="pct"/>
                  <w:noWrap w:val="0"/>
                  <w:vAlign w:val="center"/>
                </w:tcPr>
                <w:p w14:paraId="6FFF3C6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140" w:type="dxa"/>
                  <w:noWrap w:val="0"/>
                  <w:vAlign w:val="center"/>
                </w:tcPr>
                <w:p w14:paraId="2302F1A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0.14 </w:t>
                  </w:r>
                </w:p>
              </w:tc>
              <w:tc>
                <w:tcPr>
                  <w:tcW w:w="451" w:type="pct"/>
                  <w:noWrap w:val="0"/>
                  <w:vAlign w:val="center"/>
                </w:tcPr>
                <w:p w14:paraId="33C719B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r>
            <w:tr w14:paraId="591B2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90" w:type="pct"/>
                  <w:vMerge w:val="continue"/>
                  <w:tcBorders>
                    <w:right w:val="single" w:color="auto" w:sz="4" w:space="0"/>
                  </w:tcBorders>
                  <w:noWrap w:val="0"/>
                  <w:vAlign w:val="center"/>
                </w:tcPr>
                <w:p w14:paraId="68B28139">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28" w:type="pct"/>
                  <w:vMerge w:val="restart"/>
                  <w:tcBorders>
                    <w:left w:val="single" w:color="auto" w:sz="4" w:space="0"/>
                  </w:tcBorders>
                  <w:noWrap w:val="0"/>
                  <w:vAlign w:val="center"/>
                </w:tcPr>
                <w:p w14:paraId="74B9948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第二术者位</w:t>
                  </w:r>
                </w:p>
              </w:tc>
              <w:tc>
                <w:tcPr>
                  <w:tcW w:w="512" w:type="pct"/>
                  <w:vMerge w:val="restart"/>
                  <w:noWrap w:val="0"/>
                  <w:vAlign w:val="center"/>
                </w:tcPr>
                <w:p w14:paraId="628418E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8</w:t>
                  </w:r>
                </w:p>
              </w:tc>
              <w:tc>
                <w:tcPr>
                  <w:tcW w:w="214" w:type="pct"/>
                  <w:vMerge w:val="restart"/>
                  <w:noWrap w:val="0"/>
                  <w:vAlign w:val="center"/>
                </w:tcPr>
                <w:p w14:paraId="3B7C64A5">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职业</w:t>
                  </w:r>
                </w:p>
              </w:tc>
              <w:tc>
                <w:tcPr>
                  <w:tcW w:w="861" w:type="pct"/>
                  <w:noWrap w:val="0"/>
                  <w:vAlign w:val="center"/>
                </w:tcPr>
                <w:p w14:paraId="791ED6A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未穿防护服且无床侧防护帘遮挡</w:t>
                  </w:r>
                </w:p>
              </w:tc>
              <w:tc>
                <w:tcPr>
                  <w:tcW w:w="295" w:type="pct"/>
                  <w:noWrap w:val="0"/>
                  <w:vAlign w:val="center"/>
                </w:tcPr>
                <w:p w14:paraId="40F0EC5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p>
              </w:tc>
              <w:tc>
                <w:tcPr>
                  <w:tcW w:w="295" w:type="pct"/>
                  <w:noWrap w:val="0"/>
                  <w:vAlign w:val="center"/>
                </w:tcPr>
                <w:p w14:paraId="02746D4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75kV透视</w:t>
                  </w:r>
                </w:p>
              </w:tc>
              <w:tc>
                <w:tcPr>
                  <w:tcW w:w="1003" w:type="dxa"/>
                  <w:noWrap w:val="0"/>
                  <w:vAlign w:val="center"/>
                </w:tcPr>
                <w:p w14:paraId="6614307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8.77E+03</w:t>
                  </w:r>
                </w:p>
              </w:tc>
              <w:tc>
                <w:tcPr>
                  <w:tcW w:w="444" w:type="pct"/>
                  <w:noWrap w:val="0"/>
                  <w:vAlign w:val="center"/>
                </w:tcPr>
                <w:p w14:paraId="18918432">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140" w:type="dxa"/>
                  <w:noWrap w:val="0"/>
                  <w:vAlign w:val="center"/>
                </w:tcPr>
                <w:p w14:paraId="25DFA6C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2.19 </w:t>
                  </w:r>
                </w:p>
              </w:tc>
              <w:tc>
                <w:tcPr>
                  <w:tcW w:w="451" w:type="pct"/>
                  <w:noWrap w:val="0"/>
                  <w:vAlign w:val="center"/>
                </w:tcPr>
                <w:p w14:paraId="3416C45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r>
            <w:tr w14:paraId="6D2FA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90" w:type="pct"/>
                  <w:vMerge w:val="continue"/>
                  <w:tcBorders>
                    <w:right w:val="single" w:color="auto" w:sz="4" w:space="0"/>
                  </w:tcBorders>
                  <w:noWrap w:val="0"/>
                  <w:vAlign w:val="center"/>
                </w:tcPr>
                <w:p w14:paraId="6408C66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28" w:type="pct"/>
                  <w:vMerge w:val="continue"/>
                  <w:tcBorders>
                    <w:left w:val="single" w:color="auto" w:sz="4" w:space="0"/>
                  </w:tcBorders>
                  <w:noWrap w:val="0"/>
                  <w:vAlign w:val="center"/>
                </w:tcPr>
                <w:p w14:paraId="58F9A5F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512" w:type="pct"/>
                  <w:vMerge w:val="continue"/>
                  <w:noWrap w:val="0"/>
                  <w:vAlign w:val="center"/>
                </w:tcPr>
                <w:p w14:paraId="2236EEC9">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214" w:type="pct"/>
                  <w:vMerge w:val="continue"/>
                  <w:noWrap w:val="0"/>
                  <w:vAlign w:val="center"/>
                </w:tcPr>
                <w:p w14:paraId="7AF4C58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861" w:type="pct"/>
                  <w:noWrap w:val="0"/>
                  <w:vAlign w:val="center"/>
                </w:tcPr>
                <w:p w14:paraId="44530FD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w:t>
                  </w:r>
                  <w:r>
                    <w:rPr>
                      <w:rFonts w:hint="default" w:ascii="Times New Roman" w:hAnsi="Times New Roman" w:eastAsia="宋体" w:cs="Times New Roman"/>
                      <w:color w:val="auto"/>
                      <w:sz w:val="21"/>
                      <w:szCs w:val="21"/>
                      <w:highlight w:val="none"/>
                      <w:lang w:val="en-US" w:eastAsia="zh-CN"/>
                    </w:rPr>
                    <w:t>或</w:t>
                  </w:r>
                  <w:r>
                    <w:rPr>
                      <w:rFonts w:hint="default" w:ascii="Times New Roman" w:hAnsi="Times New Roman" w:eastAsia="宋体" w:cs="Times New Roman"/>
                      <w:color w:val="auto"/>
                      <w:sz w:val="21"/>
                      <w:szCs w:val="21"/>
                      <w:highlight w:val="none"/>
                    </w:rPr>
                    <w:t>无床侧防护帘遮挡</w:t>
                  </w:r>
                </w:p>
              </w:tc>
              <w:tc>
                <w:tcPr>
                  <w:tcW w:w="295" w:type="pct"/>
                  <w:noWrap w:val="0"/>
                  <w:vAlign w:val="center"/>
                </w:tcPr>
                <w:p w14:paraId="776F824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w:t>
                  </w:r>
                </w:p>
              </w:tc>
              <w:tc>
                <w:tcPr>
                  <w:tcW w:w="295" w:type="pct"/>
                  <w:noWrap w:val="0"/>
                  <w:vAlign w:val="center"/>
                </w:tcPr>
                <w:p w14:paraId="5662B88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75kV透视</w:t>
                  </w:r>
                </w:p>
              </w:tc>
              <w:tc>
                <w:tcPr>
                  <w:tcW w:w="1003" w:type="dxa"/>
                  <w:noWrap w:val="0"/>
                  <w:vAlign w:val="center"/>
                </w:tcPr>
                <w:p w14:paraId="523DE817">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7.89E+01</w:t>
                  </w:r>
                </w:p>
              </w:tc>
              <w:tc>
                <w:tcPr>
                  <w:tcW w:w="444" w:type="pct"/>
                  <w:noWrap w:val="0"/>
                  <w:vAlign w:val="center"/>
                </w:tcPr>
                <w:p w14:paraId="5681D427">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140" w:type="dxa"/>
                  <w:noWrap w:val="0"/>
                  <w:vAlign w:val="center"/>
                </w:tcPr>
                <w:p w14:paraId="198DB1D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0.02 </w:t>
                  </w:r>
                </w:p>
              </w:tc>
              <w:tc>
                <w:tcPr>
                  <w:tcW w:w="451" w:type="pct"/>
                  <w:noWrap w:val="0"/>
                  <w:vAlign w:val="center"/>
                </w:tcPr>
                <w:p w14:paraId="7AFEEF86">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r>
          </w:tbl>
          <w:p w14:paraId="53E81D5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从表11-</w:t>
            </w:r>
            <w:r>
              <w:rPr>
                <w:rFonts w:hint="default" w:ascii="Times New Roman" w:hAnsi="Times New Roman" w:eastAsia="宋体" w:cs="Times New Roman"/>
                <w:color w:val="auto"/>
                <w:spacing w:val="0"/>
                <w:position w:val="0"/>
                <w:lang w:val="en-US" w:eastAsia="zh-CN"/>
              </w:rPr>
              <w:t>9</w:t>
            </w:r>
            <w:r>
              <w:rPr>
                <w:rFonts w:hint="default" w:ascii="Times New Roman" w:hAnsi="Times New Roman" w:eastAsia="宋体" w:cs="Times New Roman"/>
                <w:color w:val="auto"/>
                <w:spacing w:val="0"/>
                <w:position w:val="0"/>
              </w:rPr>
              <w:t>估算结果可以看出，①公众误入、未撤离机房或防护门未关闭时即进行曝光，在机房内与射线束侧向之间距离0.3m，受照射时间</w:t>
            </w:r>
            <w:r>
              <w:rPr>
                <w:rFonts w:hint="eastAsia" w:cs="Times New Roman"/>
                <w:color w:val="auto"/>
                <w:spacing w:val="0"/>
                <w:position w:val="0"/>
                <w:lang w:val="en-US" w:eastAsia="zh-CN"/>
              </w:rPr>
              <w:t>1</w:t>
            </w:r>
            <w:r>
              <w:rPr>
                <w:rFonts w:hint="default" w:ascii="Times New Roman" w:hAnsi="Times New Roman" w:eastAsia="宋体" w:cs="Times New Roman"/>
                <w:color w:val="auto"/>
                <w:spacing w:val="0"/>
                <w:position w:val="0"/>
                <w:lang w:val="en-US" w:eastAsia="zh-CN"/>
              </w:rPr>
              <w:t>min</w:t>
            </w:r>
            <w:r>
              <w:rPr>
                <w:rFonts w:hint="default" w:ascii="Times New Roman" w:hAnsi="Times New Roman" w:eastAsia="宋体" w:cs="Times New Roman"/>
                <w:color w:val="auto"/>
                <w:spacing w:val="0"/>
                <w:position w:val="0"/>
              </w:rPr>
              <w:t>时所致剂量为</w:t>
            </w:r>
            <w:r>
              <w:rPr>
                <w:rFonts w:hint="eastAsia" w:cs="Times New Roman"/>
                <w:color w:val="auto"/>
                <w:spacing w:val="0"/>
                <w:position w:val="0"/>
                <w:lang w:val="en-US" w:eastAsia="zh-CN"/>
              </w:rPr>
              <w:t>57.</w:t>
            </w:r>
            <w:r>
              <w:rPr>
                <w:rFonts w:hint="default" w:ascii="Times New Roman" w:hAnsi="Times New Roman" w:eastAsia="宋体" w:cs="Times New Roman"/>
                <w:color w:val="auto"/>
                <w:spacing w:val="0"/>
                <w:position w:val="0"/>
                <w:lang w:val="en-US" w:eastAsia="zh-CN"/>
              </w:rPr>
              <w:t>1</w:t>
            </w:r>
            <w:r>
              <w:rPr>
                <w:rFonts w:hint="default" w:ascii="Times New Roman" w:hAnsi="Times New Roman" w:eastAsia="宋体" w:cs="Times New Roman"/>
                <w:color w:val="auto"/>
                <w:spacing w:val="0"/>
                <w:position w:val="0"/>
              </w:rPr>
              <w:t>mSv，</w:t>
            </w:r>
            <w:r>
              <w:rPr>
                <w:rFonts w:hint="default" w:ascii="Times New Roman" w:hAnsi="Times New Roman" w:eastAsia="宋体" w:cs="Times New Roman"/>
                <w:color w:val="auto"/>
                <w:spacing w:val="0"/>
                <w:position w:val="0"/>
                <w:lang w:val="en-US" w:eastAsia="zh-CN"/>
              </w:rPr>
              <w:t>超过公众1mSv/a 的国家标准限值，</w:t>
            </w:r>
            <w:r>
              <w:rPr>
                <w:rFonts w:hint="default" w:ascii="Times New Roman" w:hAnsi="Times New Roman" w:eastAsia="宋体" w:cs="Times New Roman"/>
                <w:color w:val="auto"/>
                <w:spacing w:val="0"/>
                <w:position w:val="0"/>
              </w:rPr>
              <w:t>可造成公众超剂量照射；②职业人员在未穿防护服且无床侧防护帘遮挡情况下，受照射时间</w:t>
            </w:r>
            <w:r>
              <w:rPr>
                <w:rFonts w:hint="default" w:ascii="Times New Roman" w:hAnsi="Times New Roman" w:eastAsia="宋体" w:cs="Times New Roman"/>
                <w:color w:val="auto"/>
                <w:spacing w:val="0"/>
                <w:position w:val="0"/>
                <w:lang w:val="en-US" w:eastAsia="zh-CN"/>
              </w:rPr>
              <w:t>15min</w:t>
            </w:r>
            <w:r>
              <w:rPr>
                <w:rFonts w:hint="default" w:ascii="Times New Roman" w:hAnsi="Times New Roman" w:eastAsia="宋体" w:cs="Times New Roman"/>
                <w:color w:val="auto"/>
                <w:spacing w:val="0"/>
                <w:position w:val="0"/>
              </w:rPr>
              <w:t>时所致剂量</w:t>
            </w:r>
            <w:r>
              <w:rPr>
                <w:rFonts w:hint="default" w:ascii="Times New Roman" w:hAnsi="Times New Roman" w:eastAsia="宋体" w:cs="Times New Roman"/>
                <w:color w:val="auto"/>
                <w:spacing w:val="0"/>
                <w:position w:val="0"/>
                <w:lang w:val="en-US" w:eastAsia="zh-CN"/>
              </w:rPr>
              <w:t>最大值</w:t>
            </w:r>
            <w:r>
              <w:rPr>
                <w:rFonts w:hint="default" w:ascii="Times New Roman" w:hAnsi="Times New Roman" w:eastAsia="宋体" w:cs="Times New Roman"/>
                <w:color w:val="auto"/>
                <w:spacing w:val="0"/>
                <w:position w:val="0"/>
              </w:rPr>
              <w:t>为</w:t>
            </w:r>
            <w:r>
              <w:rPr>
                <w:rFonts w:hint="default" w:ascii="Times New Roman" w:hAnsi="Times New Roman" w:eastAsia="宋体" w:cs="Times New Roman"/>
                <w:color w:val="auto"/>
                <w:spacing w:val="0"/>
                <w:position w:val="0"/>
                <w:lang w:val="en-US" w:eastAsia="zh-CN"/>
              </w:rPr>
              <w:t>15.58</w:t>
            </w:r>
            <w:r>
              <w:rPr>
                <w:rFonts w:hint="default" w:ascii="Times New Roman" w:hAnsi="Times New Roman" w:eastAsia="宋体" w:cs="Times New Roman"/>
                <w:color w:val="auto"/>
                <w:spacing w:val="0"/>
                <w:position w:val="0"/>
              </w:rPr>
              <w:t>mSv/a，职业人员在未穿防护服</w:t>
            </w:r>
            <w:r>
              <w:rPr>
                <w:rFonts w:hint="default" w:ascii="Times New Roman" w:hAnsi="Times New Roman" w:eastAsia="宋体" w:cs="Times New Roman"/>
                <w:color w:val="auto"/>
                <w:spacing w:val="0"/>
                <w:position w:val="0"/>
                <w:lang w:val="en-US" w:eastAsia="zh-CN"/>
              </w:rPr>
              <w:t>或</w:t>
            </w:r>
            <w:r>
              <w:rPr>
                <w:rFonts w:hint="default" w:ascii="Times New Roman" w:hAnsi="Times New Roman" w:eastAsia="宋体" w:cs="Times New Roman"/>
                <w:color w:val="auto"/>
                <w:spacing w:val="0"/>
                <w:position w:val="0"/>
              </w:rPr>
              <w:t>无床侧防护帘遮挡情况下，受照射时间</w:t>
            </w:r>
            <w:r>
              <w:rPr>
                <w:rFonts w:hint="default" w:ascii="Times New Roman" w:hAnsi="Times New Roman" w:eastAsia="宋体" w:cs="Times New Roman"/>
                <w:color w:val="auto"/>
                <w:spacing w:val="0"/>
                <w:position w:val="0"/>
                <w:lang w:val="en-US" w:eastAsia="zh-CN"/>
              </w:rPr>
              <w:t>15min</w:t>
            </w:r>
            <w:r>
              <w:rPr>
                <w:rFonts w:hint="default" w:ascii="Times New Roman" w:hAnsi="Times New Roman" w:eastAsia="宋体" w:cs="Times New Roman"/>
                <w:color w:val="auto"/>
                <w:spacing w:val="0"/>
                <w:position w:val="0"/>
              </w:rPr>
              <w:t>时所致剂量</w:t>
            </w:r>
            <w:r>
              <w:rPr>
                <w:rFonts w:hint="default" w:ascii="Times New Roman" w:hAnsi="Times New Roman" w:eastAsia="宋体" w:cs="Times New Roman"/>
                <w:color w:val="auto"/>
                <w:spacing w:val="0"/>
                <w:position w:val="0"/>
                <w:lang w:val="en-US" w:eastAsia="zh-CN"/>
              </w:rPr>
              <w:t>最大值</w:t>
            </w:r>
            <w:r>
              <w:rPr>
                <w:rFonts w:hint="default" w:ascii="Times New Roman" w:hAnsi="Times New Roman" w:eastAsia="宋体" w:cs="Times New Roman"/>
                <w:color w:val="auto"/>
                <w:spacing w:val="0"/>
                <w:position w:val="0"/>
              </w:rPr>
              <w:t>为</w:t>
            </w:r>
            <w:r>
              <w:rPr>
                <w:rFonts w:hint="default" w:ascii="Times New Roman" w:hAnsi="Times New Roman" w:eastAsia="宋体" w:cs="Times New Roman"/>
                <w:color w:val="auto"/>
                <w:spacing w:val="0"/>
                <w:position w:val="0"/>
                <w:lang w:val="en-US" w:eastAsia="zh-CN"/>
              </w:rPr>
              <w:t>0.14</w:t>
            </w:r>
            <w:r>
              <w:rPr>
                <w:rFonts w:hint="default" w:ascii="Times New Roman" w:hAnsi="Times New Roman" w:eastAsia="宋体" w:cs="Times New Roman"/>
                <w:color w:val="auto"/>
                <w:spacing w:val="0"/>
                <w:position w:val="0"/>
              </w:rPr>
              <w:t>mSv/a</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均未</w:t>
            </w:r>
            <w:r>
              <w:rPr>
                <w:rFonts w:hint="default" w:ascii="Times New Roman" w:hAnsi="Times New Roman" w:eastAsia="宋体" w:cs="Times New Roman"/>
                <w:color w:val="auto"/>
                <w:spacing w:val="0"/>
                <w:position w:val="0"/>
              </w:rPr>
              <w:t>达到职业年剂量限值。</w:t>
            </w:r>
          </w:p>
          <w:p w14:paraId="70D3A8F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（2）不同事故情况下人员受到超年剂量限值曝光时间</w:t>
            </w:r>
          </w:p>
          <w:p w14:paraId="000D6F7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本项目DSA工作人员和公众在不同事故情况下受到超年剂量限值曝光时间的计算见下表11-10。</w:t>
            </w:r>
          </w:p>
          <w:p w14:paraId="18BB1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表 11-10不同事故情况下人员受到超年剂量限值曝光时间</w:t>
            </w:r>
          </w:p>
          <w:tbl>
            <w:tblPr>
              <w:tblStyle w:val="53"/>
              <w:tblW w:w="499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
              <w:gridCol w:w="1091"/>
              <w:gridCol w:w="1023"/>
              <w:gridCol w:w="449"/>
              <w:gridCol w:w="1797"/>
              <w:gridCol w:w="1023"/>
              <w:gridCol w:w="1036"/>
              <w:gridCol w:w="968"/>
              <w:gridCol w:w="1314"/>
            </w:tblGrid>
            <w:tr w14:paraId="4AF5B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757" w:type="pct"/>
                  <w:gridSpan w:val="2"/>
                  <w:noWrap w:val="0"/>
                  <w:vAlign w:val="center"/>
                </w:tcPr>
                <w:p w14:paraId="1413C863">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事故情况</w:t>
                  </w:r>
                </w:p>
              </w:tc>
              <w:tc>
                <w:tcPr>
                  <w:tcW w:w="570" w:type="pct"/>
                  <w:noWrap w:val="0"/>
                  <w:vAlign w:val="center"/>
                </w:tcPr>
                <w:p w14:paraId="480AFF6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与射线束之间最近距离（m）</w:t>
                  </w:r>
                </w:p>
              </w:tc>
              <w:tc>
                <w:tcPr>
                  <w:tcW w:w="250" w:type="pct"/>
                  <w:noWrap w:val="0"/>
                  <w:vAlign w:val="center"/>
                </w:tcPr>
                <w:p w14:paraId="792EDC3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人员</w:t>
                  </w:r>
                </w:p>
              </w:tc>
              <w:tc>
                <w:tcPr>
                  <w:tcW w:w="1001" w:type="pct"/>
                  <w:noWrap w:val="0"/>
                  <w:vAlign w:val="center"/>
                </w:tcPr>
                <w:p w14:paraId="557DB20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防护情况</w:t>
                  </w:r>
                </w:p>
              </w:tc>
              <w:tc>
                <w:tcPr>
                  <w:tcW w:w="570" w:type="pct"/>
                  <w:noWrap w:val="0"/>
                  <w:vAlign w:val="center"/>
                </w:tcPr>
                <w:p w14:paraId="55938F76">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曝光方式</w:t>
                  </w:r>
                </w:p>
              </w:tc>
              <w:tc>
                <w:tcPr>
                  <w:tcW w:w="577" w:type="pct"/>
                  <w:noWrap w:val="0"/>
                  <w:vAlign w:val="center"/>
                </w:tcPr>
                <w:p w14:paraId="7FE65D9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剂量率水平（μSv/h）</w:t>
                  </w:r>
                </w:p>
              </w:tc>
              <w:tc>
                <w:tcPr>
                  <w:tcW w:w="539" w:type="pct"/>
                  <w:noWrap w:val="0"/>
                  <w:vAlign w:val="center"/>
                </w:tcPr>
                <w:p w14:paraId="6900D91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剂量限值（mSv）</w:t>
                  </w:r>
                </w:p>
              </w:tc>
              <w:tc>
                <w:tcPr>
                  <w:tcW w:w="732" w:type="pct"/>
                  <w:noWrap w:val="0"/>
                  <w:vAlign w:val="center"/>
                </w:tcPr>
                <w:p w14:paraId="77E334B5">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达到年剂量限值需要接受的受照时间</w:t>
                  </w:r>
                </w:p>
              </w:tc>
            </w:tr>
            <w:tr w14:paraId="526EA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757" w:type="pct"/>
                  <w:gridSpan w:val="2"/>
                  <w:noWrap w:val="0"/>
                  <w:vAlign w:val="center"/>
                </w:tcPr>
                <w:p w14:paraId="1259D36A">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公众（误入或未撤离</w:t>
                  </w:r>
                  <w:r>
                    <w:rPr>
                      <w:rFonts w:hint="default" w:ascii="Times New Roman" w:hAnsi="Times New Roman" w:eastAsia="宋体" w:cs="Times New Roman"/>
                      <w:color w:val="auto"/>
                      <w:sz w:val="21"/>
                      <w:szCs w:val="21"/>
                      <w:highlight w:val="none"/>
                      <w:lang w:eastAsia="zh-CN"/>
                    </w:rPr>
                    <w:t>或</w:t>
                  </w:r>
                  <w:r>
                    <w:rPr>
                      <w:rFonts w:hint="default" w:ascii="Times New Roman" w:hAnsi="Times New Roman" w:eastAsia="宋体" w:cs="Times New Roman"/>
                      <w:color w:val="auto"/>
                      <w:sz w:val="21"/>
                      <w:szCs w:val="21"/>
                      <w:highlight w:val="none"/>
                    </w:rPr>
                    <w:t>防护门未关闭）</w:t>
                  </w:r>
                </w:p>
              </w:tc>
              <w:tc>
                <w:tcPr>
                  <w:tcW w:w="570" w:type="pct"/>
                  <w:noWrap w:val="0"/>
                  <w:vAlign w:val="center"/>
                </w:tcPr>
                <w:p w14:paraId="78443182">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p>
              </w:tc>
              <w:tc>
                <w:tcPr>
                  <w:tcW w:w="250" w:type="pct"/>
                  <w:noWrap w:val="0"/>
                  <w:vAlign w:val="center"/>
                </w:tcPr>
                <w:p w14:paraId="10601AC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公众</w:t>
                  </w:r>
                </w:p>
              </w:tc>
              <w:tc>
                <w:tcPr>
                  <w:tcW w:w="1001" w:type="pct"/>
                  <w:noWrap w:val="0"/>
                  <w:vAlign w:val="center"/>
                </w:tcPr>
                <w:p w14:paraId="212CBBC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无防护</w:t>
                  </w:r>
                </w:p>
              </w:tc>
              <w:tc>
                <w:tcPr>
                  <w:tcW w:w="570" w:type="pct"/>
                  <w:noWrap w:val="0"/>
                  <w:vAlign w:val="center"/>
                </w:tcPr>
                <w:p w14:paraId="16D9361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95kV减影</w:t>
                  </w:r>
                </w:p>
              </w:tc>
              <w:tc>
                <w:tcPr>
                  <w:tcW w:w="1036" w:type="dxa"/>
                  <w:noWrap w:val="0"/>
                  <w:vAlign w:val="center"/>
                </w:tcPr>
                <w:p w14:paraId="2966AAB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lang w:val="en-US" w:eastAsia="zh-CN"/>
                    </w:rPr>
                    <w:t>3.43E+06</w:t>
                  </w:r>
                </w:p>
              </w:tc>
              <w:tc>
                <w:tcPr>
                  <w:tcW w:w="539" w:type="pct"/>
                  <w:noWrap w:val="0"/>
                  <w:vAlign w:val="center"/>
                </w:tcPr>
                <w:p w14:paraId="11EEC28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p>
              </w:tc>
              <w:tc>
                <w:tcPr>
                  <w:tcW w:w="732" w:type="pct"/>
                  <w:noWrap w:val="0"/>
                  <w:vAlign w:val="center"/>
                </w:tcPr>
                <w:p w14:paraId="12EEDC5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1.04S</w:t>
                  </w:r>
                </w:p>
              </w:tc>
            </w:tr>
            <w:tr w14:paraId="4DDF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49" w:type="pct"/>
                  <w:vMerge w:val="restart"/>
                  <w:tcBorders>
                    <w:right w:val="single" w:color="auto" w:sz="4" w:space="0"/>
                  </w:tcBorders>
                  <w:noWrap w:val="0"/>
                  <w:vAlign w:val="center"/>
                </w:tcPr>
                <w:p w14:paraId="367E6F6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职业人员</w:t>
                  </w:r>
                </w:p>
              </w:tc>
              <w:tc>
                <w:tcPr>
                  <w:tcW w:w="608" w:type="pct"/>
                  <w:vMerge w:val="restart"/>
                  <w:tcBorders>
                    <w:left w:val="single" w:color="auto" w:sz="4" w:space="0"/>
                  </w:tcBorders>
                  <w:noWrap w:val="0"/>
                  <w:vAlign w:val="center"/>
                </w:tcPr>
                <w:p w14:paraId="7FA6BD99">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第一术者位</w:t>
                  </w:r>
                </w:p>
              </w:tc>
              <w:tc>
                <w:tcPr>
                  <w:tcW w:w="570" w:type="pct"/>
                  <w:vMerge w:val="restart"/>
                  <w:noWrap w:val="0"/>
                  <w:vAlign w:val="center"/>
                </w:tcPr>
                <w:p w14:paraId="11248D2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0.3</w:t>
                  </w:r>
                </w:p>
              </w:tc>
              <w:tc>
                <w:tcPr>
                  <w:tcW w:w="250" w:type="pct"/>
                  <w:vMerge w:val="restart"/>
                  <w:noWrap w:val="0"/>
                  <w:vAlign w:val="center"/>
                </w:tcPr>
                <w:p w14:paraId="26835DF7">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职业</w:t>
                  </w:r>
                </w:p>
              </w:tc>
              <w:tc>
                <w:tcPr>
                  <w:tcW w:w="1001" w:type="pct"/>
                  <w:noWrap w:val="0"/>
                  <w:vAlign w:val="center"/>
                </w:tcPr>
                <w:p w14:paraId="50DB9902">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未穿防护服且无床侧防护帘遮挡</w:t>
                  </w:r>
                </w:p>
              </w:tc>
              <w:tc>
                <w:tcPr>
                  <w:tcW w:w="570" w:type="pct"/>
                  <w:noWrap w:val="0"/>
                  <w:vAlign w:val="center"/>
                </w:tcPr>
                <w:p w14:paraId="0010499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75kV透视</w:t>
                  </w:r>
                </w:p>
              </w:tc>
              <w:tc>
                <w:tcPr>
                  <w:tcW w:w="1036" w:type="dxa"/>
                  <w:noWrap w:val="0"/>
                  <w:vAlign w:val="center"/>
                </w:tcPr>
                <w:p w14:paraId="2FD7C853">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lang w:val="en-US" w:eastAsia="zh-CN"/>
                    </w:rPr>
                    <w:t>6.23E+04</w:t>
                  </w:r>
                </w:p>
              </w:tc>
              <w:tc>
                <w:tcPr>
                  <w:tcW w:w="539" w:type="pct"/>
                  <w:vMerge w:val="restart"/>
                  <w:noWrap w:val="0"/>
                  <w:vAlign w:val="center"/>
                </w:tcPr>
                <w:p w14:paraId="7254001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20</w:t>
                  </w:r>
                </w:p>
              </w:tc>
              <w:tc>
                <w:tcPr>
                  <w:tcW w:w="732" w:type="pct"/>
                  <w:noWrap w:val="0"/>
                  <w:vAlign w:val="center"/>
                </w:tcPr>
                <w:p w14:paraId="0240996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19.26min</w:t>
                  </w:r>
                </w:p>
              </w:tc>
            </w:tr>
            <w:tr w14:paraId="23C6D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49" w:type="pct"/>
                  <w:vMerge w:val="continue"/>
                  <w:tcBorders>
                    <w:right w:val="single" w:color="auto" w:sz="4" w:space="0"/>
                  </w:tcBorders>
                  <w:noWrap w:val="0"/>
                  <w:vAlign w:val="center"/>
                </w:tcPr>
                <w:p w14:paraId="0B2DB10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608" w:type="pct"/>
                  <w:vMerge w:val="continue"/>
                  <w:tcBorders>
                    <w:left w:val="single" w:color="auto" w:sz="4" w:space="0"/>
                    <w:bottom w:val="single" w:color="auto" w:sz="4" w:space="0"/>
                  </w:tcBorders>
                  <w:noWrap w:val="0"/>
                  <w:vAlign w:val="center"/>
                </w:tcPr>
                <w:p w14:paraId="40E1A88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570" w:type="pct"/>
                  <w:vMerge w:val="continue"/>
                  <w:noWrap w:val="0"/>
                  <w:vAlign w:val="center"/>
                </w:tcPr>
                <w:p w14:paraId="6F2014E7">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250" w:type="pct"/>
                  <w:vMerge w:val="continue"/>
                  <w:noWrap w:val="0"/>
                  <w:vAlign w:val="center"/>
                </w:tcPr>
                <w:p w14:paraId="2B5EA65A">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1001" w:type="pct"/>
                  <w:noWrap w:val="0"/>
                  <w:vAlign w:val="center"/>
                </w:tcPr>
                <w:p w14:paraId="0FD927E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w:t>
                  </w:r>
                  <w:r>
                    <w:rPr>
                      <w:rFonts w:hint="default" w:ascii="Times New Roman" w:hAnsi="Times New Roman" w:eastAsia="宋体" w:cs="Times New Roman"/>
                      <w:color w:val="auto"/>
                      <w:sz w:val="21"/>
                      <w:szCs w:val="21"/>
                      <w:highlight w:val="none"/>
                      <w:lang w:val="en-US" w:eastAsia="zh-CN"/>
                    </w:rPr>
                    <w:t>或</w:t>
                  </w:r>
                  <w:r>
                    <w:rPr>
                      <w:rFonts w:hint="default" w:ascii="Times New Roman" w:hAnsi="Times New Roman" w:eastAsia="宋体" w:cs="Times New Roman"/>
                      <w:color w:val="auto"/>
                      <w:sz w:val="21"/>
                      <w:szCs w:val="21"/>
                      <w:highlight w:val="none"/>
                    </w:rPr>
                    <w:t>无床侧防护帘遮挡</w:t>
                  </w:r>
                </w:p>
              </w:tc>
              <w:tc>
                <w:tcPr>
                  <w:tcW w:w="570" w:type="pct"/>
                  <w:noWrap w:val="0"/>
                  <w:vAlign w:val="center"/>
                </w:tcPr>
                <w:p w14:paraId="13331353">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75kV透视</w:t>
                  </w:r>
                </w:p>
              </w:tc>
              <w:tc>
                <w:tcPr>
                  <w:tcW w:w="1036" w:type="dxa"/>
                  <w:noWrap w:val="0"/>
                  <w:vAlign w:val="center"/>
                </w:tcPr>
                <w:p w14:paraId="1EBDBDD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highlight w:val="none"/>
                      <w:lang w:val="en-US" w:eastAsia="zh-CN"/>
                    </w:rPr>
                    <w:t>5.61E+02</w:t>
                  </w:r>
                </w:p>
              </w:tc>
              <w:tc>
                <w:tcPr>
                  <w:tcW w:w="539" w:type="pct"/>
                  <w:vMerge w:val="continue"/>
                  <w:noWrap w:val="0"/>
                  <w:vAlign w:val="center"/>
                </w:tcPr>
                <w:p w14:paraId="5485DAA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732" w:type="pct"/>
                  <w:noWrap w:val="0"/>
                  <w:vAlign w:val="center"/>
                </w:tcPr>
                <w:p w14:paraId="0558253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35.65h</w:t>
                  </w:r>
                </w:p>
              </w:tc>
            </w:tr>
            <w:tr w14:paraId="7E433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49" w:type="pct"/>
                  <w:vMerge w:val="continue"/>
                  <w:tcBorders>
                    <w:right w:val="single" w:color="auto" w:sz="4" w:space="0"/>
                  </w:tcBorders>
                  <w:noWrap w:val="0"/>
                  <w:vAlign w:val="center"/>
                </w:tcPr>
                <w:p w14:paraId="7FB723B7">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608" w:type="pct"/>
                  <w:vMerge w:val="restart"/>
                  <w:tcBorders>
                    <w:left w:val="single" w:color="auto" w:sz="4" w:space="0"/>
                  </w:tcBorders>
                  <w:noWrap w:val="0"/>
                  <w:vAlign w:val="center"/>
                </w:tcPr>
                <w:p w14:paraId="03615D2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第二术者位</w:t>
                  </w:r>
                </w:p>
              </w:tc>
              <w:tc>
                <w:tcPr>
                  <w:tcW w:w="570" w:type="pct"/>
                  <w:vMerge w:val="restart"/>
                  <w:noWrap w:val="0"/>
                  <w:vAlign w:val="center"/>
                </w:tcPr>
                <w:p w14:paraId="23B7896E">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8</w:t>
                  </w:r>
                </w:p>
              </w:tc>
              <w:tc>
                <w:tcPr>
                  <w:tcW w:w="250" w:type="pct"/>
                  <w:vMerge w:val="restart"/>
                  <w:noWrap w:val="0"/>
                  <w:vAlign w:val="center"/>
                </w:tcPr>
                <w:p w14:paraId="43F260CB">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职业</w:t>
                  </w:r>
                </w:p>
              </w:tc>
              <w:tc>
                <w:tcPr>
                  <w:tcW w:w="1001" w:type="pct"/>
                  <w:noWrap w:val="0"/>
                  <w:vAlign w:val="center"/>
                </w:tcPr>
                <w:p w14:paraId="275AC76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未穿防护服且无床侧防护帘遮挡</w:t>
                  </w:r>
                </w:p>
              </w:tc>
              <w:tc>
                <w:tcPr>
                  <w:tcW w:w="570" w:type="pct"/>
                  <w:noWrap w:val="0"/>
                  <w:vAlign w:val="center"/>
                </w:tcPr>
                <w:p w14:paraId="6DDA6D43">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75kV透视</w:t>
                  </w:r>
                </w:p>
              </w:tc>
              <w:tc>
                <w:tcPr>
                  <w:tcW w:w="1036" w:type="dxa"/>
                  <w:noWrap w:val="0"/>
                  <w:vAlign w:val="center"/>
                </w:tcPr>
                <w:p w14:paraId="6F5A41B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highlight w:val="none"/>
                      <w:lang w:val="en-US" w:eastAsia="zh-CN"/>
                    </w:rPr>
                    <w:t>8.77E+03</w:t>
                  </w:r>
                </w:p>
              </w:tc>
              <w:tc>
                <w:tcPr>
                  <w:tcW w:w="539" w:type="pct"/>
                  <w:vMerge w:val="continue"/>
                  <w:noWrap w:val="0"/>
                  <w:vAlign w:val="center"/>
                </w:tcPr>
                <w:p w14:paraId="014CF1A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732" w:type="pct"/>
                  <w:noWrap w:val="0"/>
                  <w:vAlign w:val="center"/>
                </w:tcPr>
                <w:p w14:paraId="073A60C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2.28h</w:t>
                  </w:r>
                </w:p>
              </w:tc>
            </w:tr>
            <w:tr w14:paraId="2D632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49" w:type="pct"/>
                  <w:vMerge w:val="continue"/>
                  <w:tcBorders>
                    <w:right w:val="single" w:color="auto" w:sz="4" w:space="0"/>
                  </w:tcBorders>
                  <w:noWrap w:val="0"/>
                  <w:vAlign w:val="center"/>
                </w:tcPr>
                <w:p w14:paraId="3E618F3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608" w:type="pct"/>
                  <w:vMerge w:val="continue"/>
                  <w:tcBorders>
                    <w:left w:val="single" w:color="auto" w:sz="4" w:space="0"/>
                  </w:tcBorders>
                  <w:noWrap w:val="0"/>
                  <w:vAlign w:val="center"/>
                </w:tcPr>
                <w:p w14:paraId="1E52364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p>
              </w:tc>
              <w:tc>
                <w:tcPr>
                  <w:tcW w:w="570" w:type="pct"/>
                  <w:vMerge w:val="continue"/>
                  <w:noWrap w:val="0"/>
                  <w:vAlign w:val="center"/>
                </w:tcPr>
                <w:p w14:paraId="27B3A2D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250" w:type="pct"/>
                  <w:vMerge w:val="continue"/>
                  <w:noWrap w:val="0"/>
                  <w:vAlign w:val="center"/>
                </w:tcPr>
                <w:p w14:paraId="5F2198B9">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1001" w:type="pct"/>
                  <w:noWrap w:val="0"/>
                  <w:vAlign w:val="center"/>
                </w:tcPr>
                <w:p w14:paraId="13768F56">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未穿防护服</w:t>
                  </w:r>
                  <w:r>
                    <w:rPr>
                      <w:rFonts w:hint="default" w:ascii="Times New Roman" w:hAnsi="Times New Roman" w:eastAsia="宋体" w:cs="Times New Roman"/>
                      <w:color w:val="auto"/>
                      <w:sz w:val="21"/>
                      <w:szCs w:val="21"/>
                      <w:highlight w:val="none"/>
                      <w:lang w:val="en-US" w:eastAsia="zh-CN"/>
                    </w:rPr>
                    <w:t>或</w:t>
                  </w:r>
                  <w:r>
                    <w:rPr>
                      <w:rFonts w:hint="default" w:ascii="Times New Roman" w:hAnsi="Times New Roman" w:eastAsia="宋体" w:cs="Times New Roman"/>
                      <w:color w:val="auto"/>
                      <w:sz w:val="21"/>
                      <w:szCs w:val="21"/>
                      <w:highlight w:val="none"/>
                    </w:rPr>
                    <w:t>无床侧防护帘遮挡</w:t>
                  </w:r>
                </w:p>
              </w:tc>
              <w:tc>
                <w:tcPr>
                  <w:tcW w:w="570" w:type="pct"/>
                  <w:noWrap w:val="0"/>
                  <w:vAlign w:val="center"/>
                </w:tcPr>
                <w:p w14:paraId="17B4A41A">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75kV透视</w:t>
                  </w:r>
                </w:p>
              </w:tc>
              <w:tc>
                <w:tcPr>
                  <w:tcW w:w="1036" w:type="dxa"/>
                  <w:noWrap w:val="0"/>
                  <w:vAlign w:val="center"/>
                </w:tcPr>
                <w:p w14:paraId="318ECBC5">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lang w:val="en-US" w:eastAsia="zh-CN"/>
                    </w:rPr>
                    <w:t>7.89E+01</w:t>
                  </w:r>
                </w:p>
              </w:tc>
              <w:tc>
                <w:tcPr>
                  <w:tcW w:w="539" w:type="pct"/>
                  <w:vMerge w:val="continue"/>
                  <w:noWrap w:val="0"/>
                  <w:vAlign w:val="center"/>
                </w:tcPr>
                <w:p w14:paraId="1A8E4623">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732" w:type="pct"/>
                  <w:noWrap w:val="0"/>
                  <w:vAlign w:val="center"/>
                </w:tcPr>
                <w:p w14:paraId="44BBF74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253.49h</w:t>
                  </w:r>
                </w:p>
              </w:tc>
            </w:tr>
          </w:tbl>
          <w:p w14:paraId="5E65976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从表11-10估算结果可以看出，（1）公众误入，在机房内与射线束侧向之间0.3m处受照时间达到1.04s 所致剂量为1mSv，达到公众年剂量限值，可造成公众人员超剂量照射；（2）手术室内第一术者位医生在没有穿防护服且无铅帘遮挡情况下，受照射时间超过19.26min时所致剂量超过20mSv，第一术者位医生在没有穿防护服或无铅帘遮挡情况下，受照射时间超过35.65h时所致剂量超过20mSv，可造成职业人员超剂量的照射；第二术者位医生在没有穿防护服且无铅帘遮挡情况下，受照射时间超过2.28h所致剂量超过20mSv，第二术者位医生在没有穿防护服或无铅帘遮挡情况下，受照射时间超过253.49h所致剂量超过20mSv，可造成职业人员超剂量的照射。</w:t>
            </w:r>
          </w:p>
          <w:p w14:paraId="400C080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对照《云南省生态环境厅辐射事故应急响应预案》（2022 年版）第2部分规定：根据辐射事故的性质、程度、可控性和影响范围等因素，将辐射事故分为特别重大辐射事故、重大辐射事故、较大辐射事故和一般辐射事故四个等级。根据其规定，本项目可能发生的辐射事故属第2.4点中“属于放射性同位素和射线装置失控导致人员受到超过年剂量限值的照射”，为一般辐射事故。</w:t>
            </w:r>
          </w:p>
          <w:p w14:paraId="65CCD197">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3.</w:t>
            </w:r>
            <w:r>
              <w:rPr>
                <w:rFonts w:hint="default" w:ascii="Times New Roman" w:hAnsi="Times New Roman" w:eastAsia="宋体" w:cs="Times New Roman"/>
                <w:b/>
                <w:bCs/>
                <w:color w:val="auto"/>
                <w:spacing w:val="0"/>
                <w:position w:val="0"/>
              </w:rPr>
              <w:t>辐射事故防范措施</w:t>
            </w:r>
          </w:p>
          <w:p w14:paraId="19A7A17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（1）事故处理及应急预案</w:t>
            </w:r>
          </w:p>
          <w:p w14:paraId="3CABCF2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医院成立由</w:t>
            </w:r>
            <w:r>
              <w:rPr>
                <w:rFonts w:hint="default" w:ascii="Times New Roman" w:hAnsi="Times New Roman" w:eastAsia="宋体" w:cs="Times New Roman"/>
                <w:color w:val="auto"/>
                <w:spacing w:val="0"/>
                <w:position w:val="0"/>
                <w:lang w:val="en-US" w:eastAsia="zh-CN"/>
              </w:rPr>
              <w:t>院长</w:t>
            </w:r>
            <w:r>
              <w:rPr>
                <w:rFonts w:hint="default" w:ascii="Times New Roman" w:hAnsi="Times New Roman" w:eastAsia="宋体" w:cs="Times New Roman"/>
                <w:color w:val="auto"/>
                <w:spacing w:val="0"/>
                <w:position w:val="0"/>
              </w:rPr>
              <w:t>为组长的辐射事故应急处理领导小组，已制定《辐射事故应急预案》，其中</w:t>
            </w:r>
            <w:r>
              <w:rPr>
                <w:rFonts w:hint="default" w:ascii="Times New Roman" w:hAnsi="Times New Roman" w:eastAsia="宋体" w:cs="Times New Roman"/>
                <w:color w:val="auto"/>
                <w:spacing w:val="0"/>
                <w:position w:val="0"/>
                <w:lang w:eastAsia="zh-CN"/>
              </w:rPr>
              <w:t>包括</w:t>
            </w:r>
            <w:r>
              <w:rPr>
                <w:rFonts w:hint="default" w:ascii="Times New Roman" w:hAnsi="Times New Roman" w:eastAsia="宋体" w:cs="Times New Roman"/>
                <w:color w:val="auto"/>
                <w:spacing w:val="0"/>
                <w:position w:val="0"/>
              </w:rPr>
              <w:t>组织机构及职能、辐射事故的预防措施、应急处理措施、辐射事故报告以及预案管理等内容。应急方案规定了放</w:t>
            </w:r>
            <w:r>
              <w:rPr>
                <w:rFonts w:hint="default" w:ascii="Times New Roman" w:hAnsi="Times New Roman" w:eastAsia="宋体" w:cs="Times New Roman"/>
                <w:color w:val="auto"/>
                <w:spacing w:val="0"/>
                <w:position w:val="0"/>
                <w:lang w:eastAsia="zh-CN"/>
              </w:rPr>
              <w:t>射性</w:t>
            </w:r>
            <w:r>
              <w:rPr>
                <w:rFonts w:hint="default" w:ascii="Times New Roman" w:hAnsi="Times New Roman" w:eastAsia="宋体" w:cs="Times New Roman"/>
                <w:color w:val="auto"/>
                <w:spacing w:val="0"/>
                <w:position w:val="0"/>
              </w:rPr>
              <w:t>事件应急处理机构、放射性事故应急救援遵循原则、应急处理程序，内容较全，在应对放射性事故和突发性事件时可行。</w:t>
            </w:r>
          </w:p>
          <w:p w14:paraId="79CC458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环评要求，医院应定期进行辐射事故应急演练，检验应急预案的可行性、可靠性、可操作性，</w:t>
            </w:r>
            <w:r>
              <w:rPr>
                <w:rFonts w:hint="default" w:ascii="Times New Roman" w:hAnsi="Times New Roman" w:eastAsia="宋体" w:cs="Times New Roman"/>
                <w:color w:val="auto"/>
                <w:spacing w:val="0"/>
                <w:position w:val="0"/>
                <w:lang w:val="en-US" w:eastAsia="zh-CN"/>
              </w:rPr>
              <w:t>结合医院实际情况，</w:t>
            </w:r>
            <w:r>
              <w:rPr>
                <w:rFonts w:hint="default" w:ascii="Times New Roman" w:hAnsi="Times New Roman" w:eastAsia="宋体" w:cs="Times New Roman"/>
                <w:color w:val="auto"/>
                <w:spacing w:val="0"/>
                <w:position w:val="0"/>
              </w:rPr>
              <w:t>不断完善辐射事故应急预案。一旦发生辐射事故，应当立即启动本医院的辐射事故应急方案，采取必要应急措施，并在2小时内填写《辐射事故初始报告表》，向当地环境保护部门报告。可能造成人员超剂量照射的，还应同时向当地卫生行政部门报告。</w:t>
            </w:r>
          </w:p>
          <w:p w14:paraId="6DFAB7D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通过制定和完善上述措施能有效防范和处置突发事故，将事故发生的概率和事故危害控制到最低限度。</w:t>
            </w:r>
          </w:p>
          <w:p w14:paraId="38AFA74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（2）风险防范措施</w:t>
            </w:r>
          </w:p>
          <w:p w14:paraId="4ADED77F">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DSA介入室患者通道防护门及医生通道防护门处设计有工作状态指示灯，且工作状态指示灯与各自的防护门能有效联动，防止无关人员误入机房，导致误照射；</w:t>
            </w:r>
          </w:p>
          <w:p w14:paraId="7797F54C">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医生通道防护门及病人通道防护门外设计有电离辐射警告标志及中文警示说明，提醒无关人员勿在此逗留；</w:t>
            </w:r>
          </w:p>
          <w:p w14:paraId="2477F7BD">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DSA介入室患者通道防护门、污物通道防护门及医生通道防护门设计有闭门装置及防夹装置，可使防护门时刻处于常闭状态，防止射线泄漏到手术室外，导致误照射；</w:t>
            </w:r>
          </w:p>
          <w:p w14:paraId="1B4D1E8C">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本项目控制室操作台、DSA</w:t>
            </w:r>
            <w:r>
              <w:rPr>
                <w:rFonts w:hint="default" w:ascii="Times New Roman" w:hAnsi="Times New Roman" w:eastAsia="宋体" w:cs="Times New Roman"/>
                <w:color w:val="auto"/>
                <w:spacing w:val="0"/>
                <w:position w:val="0"/>
                <w:lang w:val="en-US" w:eastAsia="zh-CN"/>
              </w:rPr>
              <w:t>设备</w:t>
            </w:r>
            <w:r>
              <w:rPr>
                <w:rFonts w:hint="default" w:ascii="Times New Roman" w:hAnsi="Times New Roman" w:eastAsia="宋体" w:cs="Times New Roman"/>
                <w:color w:val="auto"/>
                <w:spacing w:val="0"/>
                <w:position w:val="0"/>
              </w:rPr>
              <w:t>侧</w:t>
            </w:r>
            <w:r>
              <w:rPr>
                <w:rFonts w:hint="default" w:ascii="Times New Roman" w:hAnsi="Times New Roman" w:eastAsia="宋体" w:cs="Times New Roman"/>
                <w:color w:val="auto"/>
                <w:spacing w:val="0"/>
                <w:position w:val="0"/>
                <w:lang w:val="en-US" w:eastAsia="zh-CN"/>
              </w:rPr>
              <w:t>拟</w:t>
            </w:r>
            <w:r>
              <w:rPr>
                <w:rFonts w:hint="default" w:ascii="Times New Roman" w:hAnsi="Times New Roman" w:eastAsia="宋体" w:cs="Times New Roman"/>
                <w:color w:val="auto"/>
                <w:spacing w:val="0"/>
                <w:position w:val="0"/>
              </w:rPr>
              <w:t>设置紧急停止按钮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各按钮与X线系统连接</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，当设备误照射或故障时能够及时</w:t>
            </w:r>
            <w:r>
              <w:rPr>
                <w:rFonts w:hint="default" w:ascii="Times New Roman" w:hAnsi="Times New Roman" w:eastAsia="宋体" w:cs="Times New Roman"/>
                <w:color w:val="auto"/>
                <w:spacing w:val="0"/>
                <w:position w:val="0"/>
                <w:lang w:eastAsia="zh-CN"/>
              </w:rPr>
              <w:t>地</w:t>
            </w:r>
            <w:r>
              <w:rPr>
                <w:rFonts w:hint="default" w:ascii="Times New Roman" w:hAnsi="Times New Roman" w:eastAsia="宋体" w:cs="Times New Roman"/>
                <w:color w:val="auto"/>
                <w:spacing w:val="0"/>
                <w:position w:val="0"/>
              </w:rPr>
              <w:t>中断照射；</w:t>
            </w:r>
          </w:p>
          <w:p w14:paraId="7C2AA8B8">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DSA介入室内将安装监控系统，可实时监控DSA介入室内情况；</w:t>
            </w:r>
          </w:p>
          <w:p w14:paraId="6C86B863">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医生换鞋间入口门及病人入口门设计有门禁，防止无关人员进入；</w:t>
            </w:r>
          </w:p>
          <w:p w14:paraId="3D04560E">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辐射工作人员开展介入手术时穿戴防护用品，并佩戴个人剂量计，严禁在无任何防护情况下进行曝光；</w:t>
            </w:r>
          </w:p>
          <w:p w14:paraId="5368EB6F">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手术时，操作医生应检查并确认机房内无其他闲杂人员、各防护门均处于关闭状态后，方能开机曝光；</w:t>
            </w:r>
          </w:p>
          <w:p w14:paraId="3AB560DA">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曝光时，严禁曝光方向正对介入手术医生所在位置。</w:t>
            </w:r>
          </w:p>
          <w:p w14:paraId="1980ED03">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门灯</w:t>
            </w:r>
            <w:r>
              <w:rPr>
                <w:rFonts w:hint="default" w:ascii="Times New Roman" w:hAnsi="Times New Roman" w:eastAsia="宋体" w:cs="Times New Roman"/>
                <w:color w:val="auto"/>
                <w:spacing w:val="0"/>
                <w:position w:val="0"/>
                <w:lang w:eastAsia="zh-CN"/>
              </w:rPr>
              <w:t>联锁</w:t>
            </w:r>
            <w:r>
              <w:rPr>
                <w:rFonts w:hint="default" w:ascii="Times New Roman" w:hAnsi="Times New Roman" w:eastAsia="宋体" w:cs="Times New Roman"/>
                <w:color w:val="auto"/>
                <w:spacing w:val="0"/>
                <w:position w:val="0"/>
              </w:rPr>
              <w:t>装置和报警系统发生故障状况时，应停止运行本项目，并尽快上报维修，待门灯</w:t>
            </w:r>
            <w:r>
              <w:rPr>
                <w:rFonts w:hint="default" w:ascii="Times New Roman" w:hAnsi="Times New Roman" w:eastAsia="宋体" w:cs="Times New Roman"/>
                <w:color w:val="auto"/>
                <w:spacing w:val="0"/>
                <w:position w:val="0"/>
                <w:lang w:eastAsia="zh-CN"/>
              </w:rPr>
              <w:t>联锁</w:t>
            </w:r>
            <w:r>
              <w:rPr>
                <w:rFonts w:hint="default" w:ascii="Times New Roman" w:hAnsi="Times New Roman" w:eastAsia="宋体" w:cs="Times New Roman"/>
                <w:color w:val="auto"/>
                <w:spacing w:val="0"/>
                <w:position w:val="0"/>
              </w:rPr>
              <w:t>装置和报警系统恢复正常后方可运行本项目装置。</w:t>
            </w:r>
          </w:p>
          <w:p w14:paraId="72DF6920">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工作人员通过正确操作和认真执行各项规定，可减少或避免人员误照射和超剂量辐射事故发生。</w:t>
            </w:r>
          </w:p>
          <w:p w14:paraId="0D640DC7">
            <w:pPr>
              <w:keepNext w:val="0"/>
              <w:keepLines w:val="0"/>
              <w:numPr>
                <w:ilvl w:val="0"/>
                <w:numId w:val="15"/>
              </w:numPr>
              <w:suppressLineNumbers w:val="0"/>
              <w:spacing w:before="0" w:beforeAutospacing="0" w:after="0" w:afterAutospacing="0"/>
              <w:ind w:left="0" w:leftChars="0" w:right="0" w:firstLine="403"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一旦发生误照射并导致人员受到超过年有效剂量限值，医院立即启动辐射事故应急预案，采取应急措施。</w:t>
            </w:r>
          </w:p>
          <w:p w14:paraId="54764F5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采取以上辐射安全措施后，能够有效预防辐射事故的发生。</w:t>
            </w: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应加强管理，加强职工辐射防护知识的培训和安全意识教育，尽可能避免辐射事故的发生。同时医院应经常监测射线装置工作场所的环境辐射剂量率等，确保辐射工作安全有效运转。</w:t>
            </w:r>
          </w:p>
        </w:tc>
      </w:tr>
    </w:tbl>
    <w:p w14:paraId="7DEBEC6A">
      <w:pPr>
        <w:rPr>
          <w:rFonts w:hint="default" w:ascii="Times New Roman" w:hAnsi="Times New Roman" w:eastAsia="宋体" w:cs="Times New Roman"/>
          <w:color w:val="auto"/>
          <w:spacing w:val="0"/>
          <w:position w:val="0"/>
        </w:rPr>
      </w:pPr>
      <w:bookmarkStart w:id="57" w:name="_Toc16815"/>
      <w:r>
        <w:rPr>
          <w:rFonts w:hint="default" w:ascii="Times New Roman" w:hAnsi="Times New Roman" w:eastAsia="宋体" w:cs="Times New Roman"/>
          <w:color w:val="auto"/>
          <w:spacing w:val="0"/>
          <w:position w:val="0"/>
        </w:rPr>
        <w:br w:type="page"/>
      </w:r>
    </w:p>
    <w:p w14:paraId="4FCEE00B">
      <w:pPr>
        <w:pStyle w:val="2"/>
        <w:rPr>
          <w:rFonts w:hint="default" w:ascii="Times New Roman" w:hAnsi="Times New Roman" w:eastAsia="宋体" w:cs="Times New Roman"/>
          <w:color w:val="auto"/>
          <w:spacing w:val="0"/>
          <w:position w:val="0"/>
        </w:rPr>
      </w:pPr>
      <w:bookmarkStart w:id="58" w:name="_Toc31958"/>
      <w:r>
        <w:rPr>
          <w:rFonts w:hint="default" w:ascii="Times New Roman" w:hAnsi="Times New Roman" w:eastAsia="宋体" w:cs="Times New Roman"/>
          <w:color w:val="auto"/>
          <w:spacing w:val="0"/>
          <w:position w:val="0"/>
        </w:rPr>
        <w:t>表12辐射安全管理</w:t>
      </w:r>
      <w:bookmarkEnd w:id="57"/>
      <w:bookmarkEnd w:id="58"/>
    </w:p>
    <w:tbl>
      <w:tblPr>
        <w:tblStyle w:val="20"/>
        <w:tblW w:w="9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1"/>
      </w:tblGrid>
      <w:tr w14:paraId="3766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9241" w:type="dxa"/>
            <w:noWrap w:val="0"/>
            <w:vAlign w:val="top"/>
          </w:tcPr>
          <w:p w14:paraId="6A843223">
            <w:pPr>
              <w:keepNext w:val="0"/>
              <w:keepLines w:val="0"/>
              <w:suppressLineNumbers w:val="0"/>
              <w:snapToGrid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12.1辐射安全与环境保护管理机构的设置</w:t>
            </w:r>
          </w:p>
          <w:p w14:paraId="7418099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根据《放射性同位素与射线装置安全和防护条例</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放射性同位素与射线装置安全许可管理办法》等法律法规要求，使用射线装置的单位应设有专门的辐射安全与环境保护管理机构，或者至少有1名具有本科以上学历的技术人员专职负责辐射安全与环境保护管理工作；辐射工作人员必须通过辐射安全和防护专业知识及相关法律法规的培训和考核。</w:t>
            </w:r>
          </w:p>
          <w:p w14:paraId="0D1200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jc w:val="left"/>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曲靖市第二人民医院于2022年3月14日发布了《曲靖市第二人民医院关于调整医院辐射安全管理委员会的通知》，调整</w:t>
            </w:r>
            <w:r>
              <w:rPr>
                <w:rFonts w:hint="default" w:ascii="Times New Roman" w:hAnsi="Times New Roman" w:eastAsia="宋体" w:cs="Times New Roman"/>
                <w:color w:val="auto"/>
                <w:spacing w:val="0"/>
                <w:position w:val="0"/>
              </w:rPr>
              <w:t>了</w:t>
            </w:r>
            <w:r>
              <w:rPr>
                <w:rFonts w:hint="default" w:ascii="Times New Roman" w:hAnsi="Times New Roman" w:eastAsia="宋体" w:cs="Times New Roman"/>
                <w:color w:val="auto"/>
                <w:spacing w:val="0"/>
                <w:position w:val="0"/>
                <w:lang w:eastAsia="zh-CN"/>
              </w:rPr>
              <w:t>曲靖市第二人民医院</w:t>
            </w:r>
            <w:r>
              <w:rPr>
                <w:rFonts w:hint="default" w:ascii="Times New Roman" w:hAnsi="Times New Roman" w:eastAsia="宋体" w:cs="Times New Roman"/>
                <w:color w:val="auto"/>
                <w:spacing w:val="0"/>
                <w:position w:val="0"/>
              </w:rPr>
              <w:t>辐射安全与环境保护管理委员会</w:t>
            </w:r>
            <w:r>
              <w:rPr>
                <w:rFonts w:hint="default" w:ascii="Times New Roman" w:hAnsi="Times New Roman" w:eastAsia="宋体" w:cs="Times New Roman"/>
                <w:color w:val="auto"/>
                <w:spacing w:val="0"/>
                <w:position w:val="0"/>
                <w:lang w:val="en-US" w:eastAsia="zh-CN"/>
              </w:rPr>
              <w:t>成员</w:t>
            </w:r>
            <w:r>
              <w:rPr>
                <w:rFonts w:hint="default" w:ascii="Times New Roman" w:hAnsi="Times New Roman" w:eastAsia="宋体" w:cs="Times New Roman"/>
                <w:color w:val="auto"/>
                <w:spacing w:val="0"/>
                <w:position w:val="0"/>
              </w:rPr>
              <w:t>，文件中明确了负责人以及</w:t>
            </w:r>
            <w:r>
              <w:rPr>
                <w:rFonts w:hint="default" w:ascii="Times New Roman" w:hAnsi="Times New Roman" w:eastAsia="宋体" w:cs="Times New Roman"/>
                <w:color w:val="auto"/>
                <w:spacing w:val="0"/>
                <w:position w:val="0"/>
                <w:lang w:eastAsia="zh-CN"/>
              </w:rPr>
              <w:t>其他成员的</w:t>
            </w:r>
            <w:r>
              <w:rPr>
                <w:rFonts w:hint="default" w:ascii="Times New Roman" w:hAnsi="Times New Roman" w:eastAsia="宋体" w:cs="Times New Roman"/>
                <w:color w:val="auto"/>
                <w:spacing w:val="0"/>
                <w:position w:val="0"/>
              </w:rPr>
              <w:t>组成，并明确了辐射安全与环境保护管理委员会的职责及工作制度，相关人员为成员。</w:t>
            </w:r>
          </w:p>
          <w:p w14:paraId="4A1A38A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1.</w:t>
            </w:r>
            <w:r>
              <w:rPr>
                <w:rFonts w:hint="default" w:ascii="Times New Roman" w:hAnsi="Times New Roman" w:eastAsia="宋体" w:cs="Times New Roman"/>
                <w:color w:val="auto"/>
                <w:spacing w:val="0"/>
                <w:position w:val="0"/>
              </w:rPr>
              <w:t>辐射工作岗位人员配置和能力分析</w:t>
            </w:r>
          </w:p>
          <w:p w14:paraId="107754E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①人员配置</w:t>
            </w:r>
          </w:p>
          <w:p w14:paraId="6A5742A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本项目共设置辐射工作人员</w:t>
            </w:r>
            <w:r>
              <w:rPr>
                <w:rFonts w:hint="default" w:ascii="Times New Roman" w:hAnsi="Times New Roman" w:eastAsia="宋体" w:cs="Times New Roman"/>
                <w:color w:val="auto"/>
                <w:spacing w:val="0"/>
                <w:position w:val="0"/>
                <w:lang w:val="en-US" w:eastAsia="zh-CN"/>
              </w:rPr>
              <w:t>30</w:t>
            </w:r>
            <w:r>
              <w:rPr>
                <w:rFonts w:hint="default" w:ascii="Times New Roman" w:hAnsi="Times New Roman" w:eastAsia="宋体" w:cs="Times New Roman"/>
                <w:color w:val="auto"/>
                <w:spacing w:val="0"/>
                <w:position w:val="0"/>
              </w:rPr>
              <w:t>名，均为医院</w:t>
            </w:r>
            <w:r>
              <w:rPr>
                <w:rFonts w:hint="default" w:ascii="Times New Roman" w:hAnsi="Times New Roman" w:eastAsia="宋体" w:cs="Times New Roman"/>
                <w:color w:val="auto"/>
                <w:spacing w:val="0"/>
                <w:position w:val="0"/>
                <w:lang w:val="en-US" w:eastAsia="zh-CN"/>
              </w:rPr>
              <w:t>已有辐射工作</w:t>
            </w:r>
            <w:r>
              <w:rPr>
                <w:rFonts w:hint="default" w:ascii="Times New Roman" w:hAnsi="Times New Roman" w:eastAsia="宋体" w:cs="Times New Roman"/>
                <w:color w:val="auto"/>
                <w:spacing w:val="0"/>
                <w:position w:val="0"/>
              </w:rPr>
              <w:t>人员。所有辐射工作人员上班期间应佩戴个人剂量计，不超过90天委托有资质单位进行个人剂量监测，并建立个人记录收发记录和个人剂量档案；辐射工作人员应进行岗前、在岗期间和离岗职业健康检查，职业健康检查应每一年或两年委托相关资质单位进行，建立职业健康档案。</w:t>
            </w:r>
          </w:p>
          <w:p w14:paraId="78EDE2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②医院委托有资质单位承担辐射工作人员个人剂量的检测工作，由医院负责辐射工作人员个人剂量档案管理，个人剂量档案</w:t>
            </w:r>
            <w:r>
              <w:rPr>
                <w:rFonts w:hint="default" w:ascii="Times New Roman" w:hAnsi="Times New Roman" w:eastAsia="宋体" w:cs="Times New Roman"/>
                <w:color w:val="auto"/>
                <w:spacing w:val="0"/>
                <w:position w:val="0"/>
                <w:lang w:eastAsia="zh-CN"/>
              </w:rPr>
              <w:t>终身</w:t>
            </w:r>
            <w:r>
              <w:rPr>
                <w:rFonts w:hint="default" w:ascii="Times New Roman" w:hAnsi="Times New Roman" w:eastAsia="宋体" w:cs="Times New Roman"/>
                <w:color w:val="auto"/>
                <w:spacing w:val="0"/>
                <w:position w:val="0"/>
              </w:rPr>
              <w:t>保存。</w:t>
            </w:r>
          </w:p>
          <w:p w14:paraId="2CF354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③医院委托有资质的单位对辐射工作场所进行辐射环境的监测，包括射线机房的各面屏蔽墙和防护门等，环评要求医院每年应按时向辐射安全许可证发证机关提交本院的射线装置的安全和防护状况评估报告。</w:t>
            </w:r>
          </w:p>
          <w:p w14:paraId="0F9A715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2.</w:t>
            </w:r>
            <w:r>
              <w:rPr>
                <w:rFonts w:hint="default" w:ascii="Times New Roman" w:hAnsi="Times New Roman" w:eastAsia="宋体" w:cs="Times New Roman"/>
                <w:color w:val="auto"/>
                <w:spacing w:val="0"/>
                <w:position w:val="0"/>
              </w:rPr>
              <w:t>辐射工作人员考核学习</w:t>
            </w:r>
          </w:p>
          <w:p w14:paraId="7C6427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辐射工作人员能力培养方面需从以下几个方面加强：</w:t>
            </w:r>
          </w:p>
          <w:p w14:paraId="344479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①医院应积极组织人员参加生态环境部辐射安全与防护培训平台的培训学习，并按时</w:t>
            </w:r>
            <w:r>
              <w:rPr>
                <w:rFonts w:hint="default" w:ascii="Times New Roman" w:hAnsi="Times New Roman" w:eastAsia="宋体" w:cs="Times New Roman"/>
                <w:color w:val="auto"/>
                <w:spacing w:val="0"/>
                <w:position w:val="0"/>
                <w:lang w:eastAsia="zh-CN"/>
              </w:rPr>
              <w:t>再培</w:t>
            </w:r>
            <w:r>
              <w:rPr>
                <w:rFonts w:hint="default" w:ascii="Times New Roman" w:hAnsi="Times New Roman" w:eastAsia="宋体" w:cs="Times New Roman"/>
                <w:color w:val="auto"/>
                <w:spacing w:val="0"/>
                <w:position w:val="0"/>
              </w:rPr>
              <w:t>训。</w:t>
            </w:r>
          </w:p>
          <w:p w14:paraId="3F0D363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②个人剂量档案管理人员应将每季度的检测结果告知辐射工作人员，如发现结果异常，将在第一时间通知相关人员，查明原因并解决发现的问题。医院若有新增的辐射工作人员应尽快报名参加</w:t>
            </w:r>
            <w:r>
              <w:rPr>
                <w:rFonts w:hint="default" w:ascii="Times New Roman" w:hAnsi="Times New Roman" w:eastAsia="宋体" w:cs="Times New Roman"/>
                <w:color w:val="auto"/>
                <w:spacing w:val="0"/>
                <w:position w:val="0"/>
                <w:lang w:val="en-US" w:eastAsia="zh-CN"/>
              </w:rPr>
              <w:t>有关部门</w:t>
            </w:r>
            <w:r>
              <w:rPr>
                <w:rFonts w:hint="default" w:ascii="Times New Roman" w:hAnsi="Times New Roman" w:eastAsia="宋体" w:cs="Times New Roman"/>
                <w:color w:val="auto"/>
                <w:spacing w:val="0"/>
                <w:position w:val="0"/>
              </w:rPr>
              <w:t>组织的辐射安全与防护培训，并</w:t>
            </w:r>
            <w:r>
              <w:rPr>
                <w:rFonts w:hint="default" w:ascii="Times New Roman" w:hAnsi="Times New Roman" w:eastAsia="宋体" w:cs="Times New Roman"/>
                <w:color w:val="auto"/>
                <w:spacing w:val="0"/>
                <w:position w:val="0"/>
                <w:lang w:eastAsia="zh-CN"/>
              </w:rPr>
              <w:t>定期</w:t>
            </w:r>
            <w:r>
              <w:rPr>
                <w:rFonts w:hint="default" w:ascii="Times New Roman" w:hAnsi="Times New Roman" w:eastAsia="宋体" w:cs="Times New Roman"/>
                <w:color w:val="auto"/>
                <w:spacing w:val="0"/>
                <w:position w:val="0"/>
              </w:rPr>
              <w:t>组织培训，保证本项目辐射工作人员均持证上岗。</w:t>
            </w:r>
          </w:p>
          <w:p w14:paraId="799CF204">
            <w:pPr>
              <w:keepNext w:val="0"/>
              <w:keepLines w:val="0"/>
              <w:suppressLineNumbers w:val="0"/>
              <w:snapToGrid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12.2辐射安全管理规章制度</w:t>
            </w:r>
          </w:p>
          <w:p w14:paraId="6C342742">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已根据《放射性同位素与射线装置安全许可管理办法</w:t>
            </w:r>
            <w:r>
              <w:rPr>
                <w:rFonts w:hint="default" w:ascii="Times New Roman" w:hAnsi="Times New Roman" w:eastAsia="宋体" w:cs="Times New Roman"/>
                <w:color w:val="auto"/>
                <w:spacing w:val="0"/>
                <w:position w:val="0"/>
                <w:lang w:eastAsia="zh-CN"/>
              </w:rPr>
              <w:t>》等</w:t>
            </w:r>
            <w:r>
              <w:rPr>
                <w:rFonts w:hint="default" w:ascii="Times New Roman" w:hAnsi="Times New Roman" w:eastAsia="宋体" w:cs="Times New Roman"/>
                <w:color w:val="auto"/>
                <w:spacing w:val="0"/>
                <w:position w:val="0"/>
              </w:rPr>
              <w:t>规定制定了相关的辐射安全管理制度，主要有：</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辐射工作人员岗位职责》《</w:t>
            </w:r>
            <w:r>
              <w:rPr>
                <w:rFonts w:hint="default" w:ascii="Times New Roman" w:hAnsi="Times New Roman" w:eastAsia="宋体" w:cs="Times New Roman"/>
                <w:color w:val="auto"/>
                <w:spacing w:val="0"/>
                <w:position w:val="0"/>
                <w:lang w:eastAsia="zh-CN"/>
              </w:rPr>
              <w:t>辐射防护与安全保卫制度》《</w:t>
            </w:r>
            <w:r>
              <w:rPr>
                <w:rFonts w:hint="default" w:ascii="Times New Roman" w:hAnsi="Times New Roman" w:eastAsia="宋体" w:cs="Times New Roman"/>
                <w:color w:val="auto"/>
                <w:spacing w:val="0"/>
                <w:position w:val="0"/>
                <w:lang w:val="en-US" w:eastAsia="zh-CN"/>
              </w:rPr>
              <w:t>辐射装置检修维护制度》《</w:t>
            </w:r>
            <w:r>
              <w:rPr>
                <w:rFonts w:hint="default" w:ascii="Times New Roman" w:hAnsi="Times New Roman" w:eastAsia="宋体" w:cs="Times New Roman"/>
                <w:color w:val="auto"/>
                <w:spacing w:val="0"/>
                <w:position w:val="0"/>
                <w:lang w:eastAsia="zh-CN"/>
              </w:rPr>
              <w:t>辐射工作人员培训制度》《辐射工作场所监测制度、方案》《辐射工作人员健康及个人剂量管理制度》《质量保证大纲和质量控制计划》《DSA射线装置操作规程》《</w:t>
            </w:r>
            <w:r>
              <w:rPr>
                <w:rFonts w:hint="default" w:ascii="Times New Roman" w:hAnsi="Times New Roman" w:eastAsia="宋体" w:cs="Times New Roman"/>
                <w:color w:val="auto"/>
                <w:spacing w:val="0"/>
                <w:position w:val="0"/>
                <w:lang w:val="en-US" w:eastAsia="zh-CN"/>
              </w:rPr>
              <w:t>射线装置管理制度》《</w:t>
            </w:r>
            <w:r>
              <w:rPr>
                <w:rFonts w:hint="default" w:ascii="Times New Roman" w:hAnsi="Times New Roman" w:eastAsia="宋体" w:cs="Times New Roman"/>
                <w:color w:val="auto"/>
                <w:spacing w:val="0"/>
                <w:position w:val="0"/>
                <w:lang w:eastAsia="zh-CN"/>
              </w:rPr>
              <w:t>受检者防护管理制度》《辐射事故应急预案》</w:t>
            </w:r>
            <w:r>
              <w:rPr>
                <w:rFonts w:hint="default" w:ascii="Times New Roman" w:hAnsi="Times New Roman" w:eastAsia="宋体" w:cs="Times New Roman"/>
                <w:color w:val="auto"/>
                <w:spacing w:val="0"/>
                <w:position w:val="0"/>
              </w:rPr>
              <w:t>。</w:t>
            </w:r>
          </w:p>
          <w:p w14:paraId="2DA9727A">
            <w:pPr>
              <w:keepNext w:val="0"/>
              <w:keepLines w:val="0"/>
              <w:suppressLineNumbers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根据《云南省核技术利用辐射安全和防护监督检查技术程序（2021年版）》的相关要求，将医院管理制度现状列于表12-1中进行对照分析：</w:t>
            </w:r>
          </w:p>
          <w:p w14:paraId="35F7FF08">
            <w:pPr>
              <w:pStyle w:val="19"/>
              <w:keepNext w:val="0"/>
              <w:keepLines w:val="0"/>
              <w:suppressLineNumbers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olor w:val="auto"/>
                <w:spacing w:val="0"/>
                <w:position w:val="0"/>
                <w:sz w:val="21"/>
                <w:szCs w:val="21"/>
              </w:rPr>
            </w:pPr>
            <w:r>
              <w:rPr>
                <w:rFonts w:hint="default" w:ascii="Times New Roman" w:hAnsi="Times New Roman" w:eastAsia="宋体" w:cs="Times New Roman"/>
                <w:b/>
                <w:bCs/>
                <w:color w:val="auto"/>
                <w:spacing w:val="0"/>
                <w:position w:val="0"/>
                <w:sz w:val="21"/>
                <w:szCs w:val="21"/>
              </w:rPr>
              <w:t>表12-1管理制度汇总对照表</w:t>
            </w:r>
          </w:p>
          <w:tbl>
            <w:tblPr>
              <w:tblStyle w:val="53"/>
              <w:tblW w:w="872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7"/>
              <w:gridCol w:w="866"/>
              <w:gridCol w:w="3281"/>
              <w:gridCol w:w="2815"/>
              <w:gridCol w:w="1287"/>
            </w:tblGrid>
            <w:tr w14:paraId="17E99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jc w:val="center"/>
              </w:trPr>
              <w:tc>
                <w:tcPr>
                  <w:tcW w:w="477" w:type="dxa"/>
                  <w:noWrap w:val="0"/>
                  <w:vAlign w:val="center"/>
                </w:tcPr>
                <w:p w14:paraId="77DBD42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4147" w:type="dxa"/>
                  <w:gridSpan w:val="2"/>
                  <w:noWrap w:val="0"/>
                  <w:vAlign w:val="center"/>
                </w:tcPr>
                <w:p w14:paraId="52C3DD0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检查项目</w:t>
                  </w:r>
                </w:p>
              </w:tc>
              <w:tc>
                <w:tcPr>
                  <w:tcW w:w="2815" w:type="dxa"/>
                  <w:noWrap w:val="0"/>
                  <w:vAlign w:val="center"/>
                </w:tcPr>
                <w:p w14:paraId="5B75597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制度制定</w:t>
                  </w:r>
                </w:p>
              </w:tc>
              <w:tc>
                <w:tcPr>
                  <w:tcW w:w="1287" w:type="dxa"/>
                  <w:noWrap w:val="0"/>
                  <w:vAlign w:val="center"/>
                </w:tcPr>
                <w:p w14:paraId="3E40AE0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备注</w:t>
                  </w:r>
                </w:p>
              </w:tc>
            </w:tr>
            <w:tr w14:paraId="64E20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jc w:val="center"/>
              </w:trPr>
              <w:tc>
                <w:tcPr>
                  <w:tcW w:w="477" w:type="dxa"/>
                  <w:noWrap w:val="0"/>
                  <w:vAlign w:val="center"/>
                </w:tcPr>
                <w:p w14:paraId="279D276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w:t>
                  </w:r>
                </w:p>
              </w:tc>
              <w:tc>
                <w:tcPr>
                  <w:tcW w:w="866" w:type="dxa"/>
                  <w:vMerge w:val="restart"/>
                  <w:tcBorders>
                    <w:bottom w:val="nil"/>
                  </w:tcBorders>
                  <w:noWrap w:val="0"/>
                  <w:vAlign w:val="center"/>
                </w:tcPr>
                <w:p w14:paraId="49E1599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综合管理</w:t>
                  </w:r>
                </w:p>
              </w:tc>
              <w:tc>
                <w:tcPr>
                  <w:tcW w:w="3281" w:type="dxa"/>
                  <w:noWrap w:val="0"/>
                  <w:vAlign w:val="center"/>
                </w:tcPr>
                <w:p w14:paraId="0C6B695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辐射防护和安全保卫制度</w:t>
                  </w:r>
                </w:p>
              </w:tc>
              <w:tc>
                <w:tcPr>
                  <w:tcW w:w="2815" w:type="dxa"/>
                  <w:noWrap w:val="0"/>
                  <w:vAlign w:val="center"/>
                </w:tcPr>
                <w:p w14:paraId="6F20F41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6CD84F4D">
                  <w:pPr>
                    <w:pStyle w:val="8"/>
                    <w:bidi w:val="0"/>
                    <w:jc w:val="center"/>
                    <w:rPr>
                      <w:rFonts w:hint="default" w:ascii="Times New Roman" w:hAnsi="Times New Roman" w:eastAsia="宋体" w:cs="Times New Roman"/>
                      <w:color w:val="auto"/>
                      <w:spacing w:val="0"/>
                      <w:position w:val="0"/>
                    </w:rPr>
                  </w:pPr>
                </w:p>
              </w:tc>
            </w:tr>
            <w:tr w14:paraId="6A68F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4BA53CB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w:t>
                  </w:r>
                </w:p>
              </w:tc>
              <w:tc>
                <w:tcPr>
                  <w:tcW w:w="866" w:type="dxa"/>
                  <w:vMerge w:val="continue"/>
                  <w:tcBorders>
                    <w:top w:val="nil"/>
                    <w:bottom w:val="nil"/>
                  </w:tcBorders>
                  <w:noWrap w:val="0"/>
                  <w:vAlign w:val="center"/>
                </w:tcPr>
                <w:p w14:paraId="5B7DFC0E">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4846FDC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安全操作规程</w:t>
                  </w:r>
                </w:p>
              </w:tc>
              <w:tc>
                <w:tcPr>
                  <w:tcW w:w="2815" w:type="dxa"/>
                  <w:noWrap w:val="0"/>
                  <w:vAlign w:val="center"/>
                </w:tcPr>
                <w:p w14:paraId="1CD8BCF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43575622">
                  <w:pPr>
                    <w:pStyle w:val="8"/>
                    <w:bidi w:val="0"/>
                    <w:jc w:val="center"/>
                    <w:rPr>
                      <w:rFonts w:hint="default" w:ascii="Times New Roman" w:hAnsi="Times New Roman" w:eastAsia="宋体" w:cs="Times New Roman"/>
                      <w:color w:val="auto"/>
                      <w:spacing w:val="0"/>
                      <w:position w:val="0"/>
                    </w:rPr>
                  </w:pPr>
                </w:p>
              </w:tc>
            </w:tr>
            <w:tr w14:paraId="52325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479F08A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w:t>
                  </w:r>
                </w:p>
              </w:tc>
              <w:tc>
                <w:tcPr>
                  <w:tcW w:w="866" w:type="dxa"/>
                  <w:vMerge w:val="continue"/>
                  <w:tcBorders>
                    <w:top w:val="nil"/>
                    <w:bottom w:val="nil"/>
                  </w:tcBorders>
                  <w:noWrap w:val="0"/>
                  <w:vAlign w:val="center"/>
                </w:tcPr>
                <w:p w14:paraId="600886BC">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7D02F83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设备检修维护制度</w:t>
                  </w:r>
                </w:p>
              </w:tc>
              <w:tc>
                <w:tcPr>
                  <w:tcW w:w="2815" w:type="dxa"/>
                  <w:noWrap w:val="0"/>
                  <w:vAlign w:val="center"/>
                </w:tcPr>
                <w:p w14:paraId="0BD5504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19C51975">
                  <w:pPr>
                    <w:pStyle w:val="8"/>
                    <w:bidi w:val="0"/>
                    <w:jc w:val="center"/>
                    <w:rPr>
                      <w:rFonts w:hint="default" w:ascii="Times New Roman" w:hAnsi="Times New Roman" w:eastAsia="宋体" w:cs="Times New Roman"/>
                      <w:color w:val="auto"/>
                      <w:spacing w:val="0"/>
                      <w:position w:val="0"/>
                    </w:rPr>
                  </w:pPr>
                </w:p>
              </w:tc>
            </w:tr>
            <w:tr w14:paraId="025C1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01F5380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4</w:t>
                  </w:r>
                </w:p>
              </w:tc>
              <w:tc>
                <w:tcPr>
                  <w:tcW w:w="866" w:type="dxa"/>
                  <w:vMerge w:val="continue"/>
                  <w:tcBorders>
                    <w:top w:val="nil"/>
                    <w:bottom w:val="nil"/>
                  </w:tcBorders>
                  <w:noWrap w:val="0"/>
                  <w:vAlign w:val="center"/>
                </w:tcPr>
                <w:p w14:paraId="7C338FE6">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4D5EA4F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辐射安全管理机构设置（设置文件）</w:t>
                  </w:r>
                </w:p>
              </w:tc>
              <w:tc>
                <w:tcPr>
                  <w:tcW w:w="2815" w:type="dxa"/>
                  <w:noWrap w:val="0"/>
                  <w:vAlign w:val="center"/>
                </w:tcPr>
                <w:p w14:paraId="3CE098D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0F912A9F">
                  <w:pPr>
                    <w:pStyle w:val="8"/>
                    <w:bidi w:val="0"/>
                    <w:jc w:val="center"/>
                    <w:rPr>
                      <w:rFonts w:hint="default" w:ascii="Times New Roman" w:hAnsi="Times New Roman" w:eastAsia="宋体" w:cs="Times New Roman"/>
                      <w:color w:val="auto"/>
                      <w:spacing w:val="0"/>
                      <w:position w:val="0"/>
                    </w:rPr>
                  </w:pPr>
                </w:p>
              </w:tc>
            </w:tr>
            <w:tr w14:paraId="2E3C3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6702AA5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5</w:t>
                  </w:r>
                </w:p>
              </w:tc>
              <w:tc>
                <w:tcPr>
                  <w:tcW w:w="866" w:type="dxa"/>
                  <w:vMerge w:val="continue"/>
                  <w:tcBorders>
                    <w:top w:val="nil"/>
                    <w:bottom w:val="nil"/>
                  </w:tcBorders>
                  <w:noWrap w:val="0"/>
                  <w:vAlign w:val="center"/>
                </w:tcPr>
                <w:p w14:paraId="25365149">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5881B0E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场所设施退役（报废）管理制度</w:t>
                  </w:r>
                </w:p>
              </w:tc>
              <w:tc>
                <w:tcPr>
                  <w:tcW w:w="2815" w:type="dxa"/>
                  <w:noWrap w:val="0"/>
                  <w:vAlign w:val="center"/>
                </w:tcPr>
                <w:p w14:paraId="320AEC4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1287" w:type="dxa"/>
                  <w:noWrap w:val="0"/>
                  <w:vAlign w:val="center"/>
                </w:tcPr>
                <w:p w14:paraId="1BA0124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本项目不涉及</w:t>
                  </w:r>
                </w:p>
              </w:tc>
            </w:tr>
            <w:tr w14:paraId="0647F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2DFCCC0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w:t>
                  </w:r>
                </w:p>
              </w:tc>
              <w:tc>
                <w:tcPr>
                  <w:tcW w:w="866" w:type="dxa"/>
                  <w:vMerge w:val="continue"/>
                  <w:tcBorders>
                    <w:top w:val="nil"/>
                    <w:bottom w:val="nil"/>
                  </w:tcBorders>
                  <w:noWrap w:val="0"/>
                  <w:vAlign w:val="center"/>
                </w:tcPr>
                <w:p w14:paraId="164E58E9">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7FDF2CC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放射源使用管理登记制度</w:t>
                  </w:r>
                </w:p>
              </w:tc>
              <w:tc>
                <w:tcPr>
                  <w:tcW w:w="2815" w:type="dxa"/>
                  <w:noWrap w:val="0"/>
                  <w:vAlign w:val="center"/>
                </w:tcPr>
                <w:p w14:paraId="2F170A00">
                  <w:pPr>
                    <w:pStyle w:val="8"/>
                    <w:bidi w:val="0"/>
                    <w:jc w:val="center"/>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w:t>
                  </w:r>
                </w:p>
              </w:tc>
              <w:tc>
                <w:tcPr>
                  <w:tcW w:w="1287" w:type="dxa"/>
                  <w:noWrap w:val="0"/>
                  <w:vAlign w:val="center"/>
                </w:tcPr>
                <w:p w14:paraId="45575493">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本项目不涉及</w:t>
                  </w:r>
                </w:p>
              </w:tc>
            </w:tr>
            <w:tr w14:paraId="419A1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309403D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7</w:t>
                  </w:r>
                </w:p>
              </w:tc>
              <w:tc>
                <w:tcPr>
                  <w:tcW w:w="866" w:type="dxa"/>
                  <w:vMerge w:val="continue"/>
                  <w:tcBorders>
                    <w:top w:val="nil"/>
                    <w:bottom w:val="nil"/>
                  </w:tcBorders>
                  <w:noWrap w:val="0"/>
                  <w:vAlign w:val="center"/>
                </w:tcPr>
                <w:p w14:paraId="10A94E5E">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4784771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非密封放射性物质管理制度</w:t>
                  </w:r>
                </w:p>
              </w:tc>
              <w:tc>
                <w:tcPr>
                  <w:tcW w:w="2815" w:type="dxa"/>
                  <w:noWrap w:val="0"/>
                  <w:vAlign w:val="center"/>
                </w:tcPr>
                <w:p w14:paraId="432DBC1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p>
              </w:tc>
              <w:tc>
                <w:tcPr>
                  <w:tcW w:w="1287" w:type="dxa"/>
                  <w:noWrap w:val="0"/>
                  <w:vAlign w:val="center"/>
                </w:tcPr>
                <w:p w14:paraId="2B64245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本项目不涉及</w:t>
                  </w:r>
                </w:p>
              </w:tc>
            </w:tr>
            <w:tr w14:paraId="4C13B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6AAD7E0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8</w:t>
                  </w:r>
                </w:p>
              </w:tc>
              <w:tc>
                <w:tcPr>
                  <w:tcW w:w="866" w:type="dxa"/>
                  <w:vMerge w:val="continue"/>
                  <w:tcBorders>
                    <w:top w:val="nil"/>
                  </w:tcBorders>
                  <w:noWrap w:val="0"/>
                  <w:vAlign w:val="center"/>
                </w:tcPr>
                <w:p w14:paraId="32A45CB2">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4A75D77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射线装置管理制度</w:t>
                  </w:r>
                </w:p>
              </w:tc>
              <w:tc>
                <w:tcPr>
                  <w:tcW w:w="2815" w:type="dxa"/>
                  <w:noWrap w:val="0"/>
                  <w:vAlign w:val="center"/>
                </w:tcPr>
                <w:p w14:paraId="1326063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5A5E779C">
                  <w:pPr>
                    <w:pStyle w:val="8"/>
                    <w:bidi w:val="0"/>
                    <w:jc w:val="center"/>
                    <w:rPr>
                      <w:rFonts w:hint="default" w:ascii="Times New Roman" w:hAnsi="Times New Roman" w:eastAsia="宋体" w:cs="Times New Roman"/>
                      <w:color w:val="auto"/>
                      <w:spacing w:val="0"/>
                      <w:position w:val="0"/>
                    </w:rPr>
                  </w:pPr>
                </w:p>
              </w:tc>
            </w:tr>
            <w:tr w14:paraId="52724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312728A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9</w:t>
                  </w:r>
                </w:p>
              </w:tc>
              <w:tc>
                <w:tcPr>
                  <w:tcW w:w="866" w:type="dxa"/>
                  <w:vMerge w:val="restart"/>
                  <w:tcBorders>
                    <w:bottom w:val="nil"/>
                  </w:tcBorders>
                  <w:noWrap w:val="0"/>
                  <w:vAlign w:val="center"/>
                </w:tcPr>
                <w:p w14:paraId="1DB9791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监测</w:t>
                  </w:r>
                </w:p>
              </w:tc>
              <w:tc>
                <w:tcPr>
                  <w:tcW w:w="3281" w:type="dxa"/>
                  <w:noWrap w:val="0"/>
                  <w:vAlign w:val="center"/>
                </w:tcPr>
                <w:p w14:paraId="0F62947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监测方案</w:t>
                  </w:r>
                </w:p>
              </w:tc>
              <w:tc>
                <w:tcPr>
                  <w:tcW w:w="2815" w:type="dxa"/>
                  <w:noWrap w:val="0"/>
                  <w:vAlign w:val="center"/>
                </w:tcPr>
                <w:p w14:paraId="5E94954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3A742BF6">
                  <w:pPr>
                    <w:pStyle w:val="8"/>
                    <w:bidi w:val="0"/>
                    <w:jc w:val="center"/>
                    <w:rPr>
                      <w:rFonts w:hint="default" w:ascii="Times New Roman" w:hAnsi="Times New Roman" w:eastAsia="宋体" w:cs="Times New Roman"/>
                      <w:color w:val="auto"/>
                      <w:spacing w:val="0"/>
                      <w:position w:val="0"/>
                    </w:rPr>
                  </w:pPr>
                </w:p>
              </w:tc>
            </w:tr>
            <w:tr w14:paraId="6941B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3F110C4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10</w:t>
                  </w:r>
                </w:p>
              </w:tc>
              <w:tc>
                <w:tcPr>
                  <w:tcW w:w="866" w:type="dxa"/>
                  <w:vMerge w:val="continue"/>
                  <w:tcBorders>
                    <w:top w:val="nil"/>
                  </w:tcBorders>
                  <w:noWrap w:val="0"/>
                  <w:vAlign w:val="center"/>
                </w:tcPr>
                <w:p w14:paraId="5482740A">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137EB34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监测仪器检验与刻度管理</w:t>
                  </w:r>
                </w:p>
              </w:tc>
              <w:tc>
                <w:tcPr>
                  <w:tcW w:w="2815" w:type="dxa"/>
                  <w:noWrap w:val="0"/>
                  <w:vAlign w:val="center"/>
                </w:tcPr>
                <w:p w14:paraId="5A1AAD13">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717F618F">
                  <w:pPr>
                    <w:pStyle w:val="8"/>
                    <w:bidi w:val="0"/>
                    <w:jc w:val="center"/>
                    <w:rPr>
                      <w:rFonts w:hint="default" w:ascii="Times New Roman" w:hAnsi="Times New Roman" w:eastAsia="宋体" w:cs="Times New Roman"/>
                      <w:color w:val="auto"/>
                      <w:spacing w:val="0"/>
                      <w:position w:val="0"/>
                    </w:rPr>
                  </w:pPr>
                </w:p>
              </w:tc>
            </w:tr>
            <w:tr w14:paraId="49709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05FCDF7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11</w:t>
                  </w:r>
                </w:p>
              </w:tc>
              <w:tc>
                <w:tcPr>
                  <w:tcW w:w="866" w:type="dxa"/>
                  <w:vMerge w:val="restart"/>
                  <w:tcBorders>
                    <w:bottom w:val="nil"/>
                  </w:tcBorders>
                  <w:noWrap w:val="0"/>
                  <w:vAlign w:val="center"/>
                </w:tcPr>
                <w:p w14:paraId="0D61ED9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人员管理</w:t>
                  </w:r>
                </w:p>
              </w:tc>
              <w:tc>
                <w:tcPr>
                  <w:tcW w:w="3281" w:type="dxa"/>
                  <w:noWrap w:val="0"/>
                  <w:vAlign w:val="center"/>
                </w:tcPr>
                <w:p w14:paraId="7130E53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辐射工作人员资质管理</w:t>
                  </w:r>
                </w:p>
              </w:tc>
              <w:tc>
                <w:tcPr>
                  <w:tcW w:w="2815" w:type="dxa"/>
                  <w:noWrap w:val="0"/>
                  <w:vAlign w:val="center"/>
                </w:tcPr>
                <w:p w14:paraId="43F2DD4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4FE1FE1E">
                  <w:pPr>
                    <w:pStyle w:val="8"/>
                    <w:bidi w:val="0"/>
                    <w:jc w:val="center"/>
                    <w:rPr>
                      <w:rFonts w:hint="default" w:ascii="Times New Roman" w:hAnsi="Times New Roman" w:eastAsia="宋体" w:cs="Times New Roman"/>
                      <w:color w:val="auto"/>
                      <w:spacing w:val="0"/>
                      <w:position w:val="0"/>
                    </w:rPr>
                  </w:pPr>
                </w:p>
              </w:tc>
            </w:tr>
            <w:tr w14:paraId="24205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713BBBC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12</w:t>
                  </w:r>
                </w:p>
              </w:tc>
              <w:tc>
                <w:tcPr>
                  <w:tcW w:w="866" w:type="dxa"/>
                  <w:vMerge w:val="continue"/>
                  <w:tcBorders>
                    <w:top w:val="nil"/>
                    <w:bottom w:val="nil"/>
                  </w:tcBorders>
                  <w:noWrap w:val="0"/>
                  <w:vAlign w:val="center"/>
                </w:tcPr>
                <w:p w14:paraId="7BA21D26">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5B86440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辐射工作人员岗位职责管理</w:t>
                  </w:r>
                </w:p>
              </w:tc>
              <w:tc>
                <w:tcPr>
                  <w:tcW w:w="2815" w:type="dxa"/>
                  <w:noWrap w:val="0"/>
                  <w:vAlign w:val="center"/>
                </w:tcPr>
                <w:p w14:paraId="1937EE1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0C49798D">
                  <w:pPr>
                    <w:pStyle w:val="8"/>
                    <w:bidi w:val="0"/>
                    <w:jc w:val="center"/>
                    <w:rPr>
                      <w:rFonts w:hint="default" w:ascii="Times New Roman" w:hAnsi="Times New Roman" w:eastAsia="宋体" w:cs="Times New Roman"/>
                      <w:color w:val="auto"/>
                      <w:spacing w:val="0"/>
                      <w:position w:val="0"/>
                    </w:rPr>
                  </w:pPr>
                </w:p>
              </w:tc>
            </w:tr>
            <w:tr w14:paraId="54A02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201D814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13</w:t>
                  </w:r>
                </w:p>
              </w:tc>
              <w:tc>
                <w:tcPr>
                  <w:tcW w:w="866" w:type="dxa"/>
                  <w:vMerge w:val="continue"/>
                  <w:tcBorders>
                    <w:top w:val="nil"/>
                    <w:bottom w:val="nil"/>
                  </w:tcBorders>
                  <w:noWrap w:val="0"/>
                  <w:vAlign w:val="center"/>
                </w:tcPr>
                <w:p w14:paraId="199935F2">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390EA45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辐射工作人员健康管理制度</w:t>
                  </w:r>
                </w:p>
              </w:tc>
              <w:tc>
                <w:tcPr>
                  <w:tcW w:w="2815" w:type="dxa"/>
                  <w:noWrap w:val="0"/>
                  <w:vAlign w:val="center"/>
                </w:tcPr>
                <w:p w14:paraId="48C0C46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5011FE4F">
                  <w:pPr>
                    <w:pStyle w:val="8"/>
                    <w:bidi w:val="0"/>
                    <w:jc w:val="center"/>
                    <w:rPr>
                      <w:rFonts w:hint="default" w:ascii="Times New Roman" w:hAnsi="Times New Roman" w:eastAsia="宋体" w:cs="Times New Roman"/>
                      <w:color w:val="auto"/>
                      <w:spacing w:val="0"/>
                      <w:position w:val="0"/>
                    </w:rPr>
                  </w:pPr>
                </w:p>
              </w:tc>
            </w:tr>
            <w:tr w14:paraId="327EB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214642D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14</w:t>
                  </w:r>
                </w:p>
              </w:tc>
              <w:tc>
                <w:tcPr>
                  <w:tcW w:w="866" w:type="dxa"/>
                  <w:vMerge w:val="continue"/>
                  <w:tcBorders>
                    <w:top w:val="nil"/>
                    <w:bottom w:val="nil"/>
                  </w:tcBorders>
                  <w:noWrap w:val="0"/>
                  <w:vAlign w:val="center"/>
                </w:tcPr>
                <w:p w14:paraId="45C75185">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23B106C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辐射工作人员个人剂量管理</w:t>
                  </w:r>
                </w:p>
              </w:tc>
              <w:tc>
                <w:tcPr>
                  <w:tcW w:w="2815" w:type="dxa"/>
                  <w:noWrap w:val="0"/>
                  <w:vAlign w:val="center"/>
                </w:tcPr>
                <w:p w14:paraId="25081E6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5F3BECED">
                  <w:pPr>
                    <w:pStyle w:val="8"/>
                    <w:bidi w:val="0"/>
                    <w:jc w:val="center"/>
                    <w:rPr>
                      <w:rFonts w:hint="default" w:ascii="Times New Roman" w:hAnsi="Times New Roman" w:eastAsia="宋体" w:cs="Times New Roman"/>
                      <w:color w:val="auto"/>
                      <w:spacing w:val="0"/>
                      <w:position w:val="0"/>
                    </w:rPr>
                  </w:pPr>
                </w:p>
              </w:tc>
            </w:tr>
            <w:tr w14:paraId="5D62D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26C333CC">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15</w:t>
                  </w:r>
                </w:p>
              </w:tc>
              <w:tc>
                <w:tcPr>
                  <w:tcW w:w="866" w:type="dxa"/>
                  <w:vMerge w:val="continue"/>
                  <w:tcBorders>
                    <w:top w:val="nil"/>
                  </w:tcBorders>
                  <w:noWrap w:val="0"/>
                  <w:vAlign w:val="center"/>
                </w:tcPr>
                <w:p w14:paraId="5B0CA27E">
                  <w:pPr>
                    <w:pStyle w:val="8"/>
                    <w:bidi w:val="0"/>
                    <w:jc w:val="center"/>
                    <w:rPr>
                      <w:rFonts w:hint="default" w:ascii="Times New Roman" w:hAnsi="Times New Roman" w:eastAsia="宋体" w:cs="Times New Roman"/>
                      <w:color w:val="auto"/>
                      <w:spacing w:val="0"/>
                      <w:position w:val="0"/>
                    </w:rPr>
                  </w:pPr>
                </w:p>
              </w:tc>
              <w:tc>
                <w:tcPr>
                  <w:tcW w:w="3281" w:type="dxa"/>
                  <w:noWrap w:val="0"/>
                  <w:vAlign w:val="center"/>
                </w:tcPr>
                <w:p w14:paraId="1F4EBD8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辐射工作人员培训制度</w:t>
                  </w:r>
                </w:p>
              </w:tc>
              <w:tc>
                <w:tcPr>
                  <w:tcW w:w="2815" w:type="dxa"/>
                  <w:noWrap w:val="0"/>
                  <w:vAlign w:val="center"/>
                </w:tcPr>
                <w:p w14:paraId="4AFBBBA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3572A6D0">
                  <w:pPr>
                    <w:pStyle w:val="8"/>
                    <w:bidi w:val="0"/>
                    <w:jc w:val="center"/>
                    <w:rPr>
                      <w:rFonts w:hint="default" w:ascii="Times New Roman" w:hAnsi="Times New Roman" w:eastAsia="宋体" w:cs="Times New Roman"/>
                      <w:color w:val="auto"/>
                      <w:spacing w:val="0"/>
                      <w:position w:val="0"/>
                    </w:rPr>
                  </w:pPr>
                </w:p>
              </w:tc>
            </w:tr>
            <w:tr w14:paraId="5E74D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477" w:type="dxa"/>
                  <w:noWrap w:val="0"/>
                  <w:vAlign w:val="center"/>
                </w:tcPr>
                <w:p w14:paraId="6DAA6B9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16</w:t>
                  </w:r>
                </w:p>
              </w:tc>
              <w:tc>
                <w:tcPr>
                  <w:tcW w:w="866" w:type="dxa"/>
                  <w:noWrap w:val="0"/>
                  <w:vAlign w:val="center"/>
                </w:tcPr>
                <w:p w14:paraId="43F8F0B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事故应急</w:t>
                  </w:r>
                </w:p>
              </w:tc>
              <w:tc>
                <w:tcPr>
                  <w:tcW w:w="3281" w:type="dxa"/>
                  <w:noWrap w:val="0"/>
                  <w:vAlign w:val="center"/>
                </w:tcPr>
                <w:p w14:paraId="24D047A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辐射事故应急管理制度及方案</w:t>
                  </w:r>
                </w:p>
              </w:tc>
              <w:tc>
                <w:tcPr>
                  <w:tcW w:w="2815" w:type="dxa"/>
                  <w:noWrap w:val="0"/>
                  <w:vAlign w:val="center"/>
                </w:tcPr>
                <w:p w14:paraId="1CCB635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已制定，需把本项目纳入管理</w:t>
                  </w:r>
                </w:p>
              </w:tc>
              <w:tc>
                <w:tcPr>
                  <w:tcW w:w="1287" w:type="dxa"/>
                  <w:noWrap w:val="0"/>
                  <w:vAlign w:val="center"/>
                </w:tcPr>
                <w:p w14:paraId="57CC7507">
                  <w:pPr>
                    <w:pStyle w:val="8"/>
                    <w:bidi w:val="0"/>
                    <w:jc w:val="center"/>
                    <w:rPr>
                      <w:rFonts w:hint="default" w:ascii="Times New Roman" w:hAnsi="Times New Roman" w:eastAsia="宋体" w:cs="Times New Roman"/>
                      <w:color w:val="auto"/>
                      <w:spacing w:val="0"/>
                      <w:position w:val="0"/>
                    </w:rPr>
                  </w:pPr>
                </w:p>
              </w:tc>
            </w:tr>
            <w:tr w14:paraId="02CF7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jc w:val="center"/>
              </w:trPr>
              <w:tc>
                <w:tcPr>
                  <w:tcW w:w="477" w:type="dxa"/>
                  <w:noWrap w:val="0"/>
                  <w:vAlign w:val="center"/>
                </w:tcPr>
                <w:p w14:paraId="45BD725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17</w:t>
                  </w:r>
                </w:p>
              </w:tc>
              <w:tc>
                <w:tcPr>
                  <w:tcW w:w="866" w:type="dxa"/>
                  <w:noWrap w:val="0"/>
                  <w:vAlign w:val="center"/>
                </w:tcPr>
                <w:p w14:paraId="3BB270F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废物管理</w:t>
                  </w:r>
                </w:p>
              </w:tc>
              <w:tc>
                <w:tcPr>
                  <w:tcW w:w="3281" w:type="dxa"/>
                  <w:noWrap w:val="0"/>
                  <w:vAlign w:val="center"/>
                </w:tcPr>
                <w:p w14:paraId="7508687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闲置（废弃）放射源及其他放射性废物处置管理制度</w:t>
                  </w:r>
                </w:p>
              </w:tc>
              <w:tc>
                <w:tcPr>
                  <w:tcW w:w="2815" w:type="dxa"/>
                  <w:noWrap w:val="0"/>
                  <w:vAlign w:val="center"/>
                </w:tcPr>
                <w:p w14:paraId="7005493F">
                  <w:pPr>
                    <w:pStyle w:val="8"/>
                    <w:bidi w:val="0"/>
                    <w:ind w:firstLine="0" w:firstLineChars="0"/>
                    <w:jc w:val="center"/>
                    <w:rPr>
                      <w:rFonts w:hint="default" w:ascii="Times New Roman" w:hAnsi="Times New Roman" w:eastAsia="宋体" w:cs="Times New Roman"/>
                      <w:color w:val="auto"/>
                      <w:spacing w:val="0"/>
                      <w:kern w:val="2"/>
                      <w:position w:val="0"/>
                      <w:sz w:val="21"/>
                      <w:szCs w:val="20"/>
                      <w:lang w:val="en-US" w:eastAsia="zh-CN" w:bidi="ar-SA"/>
                    </w:rPr>
                  </w:pPr>
                  <w:r>
                    <w:rPr>
                      <w:rFonts w:hint="default" w:ascii="Times New Roman" w:hAnsi="Times New Roman" w:eastAsia="宋体" w:cs="Times New Roman"/>
                      <w:color w:val="auto"/>
                      <w:spacing w:val="0"/>
                      <w:position w:val="0"/>
                    </w:rPr>
                    <w:t>/</w:t>
                  </w:r>
                </w:p>
              </w:tc>
              <w:tc>
                <w:tcPr>
                  <w:tcW w:w="1287" w:type="dxa"/>
                  <w:noWrap w:val="0"/>
                  <w:vAlign w:val="center"/>
                </w:tcPr>
                <w:p w14:paraId="763EAA99">
                  <w:pPr>
                    <w:pStyle w:val="8"/>
                    <w:bidi w:val="0"/>
                    <w:ind w:firstLine="0" w:firstLineChars="0"/>
                    <w:jc w:val="center"/>
                    <w:rPr>
                      <w:rFonts w:hint="default" w:ascii="Times New Roman" w:hAnsi="Times New Roman" w:eastAsia="宋体" w:cs="Times New Roman"/>
                      <w:color w:val="auto"/>
                      <w:spacing w:val="0"/>
                      <w:kern w:val="2"/>
                      <w:position w:val="0"/>
                      <w:sz w:val="21"/>
                      <w:szCs w:val="20"/>
                      <w:lang w:val="en-US" w:eastAsia="zh-CN" w:bidi="ar-SA"/>
                    </w:rPr>
                  </w:pPr>
                  <w:r>
                    <w:rPr>
                      <w:rFonts w:hint="default" w:ascii="Times New Roman" w:hAnsi="Times New Roman" w:eastAsia="宋体" w:cs="Times New Roman"/>
                      <w:color w:val="auto"/>
                      <w:spacing w:val="0"/>
                      <w:position w:val="0"/>
                    </w:rPr>
                    <w:t>本项目不涉及</w:t>
                  </w:r>
                </w:p>
              </w:tc>
            </w:tr>
          </w:tbl>
          <w:p w14:paraId="2956E71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根据表12-1，医院的辐射安全管理规章制度如下：</w:t>
            </w:r>
          </w:p>
          <w:p w14:paraId="30145DF5">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制定了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辐射工作人员岗位职责</w:t>
            </w:r>
            <w:r>
              <w:rPr>
                <w:rFonts w:hint="default" w:ascii="Times New Roman" w:hAnsi="Times New Roman" w:eastAsia="宋体" w:cs="Times New Roman"/>
                <w:color w:val="auto"/>
                <w:spacing w:val="0"/>
                <w:position w:val="0"/>
                <w:lang w:eastAsia="zh-CN"/>
              </w:rPr>
              <w:t>》，明确医院辐射相关工作人员的具体工作内容和责任范围，</w:t>
            </w:r>
            <w:r>
              <w:rPr>
                <w:rFonts w:hint="default" w:ascii="Times New Roman" w:hAnsi="Times New Roman" w:eastAsia="宋体" w:cs="Times New Roman"/>
                <w:color w:val="auto"/>
                <w:spacing w:val="0"/>
                <w:position w:val="0"/>
                <w:lang w:val="en-US" w:eastAsia="zh-CN"/>
              </w:rPr>
              <w:t>要求辐射工作人员参与培训考核，</w:t>
            </w:r>
            <w:r>
              <w:rPr>
                <w:rFonts w:hint="default" w:ascii="Times New Roman" w:hAnsi="Times New Roman" w:eastAsia="宋体" w:cs="Times New Roman"/>
                <w:color w:val="auto"/>
                <w:spacing w:val="0"/>
                <w:position w:val="0"/>
              </w:rPr>
              <w:t>规定了</w:t>
            </w:r>
            <w:r>
              <w:rPr>
                <w:rFonts w:hint="default" w:ascii="Times New Roman" w:hAnsi="Times New Roman" w:eastAsia="宋体" w:cs="Times New Roman"/>
                <w:color w:val="auto"/>
                <w:spacing w:val="0"/>
                <w:position w:val="0"/>
                <w:lang w:val="en-US" w:eastAsia="zh-CN"/>
              </w:rPr>
              <w:t>射线装置台账管理</w:t>
            </w:r>
            <w:r>
              <w:rPr>
                <w:rFonts w:hint="default" w:ascii="Times New Roman" w:hAnsi="Times New Roman" w:eastAsia="宋体" w:cs="Times New Roman"/>
                <w:color w:val="auto"/>
                <w:spacing w:val="0"/>
                <w:position w:val="0"/>
              </w:rPr>
              <w:t>，确保受检者和患者在放射诊疗过程中的安全</w:t>
            </w:r>
            <w:r>
              <w:rPr>
                <w:rFonts w:hint="default" w:ascii="Times New Roman" w:hAnsi="Times New Roman" w:eastAsia="宋体" w:cs="Times New Roman"/>
                <w:color w:val="auto"/>
                <w:spacing w:val="0"/>
                <w:position w:val="0"/>
                <w:lang w:eastAsia="zh-CN"/>
              </w:rPr>
              <w:t>，做到权责清晰、各司其职。</w:t>
            </w:r>
          </w:p>
          <w:p w14:paraId="1E4B0DF5">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eastAsia="zh-CN"/>
              </w:rPr>
              <w:t>辐射防护与安全保卫制度</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w:t>
            </w:r>
            <w:r>
              <w:rPr>
                <w:rFonts w:hint="default" w:ascii="Times New Roman" w:hAnsi="Times New Roman" w:eastAsia="宋体" w:cs="Times New Roman"/>
                <w:color w:val="auto"/>
                <w:spacing w:val="0"/>
                <w:position w:val="0"/>
              </w:rPr>
              <w:t>规定了辐射防护和安全保卫工作；加强</w:t>
            </w:r>
            <w:r>
              <w:rPr>
                <w:rFonts w:hint="default" w:ascii="Times New Roman" w:hAnsi="Times New Roman" w:eastAsia="宋体" w:cs="Times New Roman"/>
                <w:color w:val="auto"/>
                <w:spacing w:val="0"/>
                <w:position w:val="0"/>
                <w:lang w:val="en-US" w:eastAsia="zh-CN"/>
              </w:rPr>
              <w:t>了</w:t>
            </w:r>
            <w:r>
              <w:rPr>
                <w:rFonts w:hint="default" w:ascii="Times New Roman" w:hAnsi="Times New Roman" w:eastAsia="宋体" w:cs="Times New Roman"/>
                <w:color w:val="auto"/>
                <w:spacing w:val="0"/>
                <w:position w:val="0"/>
              </w:rPr>
              <w:t>对辐射工作场所的管理工作，防止辐射事故的发生</w:t>
            </w:r>
          </w:p>
          <w:p w14:paraId="4EC30F4E">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辐射装置检修维护制度</w:t>
            </w:r>
            <w:r>
              <w:rPr>
                <w:rFonts w:hint="default" w:ascii="Times New Roman" w:hAnsi="Times New Roman" w:eastAsia="宋体" w:cs="Times New Roman"/>
                <w:color w:val="auto"/>
                <w:spacing w:val="0"/>
                <w:position w:val="0"/>
                <w:lang w:eastAsia="zh-CN"/>
              </w:rPr>
              <w:t>》，建立设备的定期维护、保养和检查程序。确保设备始终处于良好、稳定的工作状态，减少故障率，从源头上保障影像质量和操作安全，并延长设备使用寿命。</w:t>
            </w:r>
          </w:p>
          <w:p w14:paraId="64A3BF01">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《辐射工作人员培训制度》，确保所有辐射工作人员上岗前必须接受辐射安全与防护培训，并定期进行再培训。目的是让工作人员持续掌握辐射安全知识、法规更新和操作技能，强化安全意识，</w:t>
            </w:r>
            <w:r>
              <w:rPr>
                <w:rFonts w:hint="default" w:ascii="Times New Roman" w:hAnsi="Times New Roman" w:eastAsia="宋体" w:cs="Times New Roman"/>
                <w:color w:val="auto"/>
                <w:spacing w:val="0"/>
                <w:position w:val="0"/>
                <w:lang w:val="en-US" w:eastAsia="zh-CN"/>
              </w:rPr>
              <w:t>医院后续应该按照此制度及时组织辐射工作人员参加培训、考核，做到持证上岗</w:t>
            </w:r>
            <w:r>
              <w:rPr>
                <w:rFonts w:hint="default" w:ascii="Times New Roman" w:hAnsi="Times New Roman" w:eastAsia="宋体" w:cs="Times New Roman"/>
                <w:color w:val="auto"/>
                <w:spacing w:val="0"/>
                <w:position w:val="0"/>
                <w:lang w:eastAsia="zh-CN"/>
              </w:rPr>
              <w:t>。</w:t>
            </w:r>
          </w:p>
          <w:p w14:paraId="662EAADE">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《辐射工作场所监测制度、方案》</w:t>
            </w:r>
            <w:r>
              <w:rPr>
                <w:rFonts w:hint="default" w:ascii="Times New Roman" w:hAnsi="Times New Roman" w:eastAsia="宋体" w:cs="Times New Roman"/>
                <w:color w:val="auto"/>
                <w:spacing w:val="0"/>
                <w:position w:val="0"/>
              </w:rPr>
              <w:t>，方案中明确了医院对工作场所</w:t>
            </w:r>
            <w:r>
              <w:rPr>
                <w:rFonts w:hint="default" w:ascii="Times New Roman" w:hAnsi="Times New Roman" w:eastAsia="宋体" w:cs="Times New Roman"/>
                <w:color w:val="auto"/>
                <w:spacing w:val="0"/>
                <w:position w:val="0"/>
                <w:lang w:val="en-US" w:eastAsia="zh-CN"/>
              </w:rPr>
              <w:t>的检测计划，并</w:t>
            </w:r>
            <w:r>
              <w:rPr>
                <w:rFonts w:hint="default" w:ascii="Times New Roman" w:hAnsi="Times New Roman" w:eastAsia="宋体" w:cs="Times New Roman"/>
                <w:color w:val="auto"/>
                <w:spacing w:val="0"/>
                <w:position w:val="0"/>
              </w:rPr>
              <w:t>委托有资质单位进行年度监测</w:t>
            </w:r>
            <w:r>
              <w:rPr>
                <w:rFonts w:hint="default" w:ascii="Times New Roman" w:hAnsi="Times New Roman" w:eastAsia="宋体" w:cs="Times New Roman"/>
                <w:color w:val="auto"/>
                <w:spacing w:val="0"/>
                <w:position w:val="0"/>
                <w:lang w:eastAsia="zh-CN"/>
              </w:rPr>
              <w:t>。</w:t>
            </w:r>
          </w:p>
          <w:p w14:paraId="59A7FD24">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《辐射工作人员健康及个人剂量管理制度》，</w:t>
            </w:r>
            <w:r>
              <w:rPr>
                <w:rFonts w:hint="default" w:ascii="Times New Roman" w:hAnsi="Times New Roman" w:eastAsia="宋体" w:cs="Times New Roman"/>
                <w:color w:val="auto"/>
                <w:spacing w:val="0"/>
                <w:position w:val="0"/>
              </w:rPr>
              <w:t>该</w:t>
            </w:r>
            <w:r>
              <w:rPr>
                <w:rFonts w:hint="default" w:ascii="Times New Roman" w:hAnsi="Times New Roman" w:eastAsia="宋体" w:cs="Times New Roman"/>
                <w:color w:val="auto"/>
                <w:spacing w:val="0"/>
                <w:position w:val="0"/>
                <w:lang w:eastAsia="zh-CN"/>
              </w:rPr>
              <w:t>制度</w:t>
            </w:r>
            <w:r>
              <w:rPr>
                <w:rFonts w:hint="default" w:ascii="Times New Roman" w:hAnsi="Times New Roman" w:eastAsia="宋体" w:cs="Times New Roman"/>
                <w:color w:val="auto"/>
                <w:spacing w:val="0"/>
                <w:position w:val="0"/>
              </w:rPr>
              <w:t>规定了辐射工作人员个人剂量管理和个人健康档案管理要求。</w:t>
            </w:r>
          </w:p>
          <w:p w14:paraId="7E83BBA3">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《质量保证大纲和质量控制计划》，质量保证大纲是从管理层面建立全面的质量体系框架；质量控制计划则是具体执行方案，包括定期对设备进行性能检测、校准。</w:t>
            </w:r>
          </w:p>
          <w:p w14:paraId="043255AE">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《DSA射线装置操作规程》，规定了从开机、检查到关机的每一步操作流程，确保</w:t>
            </w:r>
            <w:r>
              <w:rPr>
                <w:rFonts w:hint="default" w:ascii="Times New Roman" w:hAnsi="Times New Roman" w:eastAsia="宋体" w:cs="Times New Roman"/>
                <w:color w:val="auto"/>
                <w:spacing w:val="0"/>
                <w:position w:val="0"/>
                <w:lang w:val="en-US" w:eastAsia="zh-CN"/>
              </w:rPr>
              <w:t>了</w:t>
            </w:r>
            <w:r>
              <w:rPr>
                <w:rFonts w:hint="default" w:ascii="Times New Roman" w:hAnsi="Times New Roman" w:eastAsia="宋体" w:cs="Times New Roman"/>
                <w:color w:val="auto"/>
                <w:spacing w:val="0"/>
                <w:position w:val="0"/>
                <w:lang w:eastAsia="zh-CN"/>
              </w:rPr>
              <w:t>辐射设备能被正确、安全、标准化地操作。</w:t>
            </w:r>
          </w:p>
          <w:p w14:paraId="5987AF1B">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射线装置管理制度</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规定了</w:t>
            </w:r>
            <w:r>
              <w:rPr>
                <w:rFonts w:hint="default" w:ascii="Times New Roman" w:hAnsi="Times New Roman" w:eastAsia="宋体" w:cs="Times New Roman"/>
                <w:color w:val="auto"/>
                <w:spacing w:val="0"/>
                <w:position w:val="0"/>
                <w:lang w:eastAsia="zh-CN"/>
              </w:rPr>
              <w:t>工作人员对射线装置、设备系统的机械性能、运行情况都要熟悉，严格按操作规程实施诊疗。</w:t>
            </w:r>
          </w:p>
          <w:p w14:paraId="2EF35135">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《受检者防护管理制度》，规定了在检查中对患者非照射部位的屏蔽、正当化和最优化原则的应用、告知义务等，专门针对患者（尤其是孕妇、儿童等特殊敏感人群）的辐射防护</w:t>
            </w:r>
            <w:r>
              <w:rPr>
                <w:rFonts w:hint="default" w:ascii="Times New Roman" w:hAnsi="Times New Roman" w:eastAsia="宋体" w:cs="Times New Roman"/>
                <w:color w:val="auto"/>
                <w:spacing w:val="0"/>
                <w:position w:val="0"/>
                <w:lang w:val="en-US" w:eastAsia="zh-CN"/>
              </w:rPr>
              <w:t>提出了要求</w:t>
            </w:r>
            <w:r>
              <w:rPr>
                <w:rFonts w:hint="default" w:ascii="Times New Roman" w:hAnsi="Times New Roman" w:eastAsia="宋体" w:cs="Times New Roman"/>
                <w:color w:val="auto"/>
                <w:spacing w:val="0"/>
                <w:position w:val="0"/>
                <w:lang w:eastAsia="zh-CN"/>
              </w:rPr>
              <w:t>。</w:t>
            </w:r>
          </w:p>
          <w:p w14:paraId="25F9530F">
            <w:pPr>
              <w:keepNext w:val="0"/>
              <w:keepLines w:val="0"/>
              <w:pageBreakBefore w:val="0"/>
              <w:widowControl w:val="0"/>
              <w:numPr>
                <w:ilvl w:val="0"/>
                <w:numId w:val="16"/>
              </w:numPr>
              <w:suppressLineNumbers w:val="0"/>
              <w:kinsoku/>
              <w:wordWrap/>
              <w:overflowPunct/>
              <w:topLinePunct w:val="0"/>
              <w:autoSpaceDE/>
              <w:autoSpaceDN/>
              <w:bidi w:val="0"/>
              <w:adjustRightInd/>
              <w:snapToGrid w:val="0"/>
              <w:spacing w:before="0" w:beforeAutospacing="0" w:after="0" w:afterAutospacing="0"/>
              <w:ind w:left="0" w:leftChars="0" w:right="0" w:firstLine="480" w:firstLineChars="20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制定了</w:t>
            </w:r>
            <w:r>
              <w:rPr>
                <w:rFonts w:hint="default" w:ascii="Times New Roman" w:hAnsi="Times New Roman" w:eastAsia="宋体" w:cs="Times New Roman"/>
                <w:color w:val="auto"/>
                <w:spacing w:val="0"/>
                <w:position w:val="0"/>
                <w:lang w:eastAsia="zh-CN"/>
              </w:rPr>
              <w:t>《辐射事故应急预案》</w:t>
            </w:r>
            <w:r>
              <w:rPr>
                <w:rFonts w:hint="default" w:ascii="Times New Roman" w:hAnsi="Times New Roman" w:eastAsia="宋体" w:cs="Times New Roman"/>
                <w:color w:val="auto"/>
                <w:spacing w:val="0"/>
                <w:position w:val="0"/>
              </w:rPr>
              <w:t>，预案中明确了应急机构和职责分工、应急人员的组织、培训、事故报告制度、辐射防护措施及事故处理程序等；通过完善、定期自查和监测等措施以应对可能发生的辐射事故</w:t>
            </w:r>
            <w:r>
              <w:rPr>
                <w:rFonts w:hint="default" w:ascii="Times New Roman" w:hAnsi="Times New Roman" w:eastAsia="宋体" w:cs="Times New Roman"/>
                <w:color w:val="auto"/>
                <w:spacing w:val="0"/>
                <w:position w:val="0"/>
                <w:lang w:eastAsia="zh-CN"/>
              </w:rPr>
              <w:t>。</w:t>
            </w:r>
          </w:p>
          <w:p w14:paraId="48C9F2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综上，医院制定的各种安全管理制度较全面，具有可行性。医院已制定相应DSA操作规程制度，在本项目DSA项目装修完成后上墙，医院开展的射线装置多年未发生过任何辐射安全事故，运行良好。</w:t>
            </w:r>
          </w:p>
          <w:p w14:paraId="509BB8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在医院辐射安全与环境保护管理委员会领导下，明确各科室人员责任，各科室人员严格落实制定的辐射安全管理规章制度，定期对辐射安全控制效果进行评议，严格执行</w:t>
            </w:r>
            <w:r>
              <w:rPr>
                <w:rFonts w:hint="default" w:ascii="Times New Roman" w:hAnsi="Times New Roman" w:eastAsia="宋体" w:cs="Times New Roman"/>
                <w:color w:val="auto"/>
                <w:spacing w:val="0"/>
                <w:position w:val="0"/>
                <w:lang w:val="en-US" w:eastAsia="zh-CN"/>
              </w:rPr>
              <w:t>各项</w:t>
            </w:r>
            <w:r>
              <w:rPr>
                <w:rFonts w:hint="default" w:ascii="Times New Roman" w:hAnsi="Times New Roman" w:eastAsia="宋体" w:cs="Times New Roman"/>
                <w:color w:val="auto"/>
                <w:spacing w:val="0"/>
                <w:position w:val="0"/>
              </w:rPr>
              <w:t>规章制度；从事辐射诊疗的工作人员必须严格按照制定的规章制度和应急处理措施进行辐射诊疗工作；应将操作规程、辐射事故应急预案、辐射安全管理制度等张贴于工作场所墙面醒目处。通过完善组织、落实经费、准备物资、加强演练等措施以应对可能发生的辐射事故；完善设备维修保养制度，建立设备维护台账，设备的更换、维修委托专业设备厂家进行，使之处于良好运行状态。</w:t>
            </w:r>
          </w:p>
          <w:p w14:paraId="5AE4784B">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本环评提出以下针对本项目的管理制度要求：</w:t>
            </w:r>
          </w:p>
          <w:p w14:paraId="5A18A8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1.</w:t>
            </w:r>
            <w:r>
              <w:rPr>
                <w:rFonts w:hint="default" w:ascii="Times New Roman" w:hAnsi="Times New Roman" w:eastAsia="宋体" w:cs="Times New Roman"/>
                <w:color w:val="auto"/>
                <w:spacing w:val="0"/>
                <w:position w:val="0"/>
              </w:rPr>
              <w:t>严格遵守和执行手术室的各项消毒隔离制度和无菌技术操作规程。除参加手术的人员外，其他人员不得进入检查室。</w:t>
            </w:r>
          </w:p>
          <w:p w14:paraId="5D25B1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eastAsia="zh-CN"/>
              </w:rPr>
              <w:t>2.</w:t>
            </w:r>
            <w:r>
              <w:rPr>
                <w:rFonts w:hint="default" w:ascii="Times New Roman" w:hAnsi="Times New Roman" w:eastAsia="宋体" w:cs="Times New Roman"/>
                <w:color w:val="auto"/>
                <w:spacing w:val="0"/>
                <w:position w:val="0"/>
              </w:rPr>
              <w:t>DSA设备由专业技术人员操作，必须按操作程序进行操作，未经操作人员许可，其他人员不得随意操作。</w:t>
            </w:r>
          </w:p>
        </w:tc>
      </w:tr>
      <w:tr w14:paraId="30E2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1" w:type="dxa"/>
            <w:noWrap w:val="0"/>
            <w:vAlign w:val="top"/>
          </w:tcPr>
          <w:p w14:paraId="196A9EAF">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12.3辐射监测</w:t>
            </w:r>
          </w:p>
          <w:p w14:paraId="373EFC2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放射性同位素与射线装置安全许可管理办法》（2008年修改）（环境保护部第3号令）和《放射性同位素与射线装置安全和防护管理办法》（环保部第18号令）及相关管理要求，医院应为辐射工作人员配备个人防护用品和个人剂量监测仪器，同时配备与辐射类型和辐射水平相适应的防护用品和监测仪器，包括个人剂量报警仪、X-γ辐射监测仪等。</w:t>
            </w:r>
          </w:p>
          <w:p w14:paraId="1939E1E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个人剂量报警仪应有足够的可靠性、灵敏度和准确度，在辐射水平较高或者可能突然升高的地方工作时，工作人员应使用个人剂量报警仪。医院应建立放射性诊疗项目的日常辐射监测方案，每季度对项目中涉及的设备四周屏蔽措施进行检查；同时接受环境保护部门开展的辐射环境监督（监测）检查。项目运行过程中，每年应委托具有资质的监测单位对工作场所辐射情况进行监测，判断射线装置是否处于有效屏蔽状态，防止意外发生。监测数据编入《放射性同位素与射线装置安全和防护状况年度评估报告》，上报当地生态环境主管部门。</w:t>
            </w:r>
          </w:p>
          <w:p w14:paraId="0E5B544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方应为医院所有辐射工作人员配备个人剂量计，保证所有辐射工作人员在进行辐射工作时专人佩戴，定期（不超过90天）送相关专业单位检测个人剂量，并建立个人剂量健康档案。并对检测结果及时分析，若检测结果存在超过个人剂量管理限值的情况，应及时查明原因，及时解决。</w:t>
            </w:r>
          </w:p>
          <w:p w14:paraId="7179F0DE">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w:t>
            </w:r>
            <w:r>
              <w:rPr>
                <w:rFonts w:hint="default" w:ascii="Times New Roman" w:hAnsi="Times New Roman" w:eastAsia="宋体" w:cs="Times New Roman"/>
                <w:b/>
                <w:bCs/>
                <w:color w:val="auto"/>
                <w:spacing w:val="0"/>
                <w:position w:val="0"/>
              </w:rPr>
              <w:t>个人剂量监测</w:t>
            </w:r>
          </w:p>
          <w:p w14:paraId="75E403C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个人剂量报警仪应有足够的可靠性、灵敏度和准确度，在辐射水平较高或者可能突然升高的地方工作时，工作人员应使用个人剂量报警仪。医院应建立放射性诊疗项目的日常辐射监测方案，定期或不定期对项目中涉及的设备四周屏蔽措施进行检查；同时接受生态环境部门开展的辐射环境监督（监测）检查。项目运行过程中，每年应</w:t>
            </w:r>
            <w:r>
              <w:rPr>
                <w:rFonts w:hint="default" w:ascii="Times New Roman" w:hAnsi="Times New Roman" w:eastAsia="宋体" w:cs="Times New Roman"/>
                <w:color w:val="auto"/>
                <w:spacing w:val="0"/>
                <w:position w:val="0"/>
                <w:lang w:val="en-US" w:eastAsia="zh-CN"/>
              </w:rPr>
              <w:t>委托</w:t>
            </w:r>
            <w:r>
              <w:rPr>
                <w:rFonts w:hint="default" w:ascii="Times New Roman" w:hAnsi="Times New Roman" w:eastAsia="宋体" w:cs="Times New Roman"/>
                <w:color w:val="auto"/>
                <w:spacing w:val="0"/>
                <w:position w:val="0"/>
              </w:rPr>
              <w:t>具有资质的监测单位对工作场所辐射情况进行监测，判断射线装置是否处于有效屏蔽状态，防止意外发生。监测数据编入《放射性同位素与射线装置安全和防护状况年度评估报告》，上报辐射安全许可证发证机关。</w:t>
            </w:r>
          </w:p>
          <w:p w14:paraId="62507D2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项目建成后共计有</w:t>
            </w:r>
            <w:r>
              <w:rPr>
                <w:rFonts w:hint="default" w:ascii="Times New Roman" w:hAnsi="Times New Roman" w:eastAsia="宋体" w:cs="Times New Roman"/>
                <w:color w:val="auto"/>
                <w:spacing w:val="0"/>
                <w:position w:val="0"/>
                <w:lang w:val="en-US" w:eastAsia="zh-CN"/>
              </w:rPr>
              <w:t>60</w:t>
            </w:r>
            <w:r>
              <w:rPr>
                <w:rFonts w:hint="default" w:ascii="Times New Roman" w:hAnsi="Times New Roman" w:eastAsia="宋体" w:cs="Times New Roman"/>
                <w:color w:val="auto"/>
                <w:spacing w:val="0"/>
                <w:position w:val="0"/>
              </w:rPr>
              <w:t>台个人剂量计</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已有</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2台个人剂量报警仪</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拟新增</w:t>
            </w:r>
            <w:r>
              <w:rPr>
                <w:rFonts w:hint="default" w:ascii="Times New Roman" w:hAnsi="Times New Roman" w:eastAsia="宋体" w:cs="Times New Roman"/>
                <w:color w:val="auto"/>
                <w:spacing w:val="0"/>
                <w:position w:val="0"/>
                <w:lang w:eastAsia="zh-CN"/>
              </w:rPr>
              <w:t>）、1台便携式X-γ辐射监测仪（</w:t>
            </w:r>
            <w:r>
              <w:rPr>
                <w:rFonts w:hint="default" w:ascii="Times New Roman" w:hAnsi="Times New Roman" w:eastAsia="宋体" w:cs="Times New Roman"/>
                <w:color w:val="auto"/>
                <w:spacing w:val="0"/>
                <w:position w:val="0"/>
                <w:lang w:val="en-US" w:eastAsia="zh-CN"/>
              </w:rPr>
              <w:t>拟新增</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所有辐射工作人员在进行辐射工作时专人佩戴，每季度定期送相关专业单位检测个人剂量，并建立个人剂量健康档案。并对检测结果及时分析，若检测结果存在超过个人剂量管理限值的情况，应及时查明原因，及时解决。</w:t>
            </w:r>
          </w:p>
          <w:p w14:paraId="651803A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应根据辐射管理要求，新增</w:t>
            </w:r>
            <w:r>
              <w:rPr>
                <w:rFonts w:hint="default" w:ascii="Times New Roman" w:hAnsi="Times New Roman" w:eastAsia="宋体" w:cs="Times New Roman"/>
                <w:color w:val="auto"/>
                <w:spacing w:val="0"/>
                <w:position w:val="0"/>
                <w:lang w:val="en-US" w:eastAsia="zh-CN"/>
              </w:rPr>
              <w:t>2</w:t>
            </w:r>
            <w:r>
              <w:rPr>
                <w:rFonts w:hint="default" w:ascii="Times New Roman" w:hAnsi="Times New Roman" w:eastAsia="宋体" w:cs="Times New Roman"/>
                <w:color w:val="auto"/>
                <w:spacing w:val="0"/>
                <w:position w:val="0"/>
              </w:rPr>
              <w:t>台个人剂量报警仪</w:t>
            </w:r>
            <w:r>
              <w:rPr>
                <w:rFonts w:hint="default" w:ascii="Times New Roman" w:hAnsi="Times New Roman" w:eastAsia="宋体" w:cs="Times New Roman"/>
                <w:color w:val="auto"/>
                <w:spacing w:val="0"/>
                <w:position w:val="0"/>
                <w:lang w:val="en-US" w:eastAsia="zh-CN"/>
              </w:rPr>
              <w:t>和1</w:t>
            </w:r>
            <w:r>
              <w:rPr>
                <w:rFonts w:hint="default" w:ascii="Times New Roman" w:hAnsi="Times New Roman" w:eastAsia="宋体" w:cs="Times New Roman"/>
                <w:color w:val="auto"/>
                <w:spacing w:val="0"/>
                <w:position w:val="0"/>
              </w:rPr>
              <w:t>台便携式X-γ辐射监测仪，每季度（一般不超过90天）送相关专业单位检测个人剂量，并建立个人剂量健康档案，并为工作人员保存职业照射记录。</w:t>
            </w:r>
          </w:p>
          <w:p w14:paraId="27F3AEB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环评要求：工作人员应正确佩戴个人剂量计，医院应每个季度（一般不超过90天）定期送检，并对检测结果及时分析，若检测结果存在超过个人剂量管理限值的情况，应及时查明原因，及时解决。</w:t>
            </w:r>
          </w:p>
          <w:p w14:paraId="711ED91D">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辐射环境及工作场所监测</w:t>
            </w:r>
          </w:p>
          <w:p w14:paraId="611E903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①监测项目：X-γ辐射剂量率；</w:t>
            </w:r>
          </w:p>
          <w:p w14:paraId="45F2641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②监测频次：请有资质的单位监测不少于1次/年，自主监测</w:t>
            </w:r>
            <w:r>
              <w:rPr>
                <w:rFonts w:hint="default" w:ascii="Times New Roman" w:hAnsi="Times New Roman" w:eastAsia="宋体" w:cs="Times New Roman"/>
                <w:color w:val="auto"/>
                <w:spacing w:val="0"/>
                <w:position w:val="0"/>
                <w:lang w:val="en-US" w:eastAsia="zh-CN"/>
              </w:rPr>
              <w:t>根据实际需要进行监测</w:t>
            </w:r>
            <w:r>
              <w:rPr>
                <w:rFonts w:hint="default" w:ascii="Times New Roman" w:hAnsi="Times New Roman" w:eastAsia="宋体" w:cs="Times New Roman"/>
                <w:color w:val="auto"/>
                <w:spacing w:val="0"/>
                <w:position w:val="0"/>
              </w:rPr>
              <w:t>；</w:t>
            </w:r>
          </w:p>
          <w:p w14:paraId="6367BB9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③监测范围：DSA介入室内第一术者位、第二术者位、DSA介入室各防护门表面和四周门缝、</w:t>
            </w:r>
            <w:r>
              <w:rPr>
                <w:rFonts w:hint="default" w:ascii="Times New Roman" w:hAnsi="Times New Roman" w:eastAsia="宋体" w:cs="Times New Roman"/>
                <w:color w:val="auto"/>
                <w:spacing w:val="0"/>
                <w:position w:val="0"/>
                <w:lang w:val="en-US" w:eastAsia="zh-CN"/>
              </w:rPr>
              <w:t>污物通道、</w:t>
            </w:r>
            <w:r>
              <w:rPr>
                <w:rFonts w:hint="default" w:ascii="Times New Roman" w:hAnsi="Times New Roman" w:eastAsia="宋体" w:cs="Times New Roman"/>
                <w:color w:val="auto"/>
                <w:spacing w:val="0"/>
                <w:position w:val="0"/>
              </w:rPr>
              <w:t>控制室、</w:t>
            </w:r>
            <w:r>
              <w:rPr>
                <w:rFonts w:hint="default" w:ascii="Times New Roman" w:hAnsi="Times New Roman" w:eastAsia="宋体" w:cs="Times New Roman"/>
                <w:color w:val="auto"/>
                <w:spacing w:val="0"/>
                <w:position w:val="0"/>
                <w:lang w:val="en-US" w:eastAsia="zh-CN"/>
              </w:rPr>
              <w:t>洁净通道、东侧16号手术室，以及</w:t>
            </w:r>
            <w:r>
              <w:rPr>
                <w:rFonts w:hint="default" w:ascii="Times New Roman" w:hAnsi="Times New Roman" w:eastAsia="宋体" w:cs="Times New Roman"/>
                <w:color w:val="auto"/>
                <w:spacing w:val="0"/>
                <w:position w:val="0"/>
              </w:rPr>
              <w:t>50m评价范围内保护目标以及DSA介入室对应的楼上</w:t>
            </w:r>
            <w:r>
              <w:rPr>
                <w:rFonts w:hint="default" w:ascii="Times New Roman" w:hAnsi="Times New Roman" w:eastAsia="宋体" w:cs="Times New Roman"/>
                <w:color w:val="auto"/>
                <w:spacing w:val="0"/>
                <w:position w:val="0"/>
                <w:lang w:val="en-US" w:eastAsia="zh-CN"/>
              </w:rPr>
              <w:t>和楼下</w:t>
            </w:r>
            <w:r>
              <w:rPr>
                <w:rFonts w:hint="default" w:ascii="Times New Roman" w:hAnsi="Times New Roman" w:eastAsia="宋体" w:cs="Times New Roman"/>
                <w:color w:val="auto"/>
                <w:spacing w:val="0"/>
                <w:position w:val="0"/>
              </w:rPr>
              <w:t>区域。</w:t>
            </w:r>
          </w:p>
          <w:p w14:paraId="18C9CB0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④监测仪器：便携式X-γ辐射监测仪。</w:t>
            </w:r>
          </w:p>
          <w:p w14:paraId="2D7FCBA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对于常规日常监测，医院应配备1台便携式X-γ辐射监测仪，并用自配备的便携式X-γ辐射监测仪进行自主监测，并记录监测数据存档。但对于项目验收及辐射安全许可证的延续、更换，则必须请有资质单位对辐射工作场所进行监测，并出具监测报告。本项目监测计划见表12-2。</w:t>
            </w:r>
          </w:p>
          <w:p w14:paraId="59FE3722">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rPr>
            </w:pPr>
            <w:bookmarkStart w:id="59" w:name="_Toc19465"/>
            <w:bookmarkStart w:id="60" w:name="_Toc3383"/>
            <w:r>
              <w:rPr>
                <w:rFonts w:hint="default" w:ascii="Times New Roman" w:hAnsi="Times New Roman" w:eastAsia="宋体" w:cs="Times New Roman"/>
                <w:color w:val="auto"/>
                <w:spacing w:val="0"/>
                <w:position w:val="0"/>
                <w:sz w:val="21"/>
                <w:szCs w:val="21"/>
              </w:rPr>
              <w:t>表12-2本项目监测计划一览表</w:t>
            </w:r>
            <w:bookmarkEnd w:id="59"/>
            <w:bookmarkEnd w:id="60"/>
          </w:p>
          <w:tbl>
            <w:tblPr>
              <w:tblStyle w:val="20"/>
              <w:tblW w:w="9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673"/>
              <w:gridCol w:w="1159"/>
              <w:gridCol w:w="3968"/>
              <w:gridCol w:w="641"/>
              <w:gridCol w:w="2268"/>
            </w:tblGrid>
            <w:tr w14:paraId="0FDC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noWrap w:val="0"/>
                  <w:vAlign w:val="center"/>
                </w:tcPr>
                <w:p w14:paraId="7F798975">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项目</w:t>
                  </w:r>
                </w:p>
              </w:tc>
              <w:tc>
                <w:tcPr>
                  <w:tcW w:w="673" w:type="dxa"/>
                  <w:noWrap w:val="0"/>
                  <w:vAlign w:val="center"/>
                </w:tcPr>
                <w:p w14:paraId="1C0AE416">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监测项目</w:t>
                  </w:r>
                </w:p>
              </w:tc>
              <w:tc>
                <w:tcPr>
                  <w:tcW w:w="1159" w:type="dxa"/>
                  <w:noWrap w:val="0"/>
                  <w:vAlign w:val="center"/>
                </w:tcPr>
                <w:p w14:paraId="591CCAF8">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监测频度</w:t>
                  </w:r>
                </w:p>
              </w:tc>
              <w:tc>
                <w:tcPr>
                  <w:tcW w:w="3968" w:type="dxa"/>
                  <w:noWrap w:val="0"/>
                  <w:vAlign w:val="center"/>
                </w:tcPr>
                <w:p w14:paraId="67485A6A">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监测范围</w:t>
                  </w:r>
                </w:p>
              </w:tc>
              <w:tc>
                <w:tcPr>
                  <w:tcW w:w="641" w:type="dxa"/>
                  <w:noWrap w:val="0"/>
                  <w:vAlign w:val="center"/>
                </w:tcPr>
                <w:p w14:paraId="0BA5EF92">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监测设备</w:t>
                  </w:r>
                </w:p>
              </w:tc>
              <w:tc>
                <w:tcPr>
                  <w:tcW w:w="2268" w:type="dxa"/>
                  <w:noWrap w:val="0"/>
                  <w:vAlign w:val="center"/>
                </w:tcPr>
                <w:p w14:paraId="6E5DFFA3">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监测的位置要求</w:t>
                  </w:r>
                </w:p>
              </w:tc>
            </w:tr>
            <w:tr w14:paraId="1849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noWrap w:val="0"/>
                  <w:vAlign w:val="center"/>
                </w:tcPr>
                <w:p w14:paraId="615B10E9">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自主监测</w:t>
                  </w:r>
                </w:p>
              </w:tc>
              <w:tc>
                <w:tcPr>
                  <w:tcW w:w="673" w:type="dxa"/>
                  <w:noWrap w:val="0"/>
                  <w:vAlign w:val="center"/>
                </w:tcPr>
                <w:p w14:paraId="2DDDFDBC">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X-γ辐射剂量率</w:t>
                  </w:r>
                </w:p>
              </w:tc>
              <w:tc>
                <w:tcPr>
                  <w:tcW w:w="1159" w:type="dxa"/>
                  <w:noWrap w:val="0"/>
                  <w:vAlign w:val="center"/>
                </w:tcPr>
                <w:p w14:paraId="4558EF39">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lang w:val="en-US" w:eastAsia="zh-CN"/>
                    </w:rPr>
                    <w:t>根据实际需要进行监测</w:t>
                  </w:r>
                  <w:r>
                    <w:rPr>
                      <w:rFonts w:hint="default" w:ascii="Times New Roman" w:hAnsi="Times New Roman" w:eastAsia="宋体" w:cs="Times New Roman"/>
                      <w:color w:val="auto"/>
                      <w:spacing w:val="0"/>
                      <w:position w:val="0"/>
                    </w:rPr>
                    <w:t>，记录监测数据存档</w:t>
                  </w:r>
                </w:p>
              </w:tc>
              <w:tc>
                <w:tcPr>
                  <w:tcW w:w="3968" w:type="dxa"/>
                  <w:noWrap w:val="0"/>
                  <w:vAlign w:val="center"/>
                </w:tcPr>
                <w:p w14:paraId="72E35890">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在运行前对屏蔽墙外30cm处的X-γ辐射空气吸收剂量率进行一次监测；运行中，对屏蔽墙外30cm处的X-γ辐射空气吸收剂量率进行巡测，并选择部分关注点位（机房防护门及缝隙处、穿墙孔洞、</w:t>
                  </w:r>
                  <w:r>
                    <w:rPr>
                      <w:rFonts w:hint="default" w:ascii="Times New Roman" w:hAnsi="Times New Roman" w:eastAsia="宋体" w:cs="Times New Roman"/>
                      <w:color w:val="auto"/>
                      <w:spacing w:val="0"/>
                      <w:position w:val="0"/>
                      <w:szCs w:val="21"/>
                      <w:lang w:val="en-US" w:eastAsia="zh-CN"/>
                    </w:rPr>
                    <w:t>控制室</w:t>
                  </w:r>
                  <w:r>
                    <w:rPr>
                      <w:rFonts w:hint="default" w:ascii="Times New Roman" w:hAnsi="Times New Roman" w:eastAsia="宋体" w:cs="Times New Roman"/>
                      <w:color w:val="auto"/>
                      <w:spacing w:val="0"/>
                      <w:position w:val="0"/>
                      <w:szCs w:val="21"/>
                    </w:rPr>
                    <w:t>操作台、机房屏蔽墙外30cm处、楼上楼下区域等）开展γ辐射空气吸收剂量率（开关机时各测量一次）监测</w:t>
                  </w:r>
                </w:p>
              </w:tc>
              <w:tc>
                <w:tcPr>
                  <w:tcW w:w="641" w:type="dxa"/>
                  <w:noWrap w:val="0"/>
                  <w:vAlign w:val="center"/>
                </w:tcPr>
                <w:p w14:paraId="39DAB48F">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X-γ辐射监测仪</w:t>
                  </w:r>
                </w:p>
              </w:tc>
              <w:tc>
                <w:tcPr>
                  <w:tcW w:w="2268" w:type="dxa"/>
                  <w:noWrap w:val="0"/>
                  <w:vAlign w:val="center"/>
                </w:tcPr>
                <w:p w14:paraId="09D7A96A">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距墙体、门、窗表面30cm；顶棚上方（楼上）距顶棚地面100cm</w:t>
                  </w:r>
                  <w:r>
                    <w:rPr>
                      <w:rFonts w:hint="default" w:ascii="Times New Roman" w:hAnsi="Times New Roman" w:eastAsia="宋体" w:cs="Times New Roman"/>
                      <w:color w:val="auto"/>
                      <w:spacing w:val="0"/>
                      <w:position w:val="0"/>
                      <w:szCs w:val="21"/>
                      <w:lang w:eastAsia="zh-CN"/>
                    </w:rPr>
                    <w:t>；楼下距地面100cm处</w:t>
                  </w:r>
                  <w:r>
                    <w:rPr>
                      <w:rFonts w:hint="default" w:ascii="Times New Roman" w:hAnsi="Times New Roman" w:eastAsia="宋体" w:cs="Times New Roman"/>
                      <w:color w:val="auto"/>
                      <w:spacing w:val="0"/>
                      <w:position w:val="0"/>
                      <w:szCs w:val="21"/>
                    </w:rPr>
                    <w:t>。</w:t>
                  </w:r>
                </w:p>
              </w:tc>
            </w:tr>
            <w:tr w14:paraId="0C91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vMerge w:val="restart"/>
                  <w:noWrap w:val="0"/>
                  <w:vAlign w:val="center"/>
                </w:tcPr>
                <w:p w14:paraId="2E56AF55">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委托监测</w:t>
                  </w:r>
                </w:p>
              </w:tc>
              <w:tc>
                <w:tcPr>
                  <w:tcW w:w="673" w:type="dxa"/>
                  <w:vMerge w:val="restart"/>
                  <w:noWrap w:val="0"/>
                  <w:vAlign w:val="center"/>
                </w:tcPr>
                <w:p w14:paraId="391E875D">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X-γ辐射剂量率</w:t>
                  </w:r>
                </w:p>
              </w:tc>
              <w:tc>
                <w:tcPr>
                  <w:tcW w:w="1159" w:type="dxa"/>
                  <w:noWrap w:val="0"/>
                  <w:vAlign w:val="center"/>
                </w:tcPr>
                <w:p w14:paraId="7057FD32">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竣工环保验收监测</w:t>
                  </w:r>
                </w:p>
              </w:tc>
              <w:tc>
                <w:tcPr>
                  <w:tcW w:w="3968" w:type="dxa"/>
                  <w:vMerge w:val="restart"/>
                  <w:noWrap w:val="0"/>
                  <w:vAlign w:val="center"/>
                </w:tcPr>
                <w:p w14:paraId="476E05B2">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firstLine="210" w:firstLineChars="10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在运行前对屏蔽墙外30cm处的X-γ辐射空气吸收剂量率进行一次监测</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运行中，对屏蔽墙外30cm处的X-γ辐射空气吸收剂量率进行巡测，并选择部分关注点位</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机房防护门及缝隙处、穿墙孔洞、控制室操作台、机房内第一手术位、机房内第二术者位、机房屏蔽墙外30cm处、楼上楼下区域等</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开展X-γ辐射空气吸收剂量率</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开关机时各测量一次</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监测</w:t>
                  </w:r>
                </w:p>
              </w:tc>
              <w:tc>
                <w:tcPr>
                  <w:tcW w:w="641" w:type="dxa"/>
                  <w:vMerge w:val="restart"/>
                  <w:noWrap w:val="0"/>
                  <w:vAlign w:val="center"/>
                </w:tcPr>
                <w:p w14:paraId="5556C285">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X-γ辐射监测仪</w:t>
                  </w:r>
                </w:p>
              </w:tc>
              <w:tc>
                <w:tcPr>
                  <w:tcW w:w="2268" w:type="dxa"/>
                  <w:vMerge w:val="restart"/>
                  <w:noWrap w:val="0"/>
                  <w:vAlign w:val="center"/>
                </w:tcPr>
                <w:p w14:paraId="63D8B3E8">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距墙体、门、窗表面30cm；顶棚上方（楼上）距顶棚地面100cm</w:t>
                  </w:r>
                  <w:r>
                    <w:rPr>
                      <w:rFonts w:hint="default" w:ascii="Times New Roman" w:hAnsi="Times New Roman" w:eastAsia="宋体" w:cs="Times New Roman"/>
                      <w:color w:val="auto"/>
                      <w:spacing w:val="0"/>
                      <w:position w:val="0"/>
                      <w:szCs w:val="21"/>
                      <w:lang w:eastAsia="zh-CN"/>
                    </w:rPr>
                    <w:t>；楼下距地面100cm处</w:t>
                  </w:r>
                  <w:r>
                    <w:rPr>
                      <w:rFonts w:hint="default" w:ascii="Times New Roman" w:hAnsi="Times New Roman" w:eastAsia="宋体" w:cs="Times New Roman"/>
                      <w:color w:val="auto"/>
                      <w:spacing w:val="0"/>
                      <w:position w:val="0"/>
                      <w:szCs w:val="21"/>
                    </w:rPr>
                    <w:t>。</w:t>
                  </w:r>
                </w:p>
              </w:tc>
            </w:tr>
            <w:tr w14:paraId="7B0B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427" w:type="dxa"/>
                  <w:vMerge w:val="continue"/>
                  <w:noWrap w:val="0"/>
                  <w:vAlign w:val="center"/>
                </w:tcPr>
                <w:p w14:paraId="0E72E3BF">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p>
              </w:tc>
              <w:tc>
                <w:tcPr>
                  <w:tcW w:w="673" w:type="dxa"/>
                  <w:vMerge w:val="continue"/>
                  <w:noWrap w:val="0"/>
                  <w:vAlign w:val="center"/>
                </w:tcPr>
                <w:p w14:paraId="2D14832C">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p>
              </w:tc>
              <w:tc>
                <w:tcPr>
                  <w:tcW w:w="1159" w:type="dxa"/>
                  <w:noWrap w:val="0"/>
                  <w:vAlign w:val="center"/>
                </w:tcPr>
                <w:p w14:paraId="124FD456">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编制辐射防护年度评估报告（每年1次）</w:t>
                  </w:r>
                </w:p>
              </w:tc>
              <w:tc>
                <w:tcPr>
                  <w:tcW w:w="3968" w:type="dxa"/>
                  <w:vMerge w:val="continue"/>
                  <w:noWrap w:val="0"/>
                  <w:vAlign w:val="center"/>
                </w:tcPr>
                <w:p w14:paraId="7A1F4D2F">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p>
              </w:tc>
              <w:tc>
                <w:tcPr>
                  <w:tcW w:w="641" w:type="dxa"/>
                  <w:vMerge w:val="continue"/>
                  <w:noWrap w:val="0"/>
                  <w:vAlign w:val="center"/>
                </w:tcPr>
                <w:p w14:paraId="1EDF6E21">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p>
              </w:tc>
              <w:tc>
                <w:tcPr>
                  <w:tcW w:w="2268" w:type="dxa"/>
                  <w:vMerge w:val="continue"/>
                  <w:noWrap w:val="0"/>
                  <w:vAlign w:val="center"/>
                </w:tcPr>
                <w:p w14:paraId="69F098DA">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p>
              </w:tc>
            </w:tr>
            <w:tr w14:paraId="4477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dxa"/>
                  <w:vMerge w:val="continue"/>
                  <w:noWrap w:val="0"/>
                  <w:vAlign w:val="center"/>
                </w:tcPr>
                <w:p w14:paraId="5DF972D4">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p>
              </w:tc>
              <w:tc>
                <w:tcPr>
                  <w:tcW w:w="673" w:type="dxa"/>
                  <w:noWrap w:val="0"/>
                  <w:vAlign w:val="center"/>
                </w:tcPr>
                <w:p w14:paraId="61954DBD">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职业性外照射个人剂量</w:t>
                  </w:r>
                </w:p>
              </w:tc>
              <w:tc>
                <w:tcPr>
                  <w:tcW w:w="1159" w:type="dxa"/>
                  <w:noWrap w:val="0"/>
                  <w:vAlign w:val="center"/>
                </w:tcPr>
                <w:p w14:paraId="77C6521B">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最长不应超过3个月送有资质的单位监测</w:t>
                  </w:r>
                </w:p>
              </w:tc>
              <w:tc>
                <w:tcPr>
                  <w:tcW w:w="3968" w:type="dxa"/>
                  <w:noWrap w:val="0"/>
                  <w:vAlign w:val="center"/>
                </w:tcPr>
                <w:p w14:paraId="2BF79908">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本项目辐射工作人员</w:t>
                  </w:r>
                </w:p>
              </w:tc>
              <w:tc>
                <w:tcPr>
                  <w:tcW w:w="641" w:type="dxa"/>
                  <w:noWrap w:val="0"/>
                  <w:vAlign w:val="center"/>
                </w:tcPr>
                <w:p w14:paraId="4C90DD90">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个人剂量计</w:t>
                  </w:r>
                </w:p>
              </w:tc>
              <w:tc>
                <w:tcPr>
                  <w:tcW w:w="2268" w:type="dxa"/>
                  <w:noWrap w:val="0"/>
                  <w:vAlign w:val="center"/>
                </w:tcPr>
                <w:p w14:paraId="5BF2AADA">
                  <w:pPr>
                    <w:pStyle w:val="3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介入医生</w:t>
                  </w:r>
                  <w:r>
                    <w:rPr>
                      <w:rFonts w:hint="default" w:ascii="Times New Roman" w:hAnsi="Times New Roman" w:eastAsia="宋体" w:cs="Times New Roman"/>
                      <w:color w:val="auto"/>
                      <w:spacing w:val="0"/>
                      <w:position w:val="0"/>
                      <w:szCs w:val="21"/>
                    </w:rPr>
                    <w:t>应在</w:t>
                  </w:r>
                  <w:r>
                    <w:rPr>
                      <w:rFonts w:hint="default" w:ascii="Times New Roman" w:hAnsi="Times New Roman" w:eastAsia="宋体" w:cs="Times New Roman"/>
                      <w:color w:val="auto"/>
                      <w:spacing w:val="0"/>
                      <w:position w:val="0"/>
                      <w:szCs w:val="21"/>
                      <w:lang w:eastAsia="zh-CN"/>
                    </w:rPr>
                    <w:t>铅橡胶围裙</w:t>
                  </w:r>
                  <w:r>
                    <w:rPr>
                      <w:rFonts w:hint="default" w:ascii="Times New Roman" w:hAnsi="Times New Roman" w:eastAsia="宋体" w:cs="Times New Roman"/>
                      <w:color w:val="auto"/>
                      <w:spacing w:val="0"/>
                      <w:position w:val="0"/>
                      <w:szCs w:val="21"/>
                      <w:lang w:val="en-US" w:eastAsia="zh-CN"/>
                    </w:rPr>
                    <w:t>内侧左胸前及铅橡胶围裙</w:t>
                  </w:r>
                  <w:r>
                    <w:rPr>
                      <w:rFonts w:hint="default" w:ascii="Times New Roman" w:hAnsi="Times New Roman" w:eastAsia="宋体" w:cs="Times New Roman"/>
                      <w:color w:val="auto"/>
                      <w:spacing w:val="0"/>
                      <w:position w:val="0"/>
                      <w:szCs w:val="21"/>
                    </w:rPr>
                    <w:t>外</w:t>
                  </w:r>
                  <w:r>
                    <w:rPr>
                      <w:rFonts w:hint="default" w:ascii="Times New Roman" w:hAnsi="Times New Roman" w:eastAsia="宋体" w:cs="Times New Roman"/>
                      <w:color w:val="auto"/>
                      <w:spacing w:val="0"/>
                      <w:position w:val="0"/>
                      <w:szCs w:val="21"/>
                      <w:lang w:val="en-US" w:eastAsia="zh-CN"/>
                    </w:rPr>
                    <w:t>衣领</w:t>
                  </w:r>
                  <w:r>
                    <w:rPr>
                      <w:rFonts w:hint="default" w:ascii="Times New Roman" w:hAnsi="Times New Roman" w:eastAsia="宋体" w:cs="Times New Roman"/>
                      <w:color w:val="auto"/>
                      <w:spacing w:val="0"/>
                      <w:position w:val="0"/>
                      <w:szCs w:val="21"/>
                    </w:rPr>
                    <w:t>位置佩戴剂量计</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其余工作人员在胸前佩戴剂量计</w:t>
                  </w:r>
                </w:p>
              </w:tc>
            </w:tr>
          </w:tbl>
          <w:p w14:paraId="328D4A6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医院</w:t>
            </w:r>
            <w:r>
              <w:rPr>
                <w:rFonts w:hint="default" w:ascii="Times New Roman" w:hAnsi="Times New Roman" w:eastAsia="宋体" w:cs="Times New Roman"/>
                <w:color w:val="auto"/>
                <w:spacing w:val="0"/>
                <w:position w:val="0"/>
              </w:rPr>
              <w:t>每年委托有资质的单位对其射线装置的安全和防护状况进行监测并进行了年度评估，并于每年1月31日前向主管部门提交了评估报告。</w:t>
            </w:r>
          </w:p>
        </w:tc>
      </w:tr>
      <w:tr w14:paraId="6E9A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1" w:type="dxa"/>
            <w:noWrap w:val="0"/>
            <w:vAlign w:val="top"/>
          </w:tcPr>
          <w:p w14:paraId="5F7C6240">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12.4辐射事故应急</w:t>
            </w:r>
          </w:p>
          <w:p w14:paraId="10E90DE3">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医院目前已制定《辐射事故应急预案》，主要内容已涵盖：①编制依据；②辐射事故应急机构和职责分工；③应急处理领导小组职责；④辐射事故报告和应急响应措施；⑤辐射事故的调查和处理；⑥善后处理；⑦预案管理。已制定的《辐射事故应急预案》内容较全，措施得当，便于操作，在应对辐射事故和突发性事件时基本可行。</w:t>
            </w:r>
          </w:p>
          <w:p w14:paraId="5A86B38B">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为提高本单位对突发辐射事故的处理能力，最大程度地预防和减少突发辐射事故的损害，保护环境，保障医院工作人员和公众的健康与生命安全，曲靖市第二人民医院已制定了辐射事故应急预案，本项目建设后，对其进行修编。医院制定的应急预案基本可行，并成立了辐射事故应急处理领导小组在出现应急事故时组织开展工作。</w:t>
            </w:r>
          </w:p>
          <w:p w14:paraId="019B505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环评要求，医院应定期进行辐射事故应急演练，检验应急预案的可行性、可靠性、可操作性，</w:t>
            </w:r>
            <w:r>
              <w:rPr>
                <w:rFonts w:hint="default" w:ascii="Times New Roman" w:hAnsi="Times New Roman" w:eastAsia="宋体" w:cs="Times New Roman"/>
                <w:color w:val="auto"/>
                <w:spacing w:val="0"/>
                <w:position w:val="0"/>
                <w:lang w:val="en-US" w:eastAsia="zh-CN"/>
              </w:rPr>
              <w:t>结合医院实际情况，</w:t>
            </w:r>
            <w:r>
              <w:rPr>
                <w:rFonts w:hint="default" w:ascii="Times New Roman" w:hAnsi="Times New Roman" w:eastAsia="宋体" w:cs="Times New Roman"/>
                <w:color w:val="auto"/>
                <w:spacing w:val="0"/>
                <w:position w:val="0"/>
              </w:rPr>
              <w:t>不断完善辐射事故应急预案。一旦发生辐射事故，应当立即启动本医院的辐射事故应急方案，采取必要应急措施，并在2小时内填写《辐射事故初始报告表》，向当地环境保护部门报告。向当地环境保护部门和公安部门报告。造成或可能造成人员超剂量照射的，还应同时向当地卫生行政部门报告。医院需根据项目运行中可能发生的辐射事故情况和防范应对措施，从经费、物资、人员和技</w:t>
            </w:r>
            <w:r>
              <w:rPr>
                <w:rFonts w:hint="default" w:ascii="Times New Roman" w:hAnsi="Times New Roman" w:eastAsia="宋体" w:cs="Times New Roman"/>
                <w:color w:val="auto"/>
                <w:spacing w:val="0"/>
                <w:position w:val="0"/>
                <w:lang w:eastAsia="zh-CN"/>
              </w:rPr>
              <w:t>术等</w:t>
            </w:r>
            <w:r>
              <w:rPr>
                <w:rFonts w:hint="default" w:ascii="Times New Roman" w:hAnsi="Times New Roman" w:eastAsia="宋体" w:cs="Times New Roman"/>
                <w:color w:val="auto"/>
                <w:spacing w:val="0"/>
                <w:position w:val="0"/>
              </w:rPr>
              <w:t>方面做好准备工作，并定期进行演练，根据预案实施情况，结合国家发布的法规和医院实际情况，对事故应急预案</w:t>
            </w:r>
            <w:r>
              <w:rPr>
                <w:rFonts w:hint="default" w:ascii="Times New Roman" w:hAnsi="Times New Roman" w:eastAsia="宋体" w:cs="Times New Roman"/>
                <w:color w:val="auto"/>
                <w:spacing w:val="0"/>
                <w:position w:val="0"/>
                <w:lang w:eastAsia="zh-CN"/>
              </w:rPr>
              <w:t>做</w:t>
            </w:r>
            <w:r>
              <w:rPr>
                <w:rFonts w:hint="default" w:ascii="Times New Roman" w:hAnsi="Times New Roman" w:eastAsia="宋体" w:cs="Times New Roman"/>
                <w:color w:val="auto"/>
                <w:spacing w:val="0"/>
                <w:position w:val="0"/>
              </w:rPr>
              <w:t>补充修改，使之更能符合实际需要。</w:t>
            </w:r>
          </w:p>
          <w:p w14:paraId="656C0C1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通过以上措施能有效防范和处置突发事故，将事故发生的概率和事故危害控制到最低限度。</w:t>
            </w:r>
          </w:p>
        </w:tc>
      </w:tr>
      <w:tr w14:paraId="206B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41" w:type="dxa"/>
            <w:noWrap w:val="0"/>
            <w:vAlign w:val="top"/>
          </w:tcPr>
          <w:p w14:paraId="1B7FFDF1">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12.5从事辐射活动能力的评估</w:t>
            </w:r>
          </w:p>
          <w:p w14:paraId="3A64329A">
            <w:pPr>
              <w:keepNext w:val="0"/>
              <w:keepLines w:val="0"/>
              <w:suppressLineNumbers w:val="0"/>
              <w:spacing w:before="0" w:beforeAutospacing="0" w:after="0" w:afterAutospacing="0" w:line="372" w:lineRule="auto"/>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根据《放射性同位素与射线装置安全许可管理办法》（2021年修订）及《放射性同位素与射线装置安全和防护管理办法》（环保部令第18号）的相关管理要求，建设单位在本项目运营前应确保具备使用</w:t>
            </w:r>
            <w:r>
              <w:rPr>
                <w:rFonts w:hint="default" w:ascii="Times New Roman" w:hAnsi="Times New Roman" w:eastAsia="宋体" w:cs="Times New Roman"/>
                <w:color w:val="auto"/>
                <w:spacing w:val="0"/>
                <w:position w:val="0"/>
                <w:lang w:eastAsia="zh-CN"/>
              </w:rPr>
              <w:t>Ⅱ类</w:t>
            </w:r>
            <w:r>
              <w:rPr>
                <w:rFonts w:hint="default" w:ascii="Times New Roman" w:hAnsi="Times New Roman" w:eastAsia="宋体" w:cs="Times New Roman"/>
                <w:color w:val="auto"/>
                <w:spacing w:val="0"/>
                <w:position w:val="0"/>
              </w:rPr>
              <w:t>射线装置的条件，如设置辐射安全管理机构、制定辐射安全管理制度、满足辐射防护的场所、有效的安全防护措施、取得辐射安全培训证书的人员、有效的防护用品及监测仪器以及人员的个人剂量监测及健康体检等。</w:t>
            </w:r>
          </w:p>
          <w:p w14:paraId="09A28A3A">
            <w:pPr>
              <w:keepNext w:val="0"/>
              <w:keepLines w:val="0"/>
              <w:suppressLineNumbers w:val="0"/>
              <w:spacing w:before="0" w:beforeAutospacing="0" w:after="0" w:afterAutospacing="0" w:line="372" w:lineRule="auto"/>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结合本项目拟采取的辐射防护措施，对建设单位从事辐射活动能力进行分析评估，并就不足之处提出相应的完善要求。建设单位使用</w:t>
            </w:r>
            <w:r>
              <w:rPr>
                <w:rFonts w:hint="default" w:ascii="Times New Roman" w:hAnsi="Times New Roman" w:eastAsia="宋体" w:cs="Times New Roman"/>
                <w:color w:val="auto"/>
                <w:spacing w:val="0"/>
                <w:position w:val="0"/>
                <w:lang w:eastAsia="zh-CN"/>
              </w:rPr>
              <w:t>Ⅱ类</w:t>
            </w:r>
            <w:r>
              <w:rPr>
                <w:rFonts w:hint="default" w:ascii="Times New Roman" w:hAnsi="Times New Roman" w:eastAsia="宋体" w:cs="Times New Roman"/>
                <w:color w:val="auto"/>
                <w:spacing w:val="0"/>
                <w:position w:val="0"/>
              </w:rPr>
              <w:t>射线装置应具备的能力条件与要求的符合性分析见表12-3。</w:t>
            </w:r>
          </w:p>
          <w:p w14:paraId="5521D0F6">
            <w:pPr>
              <w:pStyle w:val="35"/>
              <w:suppressLineNumbers w:val="0"/>
              <w:spacing w:before="0" w:beforeAutospacing="0" w:after="0" w:afterAutospacing="0" w:line="240" w:lineRule="auto"/>
              <w:ind w:left="0" w:right="0"/>
              <w:rPr>
                <w:rFonts w:hint="default" w:ascii="Times New Roman" w:hAnsi="Times New Roman" w:eastAsia="宋体" w:cs="Times New Roman"/>
                <w:color w:val="auto"/>
                <w:spacing w:val="0"/>
                <w:position w:val="0"/>
              </w:rPr>
            </w:pPr>
            <w:bookmarkStart w:id="61" w:name="_Toc16378"/>
            <w:bookmarkStart w:id="62" w:name="_Toc20775"/>
            <w:r>
              <w:rPr>
                <w:rFonts w:hint="default" w:ascii="Times New Roman" w:hAnsi="Times New Roman" w:eastAsia="宋体" w:cs="Times New Roman"/>
                <w:color w:val="auto"/>
                <w:spacing w:val="0"/>
                <w:position w:val="0"/>
                <w:sz w:val="21"/>
                <w:szCs w:val="21"/>
              </w:rPr>
              <w:t>表12-3本项目使用</w:t>
            </w:r>
            <w:r>
              <w:rPr>
                <w:rFonts w:hint="default" w:ascii="Times New Roman" w:hAnsi="Times New Roman" w:eastAsia="宋体" w:cs="Times New Roman"/>
                <w:color w:val="auto"/>
                <w:spacing w:val="0"/>
                <w:position w:val="0"/>
                <w:sz w:val="21"/>
                <w:szCs w:val="21"/>
                <w:lang w:eastAsia="zh-CN"/>
              </w:rPr>
              <w:t>Ⅱ类</w:t>
            </w:r>
            <w:r>
              <w:rPr>
                <w:rFonts w:hint="default" w:ascii="Times New Roman" w:hAnsi="Times New Roman" w:eastAsia="宋体" w:cs="Times New Roman"/>
                <w:color w:val="auto"/>
                <w:spacing w:val="0"/>
                <w:position w:val="0"/>
                <w:sz w:val="21"/>
                <w:szCs w:val="21"/>
              </w:rPr>
              <w:t>射线装置应具备的条件及符合性分析一览表</w:t>
            </w:r>
            <w:bookmarkEnd w:id="61"/>
            <w:bookmarkEnd w:id="62"/>
          </w:p>
          <w:tbl>
            <w:tblPr>
              <w:tblStyle w:val="53"/>
              <w:tblW w:w="90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3"/>
              <w:gridCol w:w="964"/>
              <w:gridCol w:w="2797"/>
              <w:gridCol w:w="2753"/>
              <w:gridCol w:w="2153"/>
            </w:tblGrid>
            <w:tr w14:paraId="6F049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6FFFA7F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序号</w:t>
                  </w:r>
                </w:p>
              </w:tc>
              <w:tc>
                <w:tcPr>
                  <w:tcW w:w="964" w:type="dxa"/>
                  <w:noWrap w:val="0"/>
                  <w:vAlign w:val="center"/>
                </w:tcPr>
                <w:p w14:paraId="545DB68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应具备的条件</w:t>
                  </w:r>
                </w:p>
              </w:tc>
              <w:tc>
                <w:tcPr>
                  <w:tcW w:w="2797" w:type="dxa"/>
                  <w:noWrap w:val="0"/>
                  <w:vAlign w:val="center"/>
                </w:tcPr>
                <w:p w14:paraId="709F48C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规定应具备的条件</w:t>
                  </w:r>
                </w:p>
              </w:tc>
              <w:tc>
                <w:tcPr>
                  <w:tcW w:w="2753" w:type="dxa"/>
                  <w:noWrap w:val="0"/>
                  <w:vAlign w:val="center"/>
                </w:tcPr>
                <w:p w14:paraId="2D764FF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医院落实情况</w:t>
                  </w:r>
                </w:p>
              </w:tc>
              <w:tc>
                <w:tcPr>
                  <w:tcW w:w="2153" w:type="dxa"/>
                  <w:noWrap w:val="0"/>
                  <w:vAlign w:val="center"/>
                </w:tcPr>
                <w:p w14:paraId="60EC19CC">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环评要求</w:t>
                  </w:r>
                </w:p>
              </w:tc>
            </w:tr>
            <w:tr w14:paraId="1C598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305FA13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w:t>
                  </w:r>
                </w:p>
              </w:tc>
              <w:tc>
                <w:tcPr>
                  <w:tcW w:w="964" w:type="dxa"/>
                  <w:noWrap w:val="0"/>
                  <w:vAlign w:val="center"/>
                </w:tcPr>
                <w:p w14:paraId="75534EE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放射性诊疗项目的屏蔽设计</w:t>
                  </w:r>
                </w:p>
              </w:tc>
              <w:tc>
                <w:tcPr>
                  <w:tcW w:w="2797" w:type="dxa"/>
                  <w:noWrap w:val="0"/>
                  <w:vAlign w:val="center"/>
                </w:tcPr>
                <w:p w14:paraId="2361185C">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放射性诊疗项目机房建筑</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包括辐射防护墙、门、窗</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的防护厚度应充分考虑X射线直射、散射、漏射效应。机房的设计应</w:t>
                  </w:r>
                  <w:r>
                    <w:rPr>
                      <w:rFonts w:hint="default" w:ascii="Times New Roman" w:hAnsi="Times New Roman" w:eastAsia="宋体" w:cs="Times New Roman"/>
                      <w:color w:val="auto"/>
                      <w:spacing w:val="0"/>
                      <w:position w:val="0"/>
                      <w:lang w:val="en-US" w:eastAsia="zh-CN"/>
                    </w:rPr>
                    <w:t>由</w:t>
                  </w:r>
                  <w:r>
                    <w:rPr>
                      <w:rFonts w:hint="default" w:ascii="Times New Roman" w:hAnsi="Times New Roman" w:eastAsia="宋体" w:cs="Times New Roman"/>
                      <w:color w:val="auto"/>
                      <w:spacing w:val="0"/>
                      <w:position w:val="0"/>
                    </w:rPr>
                    <w:t>有相应资质的单位承担。</w:t>
                  </w:r>
                </w:p>
              </w:tc>
              <w:tc>
                <w:tcPr>
                  <w:tcW w:w="2753" w:type="dxa"/>
                  <w:noWrap w:val="0"/>
                  <w:vAlign w:val="center"/>
                </w:tcPr>
                <w:p w14:paraId="61FE189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建设单位已委托了具备建筑工程设计资质的单位进行设计</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并请有资质的单位进行防护门的设计、修建，机房的防护厚度满足要求。</w:t>
                  </w:r>
                </w:p>
              </w:tc>
              <w:tc>
                <w:tcPr>
                  <w:tcW w:w="2153" w:type="dxa"/>
                  <w:noWrap w:val="0"/>
                  <w:vAlign w:val="center"/>
                </w:tcPr>
                <w:p w14:paraId="1ACA94B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建设方应按计划认真做好相应的防护工作，做好日常监测。</w:t>
                  </w:r>
                </w:p>
              </w:tc>
            </w:tr>
            <w:tr w14:paraId="396D5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01AA6D2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w:t>
                  </w:r>
                </w:p>
              </w:tc>
              <w:tc>
                <w:tcPr>
                  <w:tcW w:w="964" w:type="dxa"/>
                  <w:noWrap w:val="0"/>
                  <w:vAlign w:val="center"/>
                </w:tcPr>
                <w:p w14:paraId="45D83B6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安全联锁</w:t>
                  </w:r>
                </w:p>
              </w:tc>
              <w:tc>
                <w:tcPr>
                  <w:tcW w:w="2797" w:type="dxa"/>
                  <w:noWrap w:val="0"/>
                  <w:vAlign w:val="center"/>
                </w:tcPr>
                <w:p w14:paraId="313603F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射线装置使用场有防止误操作、防止工作人员和公众受到意外照射的安全措施。</w:t>
                  </w:r>
                </w:p>
              </w:tc>
              <w:tc>
                <w:tcPr>
                  <w:tcW w:w="2753" w:type="dxa"/>
                  <w:noWrap w:val="0"/>
                  <w:vAlign w:val="center"/>
                </w:tcPr>
                <w:p w14:paraId="7F12118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w:t>
                  </w:r>
                  <w:r>
                    <w:rPr>
                      <w:rFonts w:hint="default" w:ascii="Times New Roman" w:hAnsi="Times New Roman" w:eastAsia="宋体" w:cs="Times New Roman"/>
                      <w:color w:val="auto"/>
                      <w:spacing w:val="0"/>
                      <w:position w:val="0"/>
                    </w:rPr>
                    <w:t>DSA介入室防护门外拟设置工作状态指示灯、门灯</w:t>
                  </w:r>
                  <w:r>
                    <w:rPr>
                      <w:rFonts w:hint="default" w:ascii="Times New Roman" w:hAnsi="Times New Roman" w:eastAsia="宋体" w:cs="Times New Roman"/>
                      <w:color w:val="auto"/>
                      <w:spacing w:val="0"/>
                      <w:position w:val="0"/>
                      <w:lang w:eastAsia="zh-CN"/>
                    </w:rPr>
                    <w:t>联锁</w:t>
                  </w:r>
                  <w:r>
                    <w:rPr>
                      <w:rFonts w:hint="default" w:ascii="Times New Roman" w:hAnsi="Times New Roman" w:eastAsia="宋体" w:cs="Times New Roman"/>
                      <w:color w:val="auto"/>
                      <w:spacing w:val="0"/>
                      <w:position w:val="0"/>
                    </w:rPr>
                    <w:t>、电离辐射警示标志。</w:t>
                  </w:r>
                </w:p>
              </w:tc>
              <w:tc>
                <w:tcPr>
                  <w:tcW w:w="2153" w:type="dxa"/>
                  <w:noWrap w:val="0"/>
                  <w:vAlign w:val="center"/>
                </w:tcPr>
                <w:p w14:paraId="3101040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建设方要严格执行相关操作规程、检修、检验工作，定期维护，确保辐射安全。</w:t>
                  </w:r>
                </w:p>
              </w:tc>
            </w:tr>
            <w:tr w14:paraId="09CC2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7DCF9EE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3</w:t>
                  </w:r>
                </w:p>
              </w:tc>
              <w:tc>
                <w:tcPr>
                  <w:tcW w:w="964" w:type="dxa"/>
                  <w:noWrap w:val="0"/>
                  <w:vAlign w:val="center"/>
                </w:tcPr>
                <w:p w14:paraId="398D89B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紧急制动装置</w:t>
                  </w:r>
                </w:p>
              </w:tc>
              <w:tc>
                <w:tcPr>
                  <w:tcW w:w="2797" w:type="dxa"/>
                  <w:noWrap w:val="0"/>
                  <w:vAlign w:val="center"/>
                </w:tcPr>
                <w:p w14:paraId="294464E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在诊断、诊疗室内墙上应安装多个串联并有明显标识的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紧急止动</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开关，该开关应与控制台上的</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紧急止动</w:t>
                  </w:r>
                  <w:r>
                    <w:rPr>
                      <w:rFonts w:hint="default" w:ascii="Times New Roman" w:hAnsi="Times New Roman" w:eastAsia="宋体" w:cs="Times New Roman"/>
                      <w:color w:val="auto"/>
                      <w:spacing w:val="0"/>
                      <w:position w:val="0"/>
                      <w:lang w:eastAsia="zh-CN"/>
                    </w:rPr>
                    <w:t>”按钮</w:t>
                  </w:r>
                  <w:r>
                    <w:rPr>
                      <w:rFonts w:hint="default" w:ascii="Times New Roman" w:hAnsi="Times New Roman" w:eastAsia="宋体" w:cs="Times New Roman"/>
                      <w:color w:val="auto"/>
                      <w:spacing w:val="0"/>
                      <w:position w:val="0"/>
                    </w:rPr>
                    <w:t>联动。一旦按下</w:t>
                  </w:r>
                  <w:r>
                    <w:rPr>
                      <w:rFonts w:hint="default" w:ascii="Times New Roman" w:hAnsi="Times New Roman" w:eastAsia="宋体" w:cs="Times New Roman"/>
                      <w:color w:val="auto"/>
                      <w:spacing w:val="0"/>
                      <w:position w:val="0"/>
                      <w:lang w:eastAsia="zh-CN"/>
                    </w:rPr>
                    <w:t>按钮</w:t>
                  </w:r>
                  <w:r>
                    <w:rPr>
                      <w:rFonts w:hint="default" w:ascii="Times New Roman" w:hAnsi="Times New Roman" w:eastAsia="宋体" w:cs="Times New Roman"/>
                      <w:color w:val="auto"/>
                      <w:spacing w:val="0"/>
                      <w:position w:val="0"/>
                    </w:rPr>
                    <w:t>，放射性诊疗设备的高压电源被切断。</w:t>
                  </w:r>
                </w:p>
              </w:tc>
              <w:tc>
                <w:tcPr>
                  <w:tcW w:w="2753" w:type="dxa"/>
                  <w:noWrap w:val="0"/>
                  <w:vAlign w:val="center"/>
                </w:tcPr>
                <w:p w14:paraId="7E9D485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在DSA机房检查位、控制室均设有紧急止动按钮，该装置与设备</w:t>
                  </w:r>
                  <w:r>
                    <w:rPr>
                      <w:rFonts w:hint="default" w:ascii="Times New Roman" w:hAnsi="Times New Roman" w:eastAsia="宋体" w:cs="Times New Roman"/>
                      <w:color w:val="auto"/>
                      <w:spacing w:val="0"/>
                      <w:position w:val="0"/>
                      <w:lang w:eastAsia="zh-CN"/>
                    </w:rPr>
                    <w:t>联锁</w:t>
                  </w:r>
                  <w:r>
                    <w:rPr>
                      <w:rFonts w:hint="default" w:ascii="Times New Roman" w:hAnsi="Times New Roman" w:eastAsia="宋体" w:cs="Times New Roman"/>
                      <w:color w:val="auto"/>
                      <w:spacing w:val="0"/>
                      <w:position w:val="0"/>
                    </w:rPr>
                    <w:t>，使误留于室内人员可通过紧急</w:t>
                  </w:r>
                  <w:r>
                    <w:rPr>
                      <w:rFonts w:hint="default" w:ascii="Times New Roman" w:hAnsi="Times New Roman" w:eastAsia="宋体" w:cs="Times New Roman"/>
                      <w:color w:val="auto"/>
                      <w:spacing w:val="0"/>
                      <w:position w:val="0"/>
                      <w:lang w:val="en-US" w:eastAsia="zh-CN"/>
                    </w:rPr>
                    <w:t>停止</w:t>
                  </w:r>
                  <w:r>
                    <w:rPr>
                      <w:rFonts w:hint="default" w:ascii="Times New Roman" w:hAnsi="Times New Roman" w:eastAsia="宋体" w:cs="Times New Roman"/>
                      <w:color w:val="auto"/>
                      <w:spacing w:val="0"/>
                      <w:position w:val="0"/>
                    </w:rPr>
                    <w:t>按钮使照射终止。</w:t>
                  </w:r>
                </w:p>
              </w:tc>
              <w:tc>
                <w:tcPr>
                  <w:tcW w:w="2153" w:type="dxa"/>
                  <w:noWrap w:val="0"/>
                  <w:vAlign w:val="center"/>
                </w:tcPr>
                <w:p w14:paraId="12C29D4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运营时严格按计划执行，定期维护，确保辐射安全。</w:t>
                  </w:r>
                </w:p>
              </w:tc>
            </w:tr>
            <w:tr w14:paraId="4A0B0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2AAE958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4</w:t>
                  </w:r>
                </w:p>
              </w:tc>
              <w:tc>
                <w:tcPr>
                  <w:tcW w:w="964" w:type="dxa"/>
                  <w:noWrap w:val="0"/>
                  <w:vAlign w:val="center"/>
                </w:tcPr>
                <w:p w14:paraId="285F385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警示标志</w:t>
                  </w:r>
                </w:p>
              </w:tc>
              <w:tc>
                <w:tcPr>
                  <w:tcW w:w="2797" w:type="dxa"/>
                  <w:noWrap w:val="0"/>
                  <w:vAlign w:val="center"/>
                </w:tcPr>
                <w:p w14:paraId="7A92ADF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射线装置机房防护门外及与其他公共场所相连接处应设置固定的电离辐射警告标志和工作状态指示灯，控制区边界应设置明显可见的警告标识。</w:t>
                  </w:r>
                </w:p>
              </w:tc>
              <w:tc>
                <w:tcPr>
                  <w:tcW w:w="2753" w:type="dxa"/>
                  <w:noWrap w:val="0"/>
                  <w:vAlign w:val="center"/>
                </w:tcPr>
                <w:p w14:paraId="43391BD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DSA介入室防护门外均拟设置工作状态指示灯、门灯</w:t>
                  </w:r>
                  <w:r>
                    <w:rPr>
                      <w:rFonts w:hint="default" w:ascii="Times New Roman" w:hAnsi="Times New Roman" w:eastAsia="宋体" w:cs="Times New Roman"/>
                      <w:color w:val="auto"/>
                      <w:spacing w:val="0"/>
                      <w:position w:val="0"/>
                      <w:lang w:eastAsia="zh-CN"/>
                    </w:rPr>
                    <w:t>联锁</w:t>
                  </w:r>
                  <w:r>
                    <w:rPr>
                      <w:rFonts w:hint="default" w:ascii="Times New Roman" w:hAnsi="Times New Roman" w:eastAsia="宋体" w:cs="Times New Roman"/>
                      <w:color w:val="auto"/>
                      <w:spacing w:val="0"/>
                      <w:position w:val="0"/>
                    </w:rPr>
                    <w:t>、电离辐射警示标志；并划定控制区、监督区，粘贴两区划分标识。</w:t>
                  </w:r>
                </w:p>
              </w:tc>
              <w:tc>
                <w:tcPr>
                  <w:tcW w:w="2153" w:type="dxa"/>
                  <w:noWrap w:val="0"/>
                  <w:vAlign w:val="center"/>
                </w:tcPr>
                <w:p w14:paraId="42FA905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落实控制区、监督区的划分，设置警示标志，确保辐射安全。</w:t>
                  </w:r>
                </w:p>
              </w:tc>
            </w:tr>
            <w:tr w14:paraId="31B3C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35760ED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5</w:t>
                  </w:r>
                </w:p>
              </w:tc>
              <w:tc>
                <w:tcPr>
                  <w:tcW w:w="964" w:type="dxa"/>
                  <w:noWrap w:val="0"/>
                  <w:vAlign w:val="center"/>
                </w:tcPr>
                <w:p w14:paraId="71C7C02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通风系统</w:t>
                  </w:r>
                </w:p>
              </w:tc>
              <w:tc>
                <w:tcPr>
                  <w:tcW w:w="2797" w:type="dxa"/>
                  <w:noWrap w:val="0"/>
                  <w:vAlign w:val="center"/>
                </w:tcPr>
                <w:p w14:paraId="0618DB8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放射性诊疗项目机房内应设置相应排风量的通风系统，使臭氧浓度低于国家标准要求。</w:t>
                  </w:r>
                </w:p>
              </w:tc>
              <w:tc>
                <w:tcPr>
                  <w:tcW w:w="2753" w:type="dxa"/>
                  <w:noWrap w:val="0"/>
                  <w:vAlign w:val="center"/>
                </w:tcPr>
                <w:p w14:paraId="0039261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DSA手术室</w:t>
                  </w:r>
                  <w:r>
                    <w:rPr>
                      <w:rFonts w:hint="default" w:ascii="Times New Roman" w:hAnsi="Times New Roman" w:eastAsia="宋体" w:cs="Times New Roman"/>
                      <w:color w:val="auto"/>
                      <w:spacing w:val="0"/>
                      <w:position w:val="0"/>
                      <w:sz w:val="21"/>
                      <w:szCs w:val="21"/>
                      <w:highlight w:val="none"/>
                    </w:rPr>
                    <w:t>采用</w:t>
                  </w:r>
                  <w:r>
                    <w:rPr>
                      <w:rFonts w:hint="default" w:ascii="Times New Roman" w:hAnsi="Times New Roman" w:eastAsia="宋体" w:cs="Times New Roman"/>
                      <w:color w:val="auto"/>
                      <w:spacing w:val="0"/>
                      <w:position w:val="0"/>
                      <w:sz w:val="21"/>
                      <w:szCs w:val="21"/>
                      <w:highlight w:val="none"/>
                      <w:lang w:val="en-US" w:eastAsia="zh-CN"/>
                    </w:rPr>
                    <w:t>净化空调</w:t>
                  </w:r>
                  <w:r>
                    <w:rPr>
                      <w:rFonts w:hint="default" w:ascii="Times New Roman" w:hAnsi="Times New Roman" w:eastAsia="宋体" w:cs="Times New Roman"/>
                      <w:color w:val="auto"/>
                      <w:spacing w:val="0"/>
                      <w:position w:val="0"/>
                      <w:sz w:val="21"/>
                      <w:szCs w:val="21"/>
                      <w:highlight w:val="none"/>
                    </w:rPr>
                    <w:t>换气，机组风量12</w:t>
                  </w:r>
                  <w:r>
                    <w:rPr>
                      <w:rFonts w:hint="default" w:ascii="Times New Roman" w:hAnsi="Times New Roman" w:eastAsia="宋体" w:cs="Times New Roman"/>
                      <w:color w:val="auto"/>
                      <w:spacing w:val="0"/>
                      <w:position w:val="0"/>
                      <w:sz w:val="21"/>
                      <w:szCs w:val="21"/>
                      <w:highlight w:val="none"/>
                      <w:lang w:val="en-US" w:eastAsia="zh-CN"/>
                    </w:rPr>
                    <w:t>0</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新风量1400m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回风</w:t>
                  </w:r>
                  <w:r>
                    <w:rPr>
                      <w:rFonts w:hint="default" w:ascii="Times New Roman" w:hAnsi="Times New Roman" w:eastAsia="宋体" w:cs="Times New Roman"/>
                      <w:color w:val="auto"/>
                      <w:spacing w:val="0"/>
                      <w:position w:val="0"/>
                      <w:sz w:val="21"/>
                      <w:szCs w:val="21"/>
                      <w:highlight w:val="none"/>
                      <w:lang w:val="en-US" w:eastAsia="zh-CN"/>
                    </w:rPr>
                    <w:t>风量</w:t>
                  </w:r>
                  <w:r>
                    <w:rPr>
                      <w:rFonts w:hint="default" w:ascii="Times New Roman" w:hAnsi="Times New Roman" w:eastAsia="宋体" w:cs="Times New Roman"/>
                      <w:color w:val="auto"/>
                      <w:spacing w:val="0"/>
                      <w:position w:val="0"/>
                      <w:sz w:val="21"/>
                      <w:szCs w:val="21"/>
                      <w:highlight w:val="none"/>
                    </w:rPr>
                    <w:t>10600m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排</w:t>
                  </w:r>
                  <w:r>
                    <w:rPr>
                      <w:rFonts w:hint="default" w:ascii="Times New Roman" w:hAnsi="Times New Roman" w:eastAsia="宋体" w:cs="Times New Roman"/>
                      <w:color w:val="auto"/>
                      <w:spacing w:val="0"/>
                      <w:position w:val="0"/>
                      <w:sz w:val="21"/>
                      <w:szCs w:val="21"/>
                      <w:highlight w:val="none"/>
                    </w:rPr>
                    <w:t>风量</w:t>
                  </w:r>
                  <w:r>
                    <w:rPr>
                      <w:rFonts w:hint="default" w:ascii="Times New Roman" w:hAnsi="Times New Roman" w:eastAsia="宋体" w:cs="Times New Roman"/>
                      <w:color w:val="auto"/>
                      <w:spacing w:val="0"/>
                      <w:position w:val="0"/>
                      <w:sz w:val="21"/>
                      <w:szCs w:val="21"/>
                      <w:highlight w:val="none"/>
                      <w:lang w:eastAsia="zh-CN"/>
                    </w:rPr>
                    <w:t>为</w:t>
                  </w:r>
                  <w:r>
                    <w:rPr>
                      <w:rFonts w:hint="default" w:ascii="Times New Roman" w:hAnsi="Times New Roman" w:eastAsia="宋体" w:cs="Times New Roman"/>
                      <w:color w:val="auto"/>
                      <w:spacing w:val="0"/>
                      <w:position w:val="0"/>
                      <w:sz w:val="21"/>
                      <w:szCs w:val="21"/>
                      <w:highlight w:val="none"/>
                      <w:lang w:val="en-US" w:eastAsia="zh-CN"/>
                    </w:rPr>
                    <w:t>5</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rPr>
                    <w:t>。</w:t>
                  </w:r>
                </w:p>
              </w:tc>
              <w:tc>
                <w:tcPr>
                  <w:tcW w:w="2153" w:type="dxa"/>
                  <w:noWrap w:val="0"/>
                  <w:vAlign w:val="center"/>
                </w:tcPr>
                <w:p w14:paraId="2A4966D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定期维护，满足通排风和防护屏蔽要求。</w:t>
                  </w:r>
                </w:p>
              </w:tc>
            </w:tr>
            <w:tr w14:paraId="748E9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2F76FED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6</w:t>
                  </w:r>
                </w:p>
              </w:tc>
              <w:tc>
                <w:tcPr>
                  <w:tcW w:w="964" w:type="dxa"/>
                  <w:noWrap w:val="0"/>
                  <w:vAlign w:val="center"/>
                </w:tcPr>
                <w:p w14:paraId="55F0DB6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管理人员要求</w:t>
                  </w:r>
                </w:p>
              </w:tc>
              <w:tc>
                <w:tcPr>
                  <w:tcW w:w="2797" w:type="dxa"/>
                  <w:noWrap w:val="0"/>
                  <w:vAlign w:val="center"/>
                </w:tcPr>
                <w:p w14:paraId="45BCF7A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使用</w:t>
                  </w:r>
                  <w:r>
                    <w:rPr>
                      <w:rFonts w:hint="default" w:ascii="Times New Roman" w:hAnsi="Times New Roman" w:eastAsia="宋体" w:cs="Times New Roman"/>
                      <w:color w:val="auto"/>
                      <w:spacing w:val="0"/>
                      <w:position w:val="0"/>
                      <w:lang w:eastAsia="zh-CN"/>
                    </w:rPr>
                    <w:t>Ⅱ类</w:t>
                  </w:r>
                  <w:r>
                    <w:rPr>
                      <w:rFonts w:hint="default" w:ascii="Times New Roman" w:hAnsi="Times New Roman" w:eastAsia="宋体" w:cs="Times New Roman"/>
                      <w:color w:val="auto"/>
                      <w:spacing w:val="0"/>
                      <w:position w:val="0"/>
                    </w:rPr>
                    <w:t>射线装置的，应当设有专门的辐射安全与环境保护管理机构，或者至少有1名具有本科以上学历的技术人员专职负责辐射安全与环境保护管理工作。</w:t>
                  </w:r>
                </w:p>
              </w:tc>
              <w:tc>
                <w:tcPr>
                  <w:tcW w:w="2753" w:type="dxa"/>
                  <w:noWrap w:val="0"/>
                  <w:vAlign w:val="center"/>
                </w:tcPr>
                <w:p w14:paraId="469EBBB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曲靖市第二人民医院已经</w:t>
                  </w:r>
                  <w:r>
                    <w:rPr>
                      <w:rFonts w:hint="default" w:ascii="Times New Roman" w:hAnsi="Times New Roman" w:eastAsia="宋体" w:cs="Times New Roman"/>
                      <w:color w:val="auto"/>
                      <w:spacing w:val="0"/>
                      <w:position w:val="0"/>
                    </w:rPr>
                    <w:t>成立了辐射安全与环境保护管理领导小组，负责有关正常工作条件的保障及解决放射实践中出现的各种防护问题。</w:t>
                  </w:r>
                </w:p>
              </w:tc>
              <w:tc>
                <w:tcPr>
                  <w:tcW w:w="2153" w:type="dxa"/>
                  <w:noWrap w:val="0"/>
                  <w:vAlign w:val="center"/>
                </w:tcPr>
                <w:p w14:paraId="332672E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确保有符合要求的辐射安全与环境保护工作管理人员开展这方面的工作。</w:t>
                  </w:r>
                </w:p>
              </w:tc>
            </w:tr>
            <w:tr w14:paraId="6E7FA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71936E8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7</w:t>
                  </w:r>
                </w:p>
              </w:tc>
              <w:tc>
                <w:tcPr>
                  <w:tcW w:w="964" w:type="dxa"/>
                  <w:noWrap w:val="0"/>
                  <w:vAlign w:val="center"/>
                </w:tcPr>
                <w:p w14:paraId="7520BC1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操作人员要求</w:t>
                  </w:r>
                </w:p>
              </w:tc>
              <w:tc>
                <w:tcPr>
                  <w:tcW w:w="2797" w:type="dxa"/>
                  <w:noWrap w:val="0"/>
                  <w:vAlign w:val="center"/>
                </w:tcPr>
                <w:p w14:paraId="2EB92D2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从事辐射工作的人员必须通过辐射安全和防护专业知识及相关法律法规的培训和考核。</w:t>
                  </w:r>
                </w:p>
              </w:tc>
              <w:tc>
                <w:tcPr>
                  <w:tcW w:w="2753" w:type="dxa"/>
                  <w:noWrap w:val="0"/>
                  <w:vAlign w:val="center"/>
                </w:tcPr>
                <w:p w14:paraId="08C5844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w:t>
                  </w:r>
                  <w:r>
                    <w:rPr>
                      <w:rFonts w:hint="default" w:ascii="Times New Roman" w:hAnsi="Times New Roman" w:eastAsia="宋体" w:cs="Times New Roman"/>
                      <w:color w:val="auto"/>
                      <w:spacing w:val="0"/>
                      <w:position w:val="0"/>
                      <w:lang w:val="en-US" w:eastAsia="zh-CN"/>
                    </w:rPr>
                    <w:t>拟</w:t>
                  </w:r>
                  <w:r>
                    <w:rPr>
                      <w:rFonts w:hint="default" w:ascii="Times New Roman" w:hAnsi="Times New Roman" w:eastAsia="宋体" w:cs="Times New Roman"/>
                      <w:color w:val="auto"/>
                      <w:spacing w:val="0"/>
                      <w:position w:val="0"/>
                    </w:rPr>
                    <w:t>设置</w:t>
                  </w:r>
                  <w:r>
                    <w:rPr>
                      <w:rFonts w:hint="default" w:ascii="Times New Roman" w:hAnsi="Times New Roman" w:eastAsia="宋体" w:cs="Times New Roman"/>
                      <w:color w:val="auto"/>
                      <w:spacing w:val="0"/>
                      <w:position w:val="0"/>
                      <w:lang w:val="en-US" w:eastAsia="zh-CN"/>
                    </w:rPr>
                    <w:t>30</w:t>
                  </w:r>
                  <w:r>
                    <w:rPr>
                      <w:rFonts w:hint="default" w:ascii="Times New Roman" w:hAnsi="Times New Roman" w:eastAsia="宋体" w:cs="Times New Roman"/>
                      <w:color w:val="auto"/>
                      <w:spacing w:val="0"/>
                      <w:position w:val="0"/>
                    </w:rPr>
                    <w:t>名辐射工作人员，</w:t>
                  </w:r>
                  <w:r>
                    <w:rPr>
                      <w:rFonts w:hint="default" w:ascii="Times New Roman" w:hAnsi="Times New Roman" w:eastAsia="宋体" w:cs="Times New Roman"/>
                      <w:color w:val="auto"/>
                      <w:spacing w:val="0"/>
                      <w:position w:val="0"/>
                      <w:lang w:val="en-US" w:eastAsia="zh-CN"/>
                    </w:rPr>
                    <w:t>均</w:t>
                  </w:r>
                  <w:r>
                    <w:rPr>
                      <w:rFonts w:hint="default" w:ascii="Times New Roman" w:hAnsi="Times New Roman" w:eastAsia="宋体" w:cs="Times New Roman"/>
                      <w:color w:val="auto"/>
                      <w:spacing w:val="0"/>
                      <w:position w:val="0"/>
                    </w:rPr>
                    <w:t>已通过</w:t>
                  </w:r>
                  <w:r>
                    <w:rPr>
                      <w:rFonts w:hint="default" w:ascii="Times New Roman" w:hAnsi="Times New Roman" w:eastAsia="宋体" w:cs="Times New Roman"/>
                      <w:color w:val="auto"/>
                      <w:spacing w:val="0"/>
                      <w:position w:val="0"/>
                      <w:lang w:val="en-US" w:eastAsia="zh-CN"/>
                    </w:rPr>
                    <w:t>辐射安全与防护的培训</w:t>
                  </w:r>
                  <w:r>
                    <w:rPr>
                      <w:rFonts w:hint="default" w:ascii="Times New Roman" w:hAnsi="Times New Roman" w:eastAsia="宋体" w:cs="Times New Roman"/>
                      <w:color w:val="auto"/>
                      <w:spacing w:val="0"/>
                      <w:position w:val="0"/>
                    </w:rPr>
                    <w:t>考核；医院已制定完善的人员培训和继续教育</w:t>
                  </w:r>
                  <w:r>
                    <w:rPr>
                      <w:rFonts w:hint="default" w:ascii="Times New Roman" w:hAnsi="Times New Roman" w:eastAsia="宋体" w:cs="Times New Roman"/>
                      <w:color w:val="auto"/>
                      <w:spacing w:val="0"/>
                      <w:position w:val="0"/>
                      <w:lang w:eastAsia="zh-CN"/>
                    </w:rPr>
                    <w:t>制度</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本次环评要求本项目辐射工作人员</w:t>
                  </w:r>
                  <w:r>
                    <w:rPr>
                      <w:rFonts w:hint="default" w:ascii="Times New Roman" w:hAnsi="Times New Roman" w:eastAsia="宋体" w:cs="Times New Roman"/>
                      <w:color w:val="auto"/>
                      <w:spacing w:val="0"/>
                      <w:position w:val="0"/>
                    </w:rPr>
                    <w:t>按规定取得成绩合格证书后方能上岗。</w:t>
                  </w:r>
                </w:p>
              </w:tc>
              <w:tc>
                <w:tcPr>
                  <w:tcW w:w="2153" w:type="dxa"/>
                  <w:noWrap w:val="0"/>
                  <w:vAlign w:val="center"/>
                </w:tcPr>
                <w:p w14:paraId="279901A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项目DSA辐射工作人员应参加国家核技术利用辐射安全与防护培训平台学习相关知识并参加考核，考核合格后方可上岗。</w:t>
                  </w:r>
                </w:p>
              </w:tc>
            </w:tr>
            <w:tr w14:paraId="3D21E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5724C25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8</w:t>
                  </w:r>
                </w:p>
              </w:tc>
              <w:tc>
                <w:tcPr>
                  <w:tcW w:w="964" w:type="dxa"/>
                  <w:noWrap w:val="0"/>
                  <w:vAlign w:val="center"/>
                </w:tcPr>
                <w:p w14:paraId="6567420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辐射安全许可证</w:t>
                  </w:r>
                </w:p>
              </w:tc>
              <w:tc>
                <w:tcPr>
                  <w:tcW w:w="2797" w:type="dxa"/>
                  <w:noWrap w:val="0"/>
                  <w:vAlign w:val="center"/>
                </w:tcPr>
                <w:p w14:paraId="504E00F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必须取得省级环境保护行政主管部门颁发的辐射安全许可证。</w:t>
                  </w:r>
                </w:p>
              </w:tc>
              <w:tc>
                <w:tcPr>
                  <w:tcW w:w="2753" w:type="dxa"/>
                  <w:noWrap w:val="0"/>
                  <w:vAlign w:val="center"/>
                </w:tcPr>
                <w:p w14:paraId="435E5807">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医院目前持有辐射安全许可证，证书编号为：</w:t>
                  </w:r>
                  <w:r>
                    <w:rPr>
                      <w:rFonts w:hint="default" w:ascii="Times New Roman" w:hAnsi="Times New Roman" w:eastAsia="宋体" w:cs="Times New Roman"/>
                      <w:color w:val="auto"/>
                      <w:spacing w:val="0"/>
                      <w:position w:val="0"/>
                      <w:lang w:val="en-US" w:eastAsia="zh-CN"/>
                    </w:rPr>
                    <w:t>云环辐证[01269]</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有效期为：2026年4月9日至2028年4月13日</w:t>
                  </w:r>
                </w:p>
              </w:tc>
              <w:tc>
                <w:tcPr>
                  <w:tcW w:w="2153" w:type="dxa"/>
                  <w:noWrap w:val="0"/>
                  <w:vAlign w:val="center"/>
                </w:tcPr>
                <w:p w14:paraId="509022B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本项目审批完成后，应重新申办《辐射安全许可证》。</w:t>
                  </w:r>
                </w:p>
              </w:tc>
            </w:tr>
            <w:tr w14:paraId="566C0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2E07260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9</w:t>
                  </w:r>
                </w:p>
              </w:tc>
              <w:tc>
                <w:tcPr>
                  <w:tcW w:w="964" w:type="dxa"/>
                  <w:noWrap w:val="0"/>
                  <w:vAlign w:val="center"/>
                </w:tcPr>
                <w:p w14:paraId="7428E1E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设备维护</w:t>
                  </w:r>
                </w:p>
              </w:tc>
              <w:tc>
                <w:tcPr>
                  <w:tcW w:w="2797" w:type="dxa"/>
                  <w:noWrap w:val="0"/>
                  <w:vAlign w:val="center"/>
                </w:tcPr>
                <w:p w14:paraId="0732EDE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每个月对本项目诊疗设备的配件、机电设备和监测仪器，特别是安全联锁装置，进行检查、维护。</w:t>
                  </w:r>
                </w:p>
              </w:tc>
              <w:tc>
                <w:tcPr>
                  <w:tcW w:w="2753" w:type="dxa"/>
                  <w:noWrap w:val="0"/>
                  <w:vAlign w:val="center"/>
                </w:tcPr>
                <w:p w14:paraId="2211FD8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制定了《</w:t>
                  </w:r>
                  <w:r>
                    <w:rPr>
                      <w:rFonts w:hint="default" w:ascii="Times New Roman" w:hAnsi="Times New Roman" w:eastAsia="宋体" w:cs="Times New Roman"/>
                      <w:color w:val="auto"/>
                      <w:spacing w:val="0"/>
                      <w:position w:val="0"/>
                      <w:lang w:val="en-US" w:eastAsia="zh-CN"/>
                    </w:rPr>
                    <w:t>辐射装置检修维护制度</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定期对辐射诊疗设备进行检查、及时维护更换部件。</w:t>
                  </w:r>
                </w:p>
              </w:tc>
              <w:tc>
                <w:tcPr>
                  <w:tcW w:w="2153" w:type="dxa"/>
                  <w:noWrap w:val="0"/>
                  <w:vAlign w:val="center"/>
                </w:tcPr>
                <w:p w14:paraId="16F5867B">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医院应按计划认真做好相应的防护工作，完善相关制度和记录。</w:t>
                  </w:r>
                </w:p>
              </w:tc>
            </w:tr>
            <w:tr w14:paraId="25980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7EBDC58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10</w:t>
                  </w:r>
                </w:p>
              </w:tc>
              <w:tc>
                <w:tcPr>
                  <w:tcW w:w="964" w:type="dxa"/>
                  <w:noWrap w:val="0"/>
                  <w:vAlign w:val="center"/>
                </w:tcPr>
                <w:p w14:paraId="64C4A45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个人剂量管理</w:t>
                  </w:r>
                </w:p>
              </w:tc>
              <w:tc>
                <w:tcPr>
                  <w:tcW w:w="2797" w:type="dxa"/>
                  <w:noWrap w:val="0"/>
                  <w:vAlign w:val="center"/>
                </w:tcPr>
                <w:p w14:paraId="0222563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每名放射性仪器设备的操作人员应配备1个个人剂量片。个人剂量片应编号并定人</w:t>
                  </w:r>
                  <w:r>
                    <w:rPr>
                      <w:rFonts w:hint="default" w:ascii="Times New Roman" w:hAnsi="Times New Roman" w:eastAsia="宋体" w:cs="Times New Roman"/>
                      <w:color w:val="auto"/>
                      <w:spacing w:val="0"/>
                      <w:position w:val="0"/>
                      <w:lang w:eastAsia="zh-CN"/>
                    </w:rPr>
                    <w:t>佩戴</w:t>
                  </w:r>
                  <w:r>
                    <w:rPr>
                      <w:rFonts w:hint="default" w:ascii="Times New Roman" w:hAnsi="Times New Roman" w:eastAsia="宋体" w:cs="Times New Roman"/>
                      <w:color w:val="auto"/>
                      <w:spacing w:val="0"/>
                      <w:position w:val="0"/>
                    </w:rPr>
                    <w:t>，定期送交有资质的检测部门进行测量，并建立个人剂量档案。</w:t>
                  </w:r>
                </w:p>
              </w:tc>
              <w:tc>
                <w:tcPr>
                  <w:tcW w:w="2753" w:type="dxa"/>
                  <w:noWrap w:val="0"/>
                  <w:vAlign w:val="center"/>
                </w:tcPr>
                <w:p w14:paraId="0A55EBC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医院为项目辐射工作人员配备个人剂量计，并进行送检，建立个人剂量档案和职业健康档案。</w:t>
                  </w:r>
                </w:p>
              </w:tc>
              <w:tc>
                <w:tcPr>
                  <w:tcW w:w="2153" w:type="dxa"/>
                  <w:noWrap w:val="0"/>
                  <w:vAlign w:val="center"/>
                </w:tcPr>
                <w:p w14:paraId="50B73A9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严格要求工作人员正确佩戴个人剂量计上岗，每个季度定期送检，并对检测结果及时分析，对检测结果存在超过个人剂量管理限值的情况及时上报查明原因，及时解</w:t>
                  </w:r>
                  <w:r>
                    <w:rPr>
                      <w:rFonts w:hint="default" w:ascii="Times New Roman" w:hAnsi="Times New Roman" w:eastAsia="宋体" w:cs="Times New Roman"/>
                      <w:color w:val="auto"/>
                      <w:spacing w:val="0"/>
                      <w:position w:val="0"/>
                      <w:lang w:eastAsia="zh-CN"/>
                    </w:rPr>
                    <w:t>决</w:t>
                  </w:r>
                  <w:r>
                    <w:rPr>
                      <w:rFonts w:hint="default" w:ascii="Times New Roman" w:hAnsi="Times New Roman" w:eastAsia="宋体" w:cs="Times New Roman"/>
                      <w:color w:val="auto"/>
                      <w:spacing w:val="0"/>
                      <w:position w:val="0"/>
                    </w:rPr>
                    <w:t>，个人剂量档案应终身保存。</w:t>
                  </w:r>
                </w:p>
              </w:tc>
            </w:tr>
            <w:tr w14:paraId="295F8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3601BBA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11</w:t>
                  </w:r>
                </w:p>
              </w:tc>
              <w:tc>
                <w:tcPr>
                  <w:tcW w:w="964" w:type="dxa"/>
                  <w:noWrap w:val="0"/>
                  <w:vAlign w:val="center"/>
                </w:tcPr>
                <w:p w14:paraId="0D4DC9B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档案记录</w:t>
                  </w:r>
                </w:p>
              </w:tc>
              <w:tc>
                <w:tcPr>
                  <w:tcW w:w="2797" w:type="dxa"/>
                  <w:noWrap w:val="0"/>
                  <w:vAlign w:val="center"/>
                </w:tcPr>
                <w:p w14:paraId="1CE367D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应建立设备运行、维修、辐射环境监测记录、个人剂量管理及维修记录制度，并存档备查。</w:t>
                  </w:r>
                </w:p>
              </w:tc>
              <w:tc>
                <w:tcPr>
                  <w:tcW w:w="2753" w:type="dxa"/>
                  <w:noWrap w:val="0"/>
                  <w:vAlign w:val="center"/>
                </w:tcPr>
                <w:p w14:paraId="5E1DF6E3">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医院已制定</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辐射装置检修维护制度》《</w:t>
                  </w:r>
                  <w:r>
                    <w:rPr>
                      <w:rFonts w:hint="default" w:ascii="Times New Roman" w:hAnsi="Times New Roman" w:eastAsia="宋体" w:cs="Times New Roman"/>
                      <w:color w:val="auto"/>
                      <w:spacing w:val="0"/>
                      <w:position w:val="0"/>
                      <w:lang w:eastAsia="zh-CN"/>
                    </w:rPr>
                    <w:t>辐射工作场所监测制度、方案》《辐射工作人员健康及个人剂量管理制度》《DSA射线装置操作规程》《</w:t>
                  </w:r>
                  <w:r>
                    <w:rPr>
                      <w:rFonts w:hint="default" w:ascii="Times New Roman" w:hAnsi="Times New Roman" w:eastAsia="宋体" w:cs="Times New Roman"/>
                      <w:color w:val="auto"/>
                      <w:spacing w:val="0"/>
                      <w:position w:val="0"/>
                      <w:lang w:val="en-US" w:eastAsia="zh-CN"/>
                    </w:rPr>
                    <w:t>射线装置管理制度</w:t>
                  </w:r>
                  <w:r>
                    <w:rPr>
                      <w:rFonts w:hint="default" w:ascii="Times New Roman" w:hAnsi="Times New Roman" w:eastAsia="宋体" w:cs="Times New Roman"/>
                      <w:color w:val="auto"/>
                      <w:spacing w:val="0"/>
                      <w:position w:val="0"/>
                      <w:lang w:eastAsia="zh-CN"/>
                    </w:rPr>
                    <w:t>》等</w:t>
                  </w:r>
                  <w:r>
                    <w:rPr>
                      <w:rFonts w:hint="default" w:ascii="Times New Roman" w:hAnsi="Times New Roman" w:eastAsia="宋体" w:cs="Times New Roman"/>
                      <w:color w:val="auto"/>
                      <w:spacing w:val="0"/>
                      <w:position w:val="0"/>
                    </w:rPr>
                    <w:t>制度，建立设备运行、维修档案，对从事放射工作的工作人员建立个人剂量档案，并定期对其进行个人剂量监测。</w:t>
                  </w:r>
                </w:p>
              </w:tc>
              <w:tc>
                <w:tcPr>
                  <w:tcW w:w="2153" w:type="dxa"/>
                  <w:noWrap w:val="0"/>
                  <w:vAlign w:val="center"/>
                </w:tcPr>
                <w:p w14:paraId="649CECF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医院应及时更新妥善保存相关档案。</w:t>
                  </w:r>
                </w:p>
              </w:tc>
            </w:tr>
            <w:tr w14:paraId="542E9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65C89E2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12</w:t>
                  </w:r>
                </w:p>
              </w:tc>
              <w:tc>
                <w:tcPr>
                  <w:tcW w:w="964" w:type="dxa"/>
                  <w:noWrap w:val="0"/>
                  <w:vAlign w:val="center"/>
                </w:tcPr>
                <w:p w14:paraId="2EC12A5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辐射监测方案</w:t>
                  </w:r>
                </w:p>
              </w:tc>
              <w:tc>
                <w:tcPr>
                  <w:tcW w:w="2797" w:type="dxa"/>
                  <w:noWrap w:val="0"/>
                  <w:vAlign w:val="center"/>
                </w:tcPr>
                <w:p w14:paraId="391057FC">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应建立放射性诊疗项目的日常辐射监测方案。</w:t>
                  </w:r>
                </w:p>
              </w:tc>
              <w:tc>
                <w:tcPr>
                  <w:tcW w:w="2753" w:type="dxa"/>
                  <w:noWrap w:val="0"/>
                  <w:vAlign w:val="center"/>
                </w:tcPr>
                <w:p w14:paraId="494B7A49">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医院已制定</w:t>
                  </w:r>
                  <w:r>
                    <w:rPr>
                      <w:rFonts w:hint="default" w:ascii="Times New Roman" w:hAnsi="Times New Roman" w:eastAsia="宋体" w:cs="Times New Roman"/>
                      <w:color w:val="auto"/>
                      <w:spacing w:val="0"/>
                      <w:position w:val="0"/>
                      <w:lang w:eastAsia="zh-CN"/>
                    </w:rPr>
                    <w:t>《辐射工作场所监测制度、方案》</w:t>
                  </w:r>
                </w:p>
              </w:tc>
              <w:tc>
                <w:tcPr>
                  <w:tcW w:w="2153" w:type="dxa"/>
                  <w:noWrap w:val="0"/>
                  <w:vAlign w:val="center"/>
                </w:tcPr>
                <w:p w14:paraId="1C3E1AB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项目运行后每年至少委托有资质的单位进行一次辐射环境监测，建立监测技术档案</w:t>
                  </w:r>
                </w:p>
              </w:tc>
            </w:tr>
            <w:tr w14:paraId="2B483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146F5DCA">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13</w:t>
                  </w:r>
                </w:p>
              </w:tc>
              <w:tc>
                <w:tcPr>
                  <w:tcW w:w="964" w:type="dxa"/>
                  <w:noWrap w:val="0"/>
                  <w:vAlign w:val="center"/>
                </w:tcPr>
                <w:p w14:paraId="77D572C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辐射防护安全管理制度</w:t>
                  </w:r>
                </w:p>
              </w:tc>
              <w:tc>
                <w:tcPr>
                  <w:tcW w:w="2797" w:type="dxa"/>
                  <w:noWrap w:val="0"/>
                  <w:vAlign w:val="center"/>
                </w:tcPr>
                <w:p w14:paraId="2789E19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有健全的操作规程、岗位职责、辐射防护和安全保卫制度、设备检修维护制度、射线装置使用登记制度、人员培训计划、监测方案等。</w:t>
                  </w:r>
                </w:p>
              </w:tc>
              <w:tc>
                <w:tcPr>
                  <w:tcW w:w="2753" w:type="dxa"/>
                  <w:noWrap w:val="0"/>
                  <w:vAlign w:val="center"/>
                </w:tcPr>
                <w:p w14:paraId="06E0184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目前医院已制定：</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辐射工作人员岗位职责》《</w:t>
                  </w:r>
                  <w:r>
                    <w:rPr>
                      <w:rFonts w:hint="default" w:ascii="Times New Roman" w:hAnsi="Times New Roman" w:eastAsia="宋体" w:cs="Times New Roman"/>
                      <w:color w:val="auto"/>
                      <w:spacing w:val="0"/>
                      <w:position w:val="0"/>
                      <w:lang w:eastAsia="zh-CN"/>
                    </w:rPr>
                    <w:t>辐射防护与安全保卫制度》《</w:t>
                  </w:r>
                  <w:r>
                    <w:rPr>
                      <w:rFonts w:hint="default" w:ascii="Times New Roman" w:hAnsi="Times New Roman" w:eastAsia="宋体" w:cs="Times New Roman"/>
                      <w:color w:val="auto"/>
                      <w:spacing w:val="0"/>
                      <w:position w:val="0"/>
                      <w:lang w:val="en-US" w:eastAsia="zh-CN"/>
                    </w:rPr>
                    <w:t>辐射装置检修维护制度》《</w:t>
                  </w:r>
                  <w:r>
                    <w:rPr>
                      <w:rFonts w:hint="default" w:ascii="Times New Roman" w:hAnsi="Times New Roman" w:eastAsia="宋体" w:cs="Times New Roman"/>
                      <w:color w:val="auto"/>
                      <w:spacing w:val="0"/>
                      <w:position w:val="0"/>
                      <w:lang w:eastAsia="zh-CN"/>
                    </w:rPr>
                    <w:t>辐射工作人员培训制度》《辐射工作场所监测制度、方案》《辐射工作人员健康及个人剂量管理制度》《质量保证大纲和质量控制计划》《DSA射线装置操作规程》《</w:t>
                  </w:r>
                  <w:r>
                    <w:rPr>
                      <w:rFonts w:hint="default" w:ascii="Times New Roman" w:hAnsi="Times New Roman" w:eastAsia="宋体" w:cs="Times New Roman"/>
                      <w:color w:val="auto"/>
                      <w:spacing w:val="0"/>
                      <w:position w:val="0"/>
                      <w:lang w:val="en-US" w:eastAsia="zh-CN"/>
                    </w:rPr>
                    <w:t>射线装置管理制度》《</w:t>
                  </w:r>
                  <w:r>
                    <w:rPr>
                      <w:rFonts w:hint="default" w:ascii="Times New Roman" w:hAnsi="Times New Roman" w:eastAsia="宋体" w:cs="Times New Roman"/>
                      <w:color w:val="auto"/>
                      <w:spacing w:val="0"/>
                      <w:position w:val="0"/>
                      <w:lang w:eastAsia="zh-CN"/>
                    </w:rPr>
                    <w:t>受检者防护管理制度》《辐射事故应急预案》</w:t>
                  </w:r>
                  <w:r>
                    <w:rPr>
                      <w:rFonts w:hint="default" w:ascii="Times New Roman" w:hAnsi="Times New Roman" w:eastAsia="宋体" w:cs="Times New Roman"/>
                      <w:color w:val="auto"/>
                      <w:spacing w:val="0"/>
                      <w:position w:val="0"/>
                    </w:rPr>
                    <w:t>等规章制度。</w:t>
                  </w:r>
                </w:p>
              </w:tc>
              <w:tc>
                <w:tcPr>
                  <w:tcW w:w="2153" w:type="dxa"/>
                  <w:noWrap w:val="0"/>
                  <w:vAlign w:val="center"/>
                </w:tcPr>
                <w:p w14:paraId="002877B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医院应根据实际运行情况进一步完善各项规章制度，并落实专人负责。从事放射性诊疗的工作人员必须严格按照制定的规章制度和应急处理措施进行放射诊疗工作，所有制度应张贴上墙。</w:t>
                  </w:r>
                </w:p>
              </w:tc>
            </w:tr>
            <w:tr w14:paraId="09C15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2A3E0161">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14</w:t>
                  </w:r>
                </w:p>
              </w:tc>
              <w:tc>
                <w:tcPr>
                  <w:tcW w:w="964" w:type="dxa"/>
                  <w:noWrap w:val="0"/>
                  <w:vAlign w:val="center"/>
                </w:tcPr>
                <w:p w14:paraId="1BDCC79F">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废物处理方案</w:t>
                  </w:r>
                </w:p>
              </w:tc>
              <w:tc>
                <w:tcPr>
                  <w:tcW w:w="2797" w:type="dxa"/>
                  <w:noWrap w:val="0"/>
                  <w:vAlign w:val="center"/>
                </w:tcPr>
                <w:p w14:paraId="0C102DAD">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应具有确保项目产生固体废物、废气达标排放的处理能力或者可行的处理方案。</w:t>
                  </w:r>
                </w:p>
              </w:tc>
              <w:tc>
                <w:tcPr>
                  <w:tcW w:w="2753" w:type="dxa"/>
                  <w:noWrap w:val="0"/>
                  <w:vAlign w:val="center"/>
                </w:tcPr>
                <w:p w14:paraId="25A2B64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射线装置报废后统一制定方案回收，对项目运用过程中产生的废气采用</w:t>
                  </w:r>
                  <w:r>
                    <w:rPr>
                      <w:rFonts w:hint="default" w:ascii="Times New Roman" w:hAnsi="Times New Roman" w:eastAsia="宋体" w:cs="Times New Roman"/>
                      <w:color w:val="auto"/>
                      <w:spacing w:val="0"/>
                      <w:position w:val="0"/>
                      <w:lang w:val="en-US" w:eastAsia="zh-CN"/>
                    </w:rPr>
                    <w:t>净化空调</w:t>
                  </w:r>
                  <w:r>
                    <w:rPr>
                      <w:rFonts w:hint="default" w:ascii="Times New Roman" w:hAnsi="Times New Roman" w:eastAsia="宋体" w:cs="Times New Roman"/>
                      <w:color w:val="auto"/>
                      <w:spacing w:val="0"/>
                      <w:position w:val="0"/>
                    </w:rPr>
                    <w:t>换气。</w:t>
                  </w:r>
                </w:p>
              </w:tc>
              <w:tc>
                <w:tcPr>
                  <w:tcW w:w="2153" w:type="dxa"/>
                  <w:noWrap w:val="0"/>
                  <w:vAlign w:val="center"/>
                </w:tcPr>
                <w:p w14:paraId="7926C1F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医疗废物和医疗废水应与普通固废和生活污水分开收集或处理。</w:t>
                  </w:r>
                </w:p>
              </w:tc>
            </w:tr>
            <w:tr w14:paraId="4A1CD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11F05D3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15</w:t>
                  </w:r>
                </w:p>
              </w:tc>
              <w:tc>
                <w:tcPr>
                  <w:tcW w:w="964" w:type="dxa"/>
                  <w:noWrap w:val="0"/>
                  <w:vAlign w:val="center"/>
                </w:tcPr>
                <w:p w14:paraId="2A73526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辐射事故应急预案</w:t>
                  </w:r>
                </w:p>
              </w:tc>
              <w:tc>
                <w:tcPr>
                  <w:tcW w:w="2797" w:type="dxa"/>
                  <w:noWrap w:val="0"/>
                  <w:vAlign w:val="center"/>
                </w:tcPr>
                <w:p w14:paraId="14C96948">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有完善的辐射事故应急措施。</w:t>
                  </w:r>
                </w:p>
              </w:tc>
              <w:tc>
                <w:tcPr>
                  <w:tcW w:w="2753" w:type="dxa"/>
                  <w:noWrap w:val="0"/>
                  <w:vAlign w:val="center"/>
                </w:tcPr>
                <w:p w14:paraId="3A108005">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医院制定了</w:t>
                  </w:r>
                  <w:r>
                    <w:rPr>
                      <w:rFonts w:hint="default" w:ascii="Times New Roman" w:hAnsi="Times New Roman" w:eastAsia="宋体" w:cs="Times New Roman"/>
                      <w:color w:val="auto"/>
                      <w:spacing w:val="0"/>
                      <w:position w:val="0"/>
                      <w:lang w:eastAsia="zh-CN"/>
                    </w:rPr>
                    <w:t>《辐射事故应急预案》，</w:t>
                  </w:r>
                  <w:r>
                    <w:rPr>
                      <w:rFonts w:hint="default" w:ascii="Times New Roman" w:hAnsi="Times New Roman" w:eastAsia="宋体" w:cs="Times New Roman"/>
                      <w:color w:val="auto"/>
                      <w:spacing w:val="0"/>
                      <w:position w:val="0"/>
                    </w:rPr>
                    <w:t>预案中主要包括辐射事故处置程序、预防事故措施、应急响应工作流程、应急联络、事故报告、善后处理等，内容较全，措施得当，便于操作，在应对辐射事故和突发性事件时基本可行。</w:t>
                  </w:r>
                </w:p>
              </w:tc>
              <w:tc>
                <w:tcPr>
                  <w:tcW w:w="2153" w:type="dxa"/>
                  <w:noWrap w:val="0"/>
                  <w:vAlign w:val="center"/>
                </w:tcPr>
                <w:p w14:paraId="0ED52110">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医院应做好</w:t>
                  </w:r>
                  <w:r>
                    <w:rPr>
                      <w:rFonts w:hint="default" w:ascii="Times New Roman" w:hAnsi="Times New Roman" w:eastAsia="宋体" w:cs="Times New Roman"/>
                      <w:color w:val="auto"/>
                      <w:spacing w:val="0"/>
                      <w:position w:val="0"/>
                      <w:lang w:eastAsia="zh-CN"/>
                    </w:rPr>
                    <w:t>应急</w:t>
                  </w:r>
                  <w:r>
                    <w:rPr>
                      <w:rFonts w:hint="default" w:ascii="Times New Roman" w:hAnsi="Times New Roman" w:eastAsia="宋体" w:cs="Times New Roman"/>
                      <w:color w:val="auto"/>
                      <w:spacing w:val="0"/>
                      <w:position w:val="0"/>
                    </w:rPr>
                    <w:t>救助的资金、物资准备、加强应急人员的组织培训等，将事故发生的概率和事故危害控制到最低程度。</w:t>
                  </w:r>
                </w:p>
              </w:tc>
            </w:tr>
            <w:tr w14:paraId="034EA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53" w:type="dxa"/>
                  <w:noWrap w:val="0"/>
                  <w:vAlign w:val="center"/>
                </w:tcPr>
                <w:p w14:paraId="39101296">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16</w:t>
                  </w:r>
                </w:p>
              </w:tc>
              <w:tc>
                <w:tcPr>
                  <w:tcW w:w="964" w:type="dxa"/>
                  <w:noWrap w:val="0"/>
                  <w:vAlign w:val="center"/>
                </w:tcPr>
                <w:p w14:paraId="6DA2A10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质量保证</w:t>
                  </w:r>
                </w:p>
              </w:tc>
              <w:tc>
                <w:tcPr>
                  <w:tcW w:w="2797" w:type="dxa"/>
                  <w:noWrap w:val="0"/>
                  <w:vAlign w:val="center"/>
                </w:tcPr>
                <w:p w14:paraId="1C9D0D82">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使用放射性同位素和射线装置进行放射诊疗的医疗卫生机构，应当依据国务院卫生主管部门有关规定和国家标准，制定与本单位从事的诊疗项目相适应的质量保证方案。</w:t>
                  </w:r>
                </w:p>
              </w:tc>
              <w:tc>
                <w:tcPr>
                  <w:tcW w:w="2753" w:type="dxa"/>
                  <w:noWrap w:val="0"/>
                  <w:vAlign w:val="center"/>
                </w:tcPr>
                <w:p w14:paraId="0A09FE74">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医院已制定了</w:t>
                  </w:r>
                  <w:r>
                    <w:rPr>
                      <w:rFonts w:hint="default" w:ascii="Times New Roman" w:hAnsi="Times New Roman" w:eastAsia="宋体" w:cs="Times New Roman"/>
                      <w:color w:val="auto"/>
                      <w:spacing w:val="0"/>
                      <w:position w:val="0"/>
                      <w:lang w:eastAsia="zh-CN"/>
                    </w:rPr>
                    <w:t>《质量保证大纲和质量控制计划》</w:t>
                  </w:r>
                  <w:r>
                    <w:rPr>
                      <w:rFonts w:hint="default" w:ascii="Times New Roman" w:hAnsi="Times New Roman" w:eastAsia="宋体" w:cs="Times New Roman"/>
                      <w:color w:val="auto"/>
                      <w:spacing w:val="0"/>
                      <w:position w:val="0"/>
                    </w:rPr>
                    <w:t>。</w:t>
                  </w:r>
                </w:p>
              </w:tc>
              <w:tc>
                <w:tcPr>
                  <w:tcW w:w="2153" w:type="dxa"/>
                  <w:noWrap w:val="0"/>
                  <w:vAlign w:val="center"/>
                </w:tcPr>
                <w:p w14:paraId="6A119D2E">
                  <w:pPr>
                    <w:pStyle w:val="8"/>
                    <w:bidi w:val="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医院应遵守质量保证监测规范，按照医疗照射正当化和辐射防护最优化的原则，避免一切不必要的照射，并事先告知患者和受检者辐射对健康的潜在影响。</w:t>
                  </w:r>
                </w:p>
              </w:tc>
            </w:tr>
          </w:tbl>
          <w:p w14:paraId="5818B39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通过对照国家有关要求对本项目从事辐射活动能力的逐项分析，本项目DSA介入室屏蔽防护设计满足辐射防护要求，各种辐射防护措施设计较齐全。</w:t>
            </w: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在落实以上各项辐射安全和防护措施以及辐射安全管理措施后，具备使用本次评价的Ⅱ类射线装置DSA的综合能力。</w:t>
            </w:r>
          </w:p>
        </w:tc>
      </w:tr>
    </w:tbl>
    <w:p w14:paraId="31328D62">
      <w:pP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br w:type="page"/>
      </w:r>
    </w:p>
    <w:p w14:paraId="0BF1084C">
      <w:pPr>
        <w:pStyle w:val="2"/>
        <w:rPr>
          <w:rFonts w:hint="default" w:ascii="Times New Roman" w:hAnsi="Times New Roman" w:eastAsia="宋体" w:cs="Times New Roman"/>
          <w:color w:val="auto"/>
          <w:spacing w:val="0"/>
          <w:position w:val="0"/>
        </w:rPr>
      </w:pPr>
      <w:bookmarkStart w:id="63" w:name="_Toc15503"/>
      <w:r>
        <w:rPr>
          <w:rFonts w:hint="default" w:ascii="Times New Roman" w:hAnsi="Times New Roman" w:eastAsia="宋体" w:cs="Times New Roman"/>
          <w:color w:val="auto"/>
          <w:spacing w:val="0"/>
          <w:position w:val="0"/>
          <w:highlight w:val="none"/>
        </w:rPr>
        <w:t>表13结论与建议</w:t>
      </w:r>
      <w:bookmarkEnd w:id="63"/>
    </w:p>
    <w:tbl>
      <w:tblPr>
        <w:tblStyle w:val="20"/>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9"/>
      </w:tblGrid>
      <w:tr w14:paraId="1E31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9" w:type="dxa"/>
            <w:noWrap w:val="0"/>
            <w:vAlign w:val="top"/>
          </w:tcPr>
          <w:p w14:paraId="797D81F8">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rPr>
            </w:pPr>
            <w:r>
              <w:rPr>
                <w:rFonts w:hint="default" w:ascii="Times New Roman" w:hAnsi="Times New Roman" w:eastAsia="宋体" w:cs="Times New Roman"/>
                <w:b/>
                <w:bCs/>
                <w:color w:val="auto"/>
                <w:spacing w:val="0"/>
                <w:position w:val="0"/>
                <w:sz w:val="28"/>
                <w:szCs w:val="28"/>
              </w:rPr>
              <w:t>13.1结论</w:t>
            </w:r>
          </w:p>
          <w:p w14:paraId="34A929F7">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highlight w:val="none"/>
              </w:rPr>
            </w:pPr>
            <w:r>
              <w:rPr>
                <w:rFonts w:hint="default" w:ascii="Times New Roman" w:hAnsi="Times New Roman" w:eastAsia="宋体" w:cs="Times New Roman"/>
                <w:b/>
                <w:bCs/>
                <w:color w:val="auto"/>
                <w:spacing w:val="0"/>
                <w:position w:val="0"/>
                <w:highlight w:val="none"/>
                <w:lang w:eastAsia="zh-CN"/>
              </w:rPr>
              <w:t>1.</w:t>
            </w:r>
            <w:r>
              <w:rPr>
                <w:rFonts w:hint="default" w:ascii="Times New Roman" w:hAnsi="Times New Roman" w:eastAsia="宋体" w:cs="Times New Roman"/>
                <w:b/>
                <w:bCs/>
                <w:color w:val="auto"/>
                <w:spacing w:val="0"/>
                <w:position w:val="0"/>
                <w:highlight w:val="none"/>
              </w:rPr>
              <w:t>项目概况</w:t>
            </w:r>
          </w:p>
          <w:p w14:paraId="47B1D44D">
            <w:pPr>
              <w:pStyle w:val="19"/>
              <w:keepNext w:val="0"/>
              <w:keepLines w:val="0"/>
              <w:suppressLineNumbers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highlight w:val="none"/>
                <w:lang w:val="en-US" w:eastAsia="zh-CN"/>
              </w:rPr>
              <w:t>曲靖市第二人民医院拟将住院楼5楼原第14号手术室和第15号手术室改造为DSA介入室和DSA辅助用房，DSA介入室配置使用1台西门子ARTIS pheno Master型数字减影血管造影系统，设备额定管电压为125kV，额定管电流为1000mA，用于肝胆科、介入科、心内科开展诊疗</w:t>
            </w:r>
            <w:r>
              <w:rPr>
                <w:rFonts w:hint="default" w:ascii="Times New Roman" w:hAnsi="Times New Roman" w:eastAsia="宋体" w:cs="Times New Roman"/>
                <w:color w:val="auto"/>
                <w:spacing w:val="0"/>
                <w:position w:val="0"/>
                <w:highlight w:val="none"/>
              </w:rPr>
              <w:t>，本项目DSA属于Ⅱ类射线装置。</w:t>
            </w:r>
            <w:r>
              <w:rPr>
                <w:rFonts w:hint="default" w:ascii="Times New Roman" w:hAnsi="Times New Roman" w:eastAsia="宋体" w:cs="Times New Roman"/>
                <w:color w:val="auto"/>
                <w:spacing w:val="0"/>
                <w:position w:val="0"/>
              </w:rPr>
              <w:t>DSA</w:t>
            </w:r>
            <w:r>
              <w:rPr>
                <w:rFonts w:hint="default" w:ascii="Times New Roman" w:hAnsi="Times New Roman" w:eastAsia="宋体" w:cs="Times New Roman"/>
                <w:color w:val="auto"/>
                <w:spacing w:val="0"/>
                <w:position w:val="0"/>
                <w:lang w:val="en-US" w:eastAsia="zh-CN"/>
              </w:rPr>
              <w:t>介入室</w:t>
            </w:r>
            <w:r>
              <w:rPr>
                <w:rFonts w:hint="default" w:ascii="Times New Roman" w:hAnsi="Times New Roman" w:eastAsia="宋体" w:cs="Times New Roman"/>
                <w:color w:val="auto"/>
                <w:spacing w:val="0"/>
                <w:position w:val="0"/>
              </w:rPr>
              <w:t>的净尺寸为</w:t>
            </w:r>
            <w:r>
              <w:rPr>
                <w:rFonts w:hint="default" w:ascii="Times New Roman" w:hAnsi="Times New Roman" w:eastAsia="宋体" w:cs="Times New Roman"/>
                <w:color w:val="auto"/>
                <w:spacing w:val="0"/>
                <w:position w:val="0"/>
                <w:sz w:val="24"/>
                <w:szCs w:val="24"/>
                <w:highlight w:val="none"/>
                <w:lang w:val="en-US" w:eastAsia="zh-CN"/>
              </w:rPr>
              <w:t>北面长约8m，南面长约1.5m+0.55m+2.1m+1.15m+</w:t>
            </w:r>
            <w:r>
              <w:rPr>
                <w:rFonts w:hint="eastAsia" w:cs="Times New Roman"/>
                <w:color w:val="auto"/>
                <w:spacing w:val="0"/>
                <w:position w:val="0"/>
                <w:sz w:val="24"/>
                <w:szCs w:val="24"/>
                <w:highlight w:val="none"/>
                <w:lang w:val="en-US" w:eastAsia="zh-CN"/>
              </w:rPr>
              <w:t>4.39m（合计9.69m）</w:t>
            </w:r>
            <w:r>
              <w:rPr>
                <w:rFonts w:hint="default" w:ascii="Times New Roman" w:hAnsi="Times New Roman" w:eastAsia="宋体" w:cs="Times New Roman"/>
                <w:color w:val="auto"/>
                <w:spacing w:val="0"/>
                <w:position w:val="0"/>
                <w:sz w:val="24"/>
                <w:szCs w:val="24"/>
                <w:highlight w:val="none"/>
                <w:lang w:val="en-US" w:eastAsia="zh-CN"/>
              </w:rPr>
              <w:t>，西面长约6m，东面长约7.15m，机房净空高度H高2.8m，有效面积约为48.21m</w:t>
            </w:r>
            <w:r>
              <w:rPr>
                <w:rFonts w:hint="default" w:ascii="Times New Roman" w:hAnsi="Times New Roman" w:eastAsia="宋体" w:cs="Times New Roman"/>
                <w:color w:val="auto"/>
                <w:spacing w:val="0"/>
                <w:position w:val="0"/>
                <w:sz w:val="24"/>
                <w:szCs w:val="24"/>
                <w:highlight w:val="none"/>
                <w:vertAlign w:val="superscript"/>
                <w:lang w:val="en-US" w:eastAsia="zh-CN"/>
              </w:rPr>
              <w:t>2</w:t>
            </w:r>
            <w:r>
              <w:rPr>
                <w:rFonts w:hint="default" w:ascii="Times New Roman" w:hAnsi="Times New Roman" w:eastAsia="宋体" w:cs="Times New Roman"/>
                <w:color w:val="auto"/>
                <w:spacing w:val="0"/>
                <w:position w:val="0"/>
                <w:sz w:val="24"/>
                <w:szCs w:val="24"/>
                <w:highlight w:val="none"/>
                <w:lang w:val="en-US" w:eastAsia="zh-CN"/>
              </w:rPr>
              <w:t>，净空体积为135m</w:t>
            </w:r>
            <w:r>
              <w:rPr>
                <w:rFonts w:hint="default" w:ascii="Times New Roman" w:hAnsi="Times New Roman" w:eastAsia="宋体" w:cs="Times New Roman"/>
                <w:color w:val="auto"/>
                <w:spacing w:val="0"/>
                <w:position w:val="0"/>
                <w:sz w:val="24"/>
                <w:szCs w:val="24"/>
                <w:highlight w:val="none"/>
                <w:vertAlign w:val="superscript"/>
                <w:lang w:val="en-US" w:eastAsia="zh-CN"/>
              </w:rPr>
              <w:t>3</w:t>
            </w:r>
            <w:r>
              <w:rPr>
                <w:rFonts w:hint="default" w:ascii="Times New Roman" w:hAnsi="Times New Roman" w:eastAsia="宋体" w:cs="Times New Roman"/>
                <w:color w:val="auto"/>
                <w:spacing w:val="0"/>
                <w:position w:val="0"/>
                <w:highlight w:val="none"/>
                <w:vertAlign w:val="baseline"/>
                <w:lang w:val="en-US" w:eastAsia="zh-CN"/>
              </w:rPr>
              <w:t>。</w:t>
            </w:r>
            <w:r>
              <w:rPr>
                <w:rFonts w:hint="default" w:ascii="Times New Roman" w:hAnsi="Times New Roman" w:eastAsia="宋体" w:cs="Times New Roman"/>
                <w:color w:val="auto"/>
                <w:spacing w:val="0"/>
                <w:position w:val="0"/>
                <w:lang w:val="en-US" w:eastAsia="zh-CN"/>
              </w:rPr>
              <w:t>本</w:t>
            </w:r>
            <w:r>
              <w:rPr>
                <w:rFonts w:hint="default" w:ascii="Times New Roman" w:hAnsi="Times New Roman" w:eastAsia="宋体" w:cs="Times New Roman"/>
                <w:color w:val="auto"/>
                <w:spacing w:val="0"/>
                <w:position w:val="0"/>
              </w:rPr>
              <w:t>项目总投资</w:t>
            </w:r>
            <w:r>
              <w:rPr>
                <w:rFonts w:hint="default" w:ascii="Times New Roman" w:hAnsi="Times New Roman" w:eastAsia="宋体" w:cs="Times New Roman"/>
                <w:color w:val="auto"/>
                <w:spacing w:val="0"/>
                <w:position w:val="0"/>
                <w:lang w:val="en-US" w:eastAsia="zh-CN"/>
              </w:rPr>
              <w:t>1237.8</w:t>
            </w:r>
            <w:r>
              <w:rPr>
                <w:rFonts w:hint="default" w:ascii="Times New Roman" w:hAnsi="Times New Roman" w:eastAsia="宋体" w:cs="Times New Roman"/>
                <w:color w:val="auto"/>
                <w:spacing w:val="0"/>
                <w:position w:val="0"/>
              </w:rPr>
              <w:t>万元，其中环保投资</w:t>
            </w:r>
            <w:r>
              <w:rPr>
                <w:rFonts w:hint="default" w:ascii="Times New Roman" w:hAnsi="Times New Roman" w:eastAsia="宋体" w:cs="Times New Roman"/>
                <w:color w:val="auto"/>
                <w:spacing w:val="0"/>
                <w:position w:val="0"/>
                <w:lang w:val="en-US" w:eastAsia="zh-CN"/>
              </w:rPr>
              <w:t>73.2万</w:t>
            </w:r>
            <w:r>
              <w:rPr>
                <w:rFonts w:hint="default" w:ascii="Times New Roman" w:hAnsi="Times New Roman" w:eastAsia="宋体" w:cs="Times New Roman"/>
                <w:color w:val="auto"/>
                <w:spacing w:val="0"/>
                <w:position w:val="0"/>
              </w:rPr>
              <w:t>元，占项目总投资的</w:t>
            </w:r>
            <w:r>
              <w:rPr>
                <w:rFonts w:hint="default" w:ascii="Times New Roman" w:hAnsi="Times New Roman" w:eastAsia="宋体" w:cs="Times New Roman"/>
                <w:color w:val="auto"/>
                <w:spacing w:val="0"/>
                <w:position w:val="0"/>
                <w:lang w:val="en-US" w:eastAsia="zh-CN"/>
              </w:rPr>
              <w:t>5.91%</w:t>
            </w:r>
            <w:r>
              <w:rPr>
                <w:rFonts w:hint="default" w:ascii="Times New Roman" w:hAnsi="Times New Roman" w:eastAsia="宋体" w:cs="Times New Roman"/>
                <w:color w:val="auto"/>
                <w:spacing w:val="0"/>
                <w:position w:val="0"/>
              </w:rPr>
              <w:t>。</w:t>
            </w:r>
          </w:p>
          <w:p w14:paraId="1DCE6000">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2.</w:t>
            </w:r>
            <w:r>
              <w:rPr>
                <w:rFonts w:hint="default" w:ascii="Times New Roman" w:hAnsi="Times New Roman" w:eastAsia="宋体" w:cs="Times New Roman"/>
                <w:b/>
                <w:bCs/>
                <w:color w:val="auto"/>
                <w:spacing w:val="0"/>
                <w:position w:val="0"/>
              </w:rPr>
              <w:t>产业政策、项目规划符合性评价</w:t>
            </w:r>
          </w:p>
          <w:p w14:paraId="2F65D56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本项目属于《产业结构调整指导目录（2024年本）》中第十三项</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医药</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中第4款：高端医疗器械创新发展：新型基因、蛋白和细胞诊断设备，新型医用诊断设备和试剂，高性能医学影像设备，高端放射治疗设备，急危重症生命支持设备，人工智能辅助医疗设备，移动与远程诊疗设备，高端康复辅助器具，高端植入介入产品，手术机器人等高端外科设备及耗材，生物医用材料、增材制造技术开发与应用。属于国家鼓励类产业，符合国家产业政策。</w:t>
            </w:r>
          </w:p>
          <w:p w14:paraId="0D379E4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本项目位于</w:t>
            </w:r>
            <w:r>
              <w:rPr>
                <w:rFonts w:hint="default" w:ascii="Times New Roman" w:hAnsi="Times New Roman" w:eastAsia="宋体" w:cs="Times New Roman"/>
                <w:color w:val="auto"/>
                <w:spacing w:val="0"/>
                <w:position w:val="0"/>
                <w:lang w:val="en-US" w:eastAsia="zh-CN"/>
              </w:rPr>
              <w:t>曲靖市第二人民医院住院楼5楼</w:t>
            </w:r>
            <w:r>
              <w:rPr>
                <w:rFonts w:hint="default" w:ascii="Times New Roman" w:hAnsi="Times New Roman" w:eastAsia="宋体" w:cs="Times New Roman"/>
                <w:color w:val="auto"/>
                <w:spacing w:val="0"/>
                <w:position w:val="0"/>
              </w:rPr>
              <w:t>，项目用地属于获得批准的</w:t>
            </w:r>
            <w:r>
              <w:rPr>
                <w:rFonts w:hint="default" w:ascii="Times New Roman" w:hAnsi="Times New Roman" w:eastAsia="宋体" w:cs="Times New Roman"/>
                <w:color w:val="auto"/>
                <w:spacing w:val="0"/>
                <w:position w:val="0"/>
                <w:lang w:val="en-US" w:eastAsia="zh-CN"/>
              </w:rPr>
              <w:t>曲靖市第二人民医院院区规划医疗用地</w:t>
            </w:r>
            <w:r>
              <w:rPr>
                <w:rFonts w:hint="default" w:ascii="Times New Roman" w:hAnsi="Times New Roman" w:eastAsia="宋体" w:cs="Times New Roman"/>
                <w:color w:val="auto"/>
                <w:spacing w:val="0"/>
                <w:position w:val="0"/>
              </w:rPr>
              <w:t>，不新增用地，</w:t>
            </w:r>
            <w:r>
              <w:rPr>
                <w:rFonts w:hint="default" w:ascii="Times New Roman" w:hAnsi="Times New Roman" w:eastAsia="宋体" w:cs="Times New Roman"/>
                <w:color w:val="auto"/>
                <w:spacing w:val="0"/>
                <w:position w:val="0"/>
                <w:lang w:val="en-US" w:eastAsia="zh-CN"/>
              </w:rPr>
              <w:t>项目范围不占用永久基本农田及生态保护红线，位于城镇开发边界范围内，因此项目符合曲靖市建设发展规划及土地利用总体规划</w:t>
            </w:r>
            <w:r>
              <w:rPr>
                <w:rFonts w:hint="default" w:ascii="Times New Roman" w:hAnsi="Times New Roman" w:eastAsia="宋体" w:cs="Times New Roman"/>
                <w:color w:val="auto"/>
                <w:spacing w:val="0"/>
                <w:position w:val="0"/>
              </w:rPr>
              <w:t>。</w:t>
            </w:r>
          </w:p>
          <w:p w14:paraId="4DC54D76">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3.</w:t>
            </w:r>
            <w:r>
              <w:rPr>
                <w:rFonts w:hint="default" w:ascii="Times New Roman" w:hAnsi="Times New Roman" w:eastAsia="宋体" w:cs="Times New Roman"/>
                <w:b/>
                <w:bCs/>
                <w:color w:val="auto"/>
                <w:spacing w:val="0"/>
                <w:position w:val="0"/>
              </w:rPr>
              <w:t>实践正当性分析</w:t>
            </w:r>
          </w:p>
          <w:p w14:paraId="63AA924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rPr>
              <w:t>本项目在运行期间将会产生电离辐射，虽然会</w:t>
            </w:r>
            <w:r>
              <w:rPr>
                <w:rFonts w:hint="default" w:ascii="Times New Roman" w:hAnsi="Times New Roman" w:eastAsia="宋体" w:cs="Times New Roman"/>
                <w:color w:val="auto"/>
                <w:spacing w:val="0"/>
                <w:position w:val="0"/>
                <w:lang w:eastAsia="zh-CN"/>
              </w:rPr>
              <w:t>提高</w:t>
            </w:r>
            <w:r>
              <w:rPr>
                <w:rFonts w:hint="default" w:ascii="Times New Roman" w:hAnsi="Times New Roman" w:eastAsia="宋体" w:cs="Times New Roman"/>
                <w:color w:val="auto"/>
                <w:spacing w:val="0"/>
                <w:position w:val="0"/>
              </w:rPr>
              <w:t>机房周围的电离辐射水平，但采取各种屏蔽措施和管理措施后</w:t>
            </w:r>
            <w:r>
              <w:rPr>
                <w:rFonts w:hint="default" w:ascii="Times New Roman" w:hAnsi="Times New Roman" w:eastAsia="宋体" w:cs="Times New Roman"/>
                <w:color w:val="auto"/>
                <w:spacing w:val="0"/>
                <w:position w:val="0"/>
                <w:lang w:eastAsia="zh-CN"/>
              </w:rPr>
              <w:t>可以</w:t>
            </w:r>
            <w:r>
              <w:rPr>
                <w:rFonts w:hint="default" w:ascii="Times New Roman" w:hAnsi="Times New Roman" w:eastAsia="宋体" w:cs="Times New Roman"/>
                <w:color w:val="auto"/>
                <w:spacing w:val="0"/>
                <w:position w:val="0"/>
              </w:rPr>
              <w:t>得到</w:t>
            </w:r>
            <w:r>
              <w:rPr>
                <w:rFonts w:hint="default" w:ascii="Times New Roman" w:hAnsi="Times New Roman" w:eastAsia="宋体" w:cs="Times New Roman"/>
                <w:color w:val="auto"/>
                <w:spacing w:val="0"/>
                <w:position w:val="0"/>
                <w:lang w:eastAsia="zh-CN"/>
              </w:rPr>
              <w:t>有效</w:t>
            </w:r>
            <w:r>
              <w:rPr>
                <w:rFonts w:hint="default" w:ascii="Times New Roman" w:hAnsi="Times New Roman" w:eastAsia="宋体" w:cs="Times New Roman"/>
                <w:color w:val="auto"/>
                <w:spacing w:val="0"/>
                <w:position w:val="0"/>
              </w:rPr>
              <w:t>控制。按照《电离辐射防护与辐射源安全基本标准》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中</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4.3辐射防护要求</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4.3.1实践的正当性4.3.1.1对于一项实践，只有在考虑了社会、经济和其他有关因素之后，其对受照个人或社会所带来的效益足以弥补其可能引起的辐射危害时，该实践性才是正当的。</w:t>
            </w:r>
            <w:r>
              <w:rPr>
                <w:rFonts w:hint="default" w:ascii="Times New Roman" w:hAnsi="Times New Roman" w:eastAsia="宋体" w:cs="Times New Roman"/>
                <w:color w:val="auto"/>
                <w:spacing w:val="0"/>
                <w:position w:val="0"/>
                <w:lang w:eastAsia="zh-CN"/>
              </w:rPr>
              <w:t>”</w:t>
            </w:r>
          </w:p>
          <w:p w14:paraId="3F9FC3C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拟设置的</w:t>
            </w:r>
            <w:r>
              <w:rPr>
                <w:rFonts w:hint="default" w:ascii="Times New Roman" w:hAnsi="Times New Roman" w:eastAsia="宋体" w:cs="Times New Roman"/>
                <w:color w:val="auto"/>
                <w:spacing w:val="0"/>
                <w:position w:val="0"/>
                <w:lang w:val="en-US" w:eastAsia="zh-CN"/>
              </w:rPr>
              <w:t>1</w:t>
            </w:r>
            <w:r>
              <w:rPr>
                <w:rFonts w:hint="default" w:ascii="Times New Roman" w:hAnsi="Times New Roman" w:eastAsia="宋体" w:cs="Times New Roman"/>
                <w:color w:val="auto"/>
                <w:spacing w:val="0"/>
                <w:position w:val="0"/>
              </w:rPr>
              <w:t>台DSA设备用于医学诊断和治疗，可提高医院的放射治疗水平，具有良好的社会效益和经济效益，DSA机房的辐射屏蔽防护设计、拟采取的防护设施、措施符合国家有关标准要求。预计本项目DSA设备运行过程中带来的辐射环境影响符合国家有关标准要求，因此本项目符合《电离辐射防护与辐射源安全基本标准》</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GB18871-2002</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辐射防护</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实践正当性</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的要求</w:t>
            </w:r>
            <w:r>
              <w:rPr>
                <w:rFonts w:hint="default" w:ascii="Times New Roman" w:hAnsi="Times New Roman" w:eastAsia="宋体" w:cs="Times New Roman"/>
                <w:color w:val="auto"/>
                <w:spacing w:val="0"/>
                <w:position w:val="0"/>
                <w:lang w:eastAsia="zh-CN"/>
              </w:rPr>
              <w:t>。</w:t>
            </w:r>
          </w:p>
          <w:p w14:paraId="6794CE6C">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4.</w:t>
            </w:r>
            <w:r>
              <w:rPr>
                <w:rFonts w:hint="default" w:ascii="Times New Roman" w:hAnsi="Times New Roman" w:eastAsia="宋体" w:cs="Times New Roman"/>
                <w:b/>
                <w:bCs/>
                <w:color w:val="auto"/>
                <w:spacing w:val="0"/>
                <w:position w:val="0"/>
              </w:rPr>
              <w:t>选址、布局合理性评价</w:t>
            </w:r>
          </w:p>
          <w:p w14:paraId="1DDCFDB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zh-CN"/>
              </w:rPr>
            </w:pPr>
            <w:r>
              <w:rPr>
                <w:rFonts w:hint="default" w:ascii="Times New Roman" w:hAnsi="Times New Roman" w:eastAsia="宋体" w:cs="Times New Roman"/>
                <w:color w:val="auto"/>
                <w:spacing w:val="0"/>
                <w:position w:val="0"/>
                <w:lang w:val="zh-CN"/>
              </w:rPr>
              <w:t>（</w:t>
            </w:r>
            <w:r>
              <w:rPr>
                <w:rFonts w:hint="default" w:ascii="Times New Roman" w:hAnsi="Times New Roman" w:eastAsia="宋体" w:cs="Times New Roman"/>
                <w:color w:val="auto"/>
                <w:spacing w:val="0"/>
                <w:position w:val="0"/>
              </w:rPr>
              <w:t>1</w:t>
            </w:r>
            <w:r>
              <w:rPr>
                <w:rFonts w:hint="default" w:ascii="Times New Roman" w:hAnsi="Times New Roman" w:eastAsia="宋体" w:cs="Times New Roman"/>
                <w:color w:val="auto"/>
                <w:spacing w:val="0"/>
                <w:position w:val="0"/>
                <w:lang w:val="zh-CN"/>
              </w:rPr>
              <w:t>）选址合理性</w:t>
            </w:r>
          </w:p>
          <w:p w14:paraId="1A03B8D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eastAsia="zh-CN"/>
              </w:rPr>
            </w:pPr>
            <w:r>
              <w:rPr>
                <w:rFonts w:hint="default" w:ascii="Times New Roman" w:hAnsi="Times New Roman" w:eastAsia="宋体" w:cs="Times New Roman"/>
                <w:color w:val="auto"/>
                <w:spacing w:val="0"/>
                <w:position w:val="0"/>
                <w:highlight w:val="none"/>
                <w:lang w:val="en-US" w:eastAsia="zh-CN"/>
              </w:rPr>
              <w:t>曲靖市第二人民医院</w:t>
            </w:r>
            <w:r>
              <w:rPr>
                <w:rFonts w:hint="default" w:ascii="Times New Roman" w:hAnsi="Times New Roman" w:eastAsia="宋体" w:cs="Times New Roman"/>
                <w:color w:val="auto"/>
                <w:spacing w:val="0"/>
                <w:position w:val="0"/>
                <w:highlight w:val="none"/>
              </w:rPr>
              <w:t>位于</w:t>
            </w:r>
            <w:r>
              <w:rPr>
                <w:rFonts w:hint="default" w:ascii="Times New Roman" w:hAnsi="Times New Roman" w:eastAsia="宋体" w:cs="Times New Roman"/>
                <w:color w:val="auto"/>
                <w:spacing w:val="0"/>
                <w:position w:val="0"/>
                <w:highlight w:val="none"/>
                <w:lang w:val="en-US" w:eastAsia="zh-CN"/>
              </w:rPr>
              <w:t>曲靖市麒麟区麒麟西路287号</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lang w:val="en-US" w:eastAsia="zh-CN"/>
              </w:rPr>
              <w:t>本项目50m范围之内医院及周围无自然保护区、风景名胜区等环境敏感区，且未紧邻产科、儿科等，本项目DSA机房进行了相应的辐射屏蔽设计，根据表11环境影响分析可知，经采取相应防护治理措施后，项目设备电离辐射对周围环境影响较小，选址合理。</w:t>
            </w:r>
          </w:p>
          <w:p w14:paraId="5F894D63">
            <w:pPr>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kern w:val="2"/>
                <w:position w:val="0"/>
                <w:sz w:val="24"/>
                <w:szCs w:val="24"/>
                <w:lang w:val="en-US" w:eastAsia="zh-CN" w:bidi="ar-SA"/>
              </w:rPr>
              <w:t>（2）</w:t>
            </w:r>
            <w:r>
              <w:rPr>
                <w:rFonts w:hint="default" w:ascii="Times New Roman" w:hAnsi="Times New Roman" w:eastAsia="宋体" w:cs="Times New Roman"/>
                <w:color w:val="auto"/>
                <w:spacing w:val="0"/>
                <w:position w:val="0"/>
                <w:highlight w:val="none"/>
                <w:lang w:val="en-US" w:eastAsia="zh-CN"/>
              </w:rPr>
              <w:t>平面布置和人员通道合理性分析</w:t>
            </w:r>
          </w:p>
          <w:p w14:paraId="578DA3CA">
            <w:pPr>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highlight w:val="none"/>
              </w:rPr>
              <w:t>DSA机房</w:t>
            </w:r>
            <w:r>
              <w:rPr>
                <w:rFonts w:hint="default" w:ascii="Times New Roman" w:hAnsi="Times New Roman" w:eastAsia="宋体" w:cs="Times New Roman"/>
                <w:color w:val="auto"/>
                <w:spacing w:val="0"/>
                <w:position w:val="0"/>
                <w:highlight w:val="none"/>
                <w:lang w:val="en-US" w:eastAsia="zh-CN"/>
              </w:rPr>
              <w:t>位于曲靖市第二人民医院住院楼5楼，</w:t>
            </w:r>
            <w:r>
              <w:rPr>
                <w:rFonts w:hint="default" w:ascii="Times New Roman" w:hAnsi="Times New Roman" w:eastAsia="宋体" w:cs="Times New Roman"/>
                <w:color w:val="auto"/>
                <w:spacing w:val="0"/>
                <w:position w:val="0"/>
              </w:rPr>
              <w:t>机房四邻及正上、下方区域不涉及新生儿及婴幼儿诊疗、妇产科检查等敏感科室。</w:t>
            </w:r>
          </w:p>
          <w:p w14:paraId="12800D9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w:t>
            </w:r>
            <w:r>
              <w:rPr>
                <w:rFonts w:hint="default" w:ascii="Times New Roman" w:hAnsi="Times New Roman" w:eastAsia="宋体" w:cs="Times New Roman"/>
                <w:color w:val="auto"/>
                <w:spacing w:val="0"/>
                <w:position w:val="0"/>
              </w:rPr>
              <w:t>项目人流物流遵循，医患分开、清污分开原则。</w:t>
            </w:r>
          </w:p>
          <w:p w14:paraId="13D29AF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医护人员通道：本项目DSA医务人员由三楼进入男更衣室或女更衣室分别更衣，做完术前清洗准备后由三楼医生通道进入五楼，后通过清洁通道进入控制室，减影手术医生在控制室内操作，透视手术则由介入手术医生由控制室铅门进入DSA介入室进行手术，出则原路返回。</w:t>
            </w:r>
          </w:p>
          <w:p w14:paraId="0A9B3F6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患者通道：患者通过五楼患者通道进入换车区等候，再进入DSA介入室进行手术，手术结束后离开介入室进入麻醉恢复区复苏，复苏后沿洁净通道离院。DSA介入室患者入口铅门大门由控制室内医生控制开关，避免人员误入。患者通道的宽度满足病人手推车辆的通行，便于行动不便的患者治疗。</w:t>
            </w:r>
          </w:p>
          <w:p w14:paraId="32E6217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污物通道：污物通过DSA手术室内的医废收集桶收集，当手术结束后由南侧污物通道运至污物打包间暂存，后从污梯由工作人员运至院内的医疗废物暂存间内委托曲靖银发危险废物集中处置中心有限公司处置</w:t>
            </w:r>
            <w:r>
              <w:rPr>
                <w:rFonts w:hint="default" w:ascii="Times New Roman" w:hAnsi="Times New Roman" w:eastAsia="宋体" w:cs="Times New Roman"/>
                <w:color w:val="auto"/>
                <w:spacing w:val="0"/>
                <w:position w:val="0"/>
              </w:rPr>
              <w:t>。</w:t>
            </w:r>
          </w:p>
          <w:p w14:paraId="555D300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区避开了人群较为集中的区域，所处位置相对独立，医护人员通道和病人通道独立设置、有利于病人流通且避免不同人员的交叉影响。同时，机房采取了有效屏蔽措施后对周围产生的环境影响是可以接受的，因此，项目平面布局合理。</w:t>
            </w:r>
          </w:p>
          <w:p w14:paraId="2FC7C810">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5.</w:t>
            </w:r>
            <w:r>
              <w:rPr>
                <w:rFonts w:hint="default" w:ascii="Times New Roman" w:hAnsi="Times New Roman" w:eastAsia="宋体" w:cs="Times New Roman"/>
                <w:b/>
                <w:bCs/>
                <w:color w:val="auto"/>
                <w:spacing w:val="0"/>
                <w:position w:val="0"/>
              </w:rPr>
              <w:t>环境质量与辐射现状评价</w:t>
            </w:r>
          </w:p>
          <w:p w14:paraId="27C4CAFC">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据表</w:t>
            </w:r>
            <w:r>
              <w:rPr>
                <w:rFonts w:hint="default" w:ascii="Times New Roman" w:hAnsi="Times New Roman" w:eastAsia="宋体" w:cs="Times New Roman"/>
                <w:color w:val="auto"/>
                <w:spacing w:val="0"/>
                <w:position w:val="0"/>
                <w:highlight w:val="none"/>
                <w:lang w:val="en-US" w:eastAsia="zh-CN"/>
              </w:rPr>
              <w:t>8</w:t>
            </w:r>
            <w:r>
              <w:rPr>
                <w:rFonts w:hint="default" w:ascii="Times New Roman" w:hAnsi="Times New Roman" w:eastAsia="宋体" w:cs="Times New Roman"/>
                <w:color w:val="auto"/>
                <w:spacing w:val="0"/>
                <w:position w:val="0"/>
                <w:highlight w:val="none"/>
              </w:rPr>
              <w:t>监测数据，拟新增Ⅱ类射线装置机房区域周围X-γ辐射剂量率测值在</w:t>
            </w:r>
            <w:r>
              <w:rPr>
                <w:rFonts w:hint="default" w:ascii="Times New Roman" w:hAnsi="Times New Roman" w:eastAsia="宋体" w:cs="Times New Roman"/>
                <w:color w:val="auto"/>
                <w:spacing w:val="0"/>
                <w:position w:val="0"/>
                <w:highlight w:val="none"/>
                <w:lang w:val="en-US" w:eastAsia="zh-CN"/>
              </w:rPr>
              <w:t>33</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val="en-US" w:eastAsia="zh-CN"/>
              </w:rPr>
              <w:t xml:space="preserve">50 </w:t>
            </w:r>
            <w:r>
              <w:rPr>
                <w:rFonts w:hint="default" w:ascii="Times New Roman" w:hAnsi="Times New Roman" w:eastAsia="宋体" w:cs="Times New Roman"/>
                <w:color w:val="auto"/>
                <w:spacing w:val="0"/>
                <w:position w:val="0"/>
                <w:highlight w:val="none"/>
              </w:rPr>
              <w:t>nGy/h之间，</w:t>
            </w:r>
            <w:r>
              <w:rPr>
                <w:rFonts w:hint="default" w:ascii="Times New Roman" w:hAnsi="Times New Roman" w:eastAsia="宋体" w:cs="Times New Roman"/>
                <w:color w:val="auto"/>
                <w:spacing w:val="0"/>
                <w:position w:val="0"/>
                <w:highlight w:val="none"/>
                <w:lang w:val="en-US" w:eastAsia="zh-CN"/>
              </w:rPr>
              <w:t>曲靖市第二人民医院</w:t>
            </w:r>
            <w:r>
              <w:rPr>
                <w:rFonts w:hint="default" w:ascii="Times New Roman" w:hAnsi="Times New Roman" w:eastAsia="宋体" w:cs="Times New Roman"/>
                <w:color w:val="auto"/>
                <w:spacing w:val="0"/>
                <w:position w:val="0"/>
                <w:highlight w:val="none"/>
              </w:rPr>
              <w:t>院内区域周围X-γ辐射剂量率测值在</w:t>
            </w:r>
            <w:r>
              <w:rPr>
                <w:rFonts w:hint="default" w:ascii="Times New Roman" w:hAnsi="Times New Roman" w:eastAsia="宋体" w:cs="Times New Roman"/>
                <w:color w:val="auto"/>
                <w:spacing w:val="0"/>
                <w:position w:val="0"/>
                <w:highlight w:val="none"/>
                <w:lang w:val="en-US" w:eastAsia="zh-CN"/>
              </w:rPr>
              <w:t>36</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val="en-US" w:eastAsia="zh-CN"/>
              </w:rPr>
              <w:t>42</w:t>
            </w:r>
            <w:r>
              <w:rPr>
                <w:rFonts w:hint="default" w:ascii="Times New Roman" w:hAnsi="Times New Roman" w:eastAsia="宋体" w:cs="Times New Roman"/>
                <w:color w:val="auto"/>
                <w:spacing w:val="0"/>
                <w:position w:val="0"/>
                <w:highlight w:val="none"/>
              </w:rPr>
              <w:t>nGy/h之间，处于医院所在区域正常辐射水平范围内。</w:t>
            </w:r>
          </w:p>
          <w:p w14:paraId="6710AD0E">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6.</w:t>
            </w:r>
            <w:r>
              <w:rPr>
                <w:rFonts w:hint="default" w:ascii="Times New Roman" w:hAnsi="Times New Roman" w:eastAsia="宋体" w:cs="Times New Roman"/>
                <w:b/>
                <w:bCs/>
                <w:color w:val="auto"/>
                <w:spacing w:val="0"/>
                <w:position w:val="0"/>
              </w:rPr>
              <w:t>辐射防护措施有效性评价</w:t>
            </w:r>
          </w:p>
          <w:p w14:paraId="3D4868B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本项目</w:t>
            </w:r>
            <w:r>
              <w:rPr>
                <w:rFonts w:hint="default" w:ascii="Times New Roman" w:hAnsi="Times New Roman" w:eastAsia="宋体" w:cs="Times New Roman"/>
                <w:color w:val="auto"/>
                <w:spacing w:val="0"/>
                <w:position w:val="0"/>
              </w:rPr>
              <w:t>DSA机房四周墙面、顶面及地面均经屏蔽防护处理，</w:t>
            </w:r>
            <w:r>
              <w:rPr>
                <w:rFonts w:hint="default" w:ascii="Times New Roman" w:hAnsi="Times New Roman" w:eastAsia="宋体" w:cs="Times New Roman"/>
                <w:color w:val="auto"/>
                <w:spacing w:val="0"/>
                <w:position w:val="0"/>
                <w:lang w:val="en-US" w:eastAsia="zh-CN"/>
              </w:rPr>
              <w:t>东墙、南墙、北墙：留有剪力墙部分：300mm钢筋混凝土剪力墙+涂刷20mm硫酸钡防护涂料进行屏蔽防护，折合铅当量：6.18mm，在无剪力墙空区采用轻钢龙骨骨架，内衬4mmpb防护铅板进行屏蔽防护，折合铅当量4mm</w:t>
            </w:r>
            <w:r>
              <w:rPr>
                <w:rFonts w:hint="eastAsia" w:cs="Times New Roman"/>
                <w:color w:val="auto"/>
                <w:spacing w:val="0"/>
                <w:position w:val="0"/>
                <w:lang w:val="en-US" w:eastAsia="zh-CN"/>
              </w:rPr>
              <w:t>，西墙：采用轻钢龙骨骨架，内衬4mmpb防护铅板进行屏蔽防护，铅当量约4mmPb</w:t>
            </w:r>
            <w:r>
              <w:rPr>
                <w:rFonts w:hint="default" w:ascii="Times New Roman" w:hAnsi="Times New Roman" w:eastAsia="宋体" w:cs="Times New Roman"/>
                <w:color w:val="auto"/>
                <w:spacing w:val="0"/>
                <w:position w:val="0"/>
                <w:lang w:val="en-US" w:eastAsia="zh-CN"/>
              </w:rPr>
              <w:t>。地面综合铅当量折算约5.16mm铅当量</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lang w:val="en-US" w:eastAsia="zh-CN"/>
              </w:rPr>
              <w:t>顶面综合铅当量折算约5.44mm铅当量</w:t>
            </w:r>
            <w:r>
              <w:rPr>
                <w:rFonts w:hint="default" w:ascii="Times New Roman" w:hAnsi="Times New Roman" w:eastAsia="宋体" w:cs="Times New Roman"/>
                <w:color w:val="auto"/>
                <w:spacing w:val="0"/>
                <w:position w:val="0"/>
                <w:sz w:val="24"/>
                <w:szCs w:val="24"/>
              </w:rPr>
              <w:t>，</w:t>
            </w:r>
            <w:r>
              <w:rPr>
                <w:rFonts w:hint="default" w:ascii="Times New Roman" w:hAnsi="Times New Roman" w:eastAsia="宋体" w:cs="Times New Roman"/>
                <w:color w:val="auto"/>
                <w:spacing w:val="0"/>
                <w:position w:val="0"/>
                <w:sz w:val="24"/>
                <w:szCs w:val="24"/>
                <w:lang w:val="en-US" w:eastAsia="zh-CN"/>
              </w:rPr>
              <w:t>铅门铅当量约4.0mmPb，观察窗铅玻璃铅当量约4.0mmPb，</w:t>
            </w:r>
            <w:r>
              <w:rPr>
                <w:rFonts w:hint="default" w:ascii="Times New Roman" w:hAnsi="Times New Roman" w:eastAsia="宋体" w:cs="Times New Roman"/>
                <w:color w:val="auto"/>
                <w:spacing w:val="0"/>
                <w:position w:val="0"/>
                <w:sz w:val="24"/>
                <w:szCs w:val="24"/>
              </w:rPr>
              <w:t>优于《放射诊断放射防护要求》（GBZ130-2020）中</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介入X射线设备机房，有用线束方向铅当量2mm，非有用线束方向铅当量2mm</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的要求</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lang w:val="en-US" w:eastAsia="zh-CN"/>
              </w:rPr>
              <w:t>本项目建成后的DSA介入室</w:t>
            </w:r>
            <w:r>
              <w:rPr>
                <w:rFonts w:hint="default" w:ascii="Times New Roman" w:hAnsi="Times New Roman" w:eastAsia="宋体" w:cs="Times New Roman"/>
                <w:color w:val="auto"/>
                <w:spacing w:val="0"/>
                <w:position w:val="0"/>
                <w:sz w:val="24"/>
                <w:szCs w:val="24"/>
                <w:highlight w:val="none"/>
                <w:lang w:val="en-US" w:eastAsia="zh-CN"/>
              </w:rPr>
              <w:t>北面长约8m，南面长约1.5m+0.55m+2.1m+1.15m+</w:t>
            </w:r>
            <w:r>
              <w:rPr>
                <w:rFonts w:hint="eastAsia" w:cs="Times New Roman"/>
                <w:color w:val="auto"/>
                <w:spacing w:val="0"/>
                <w:position w:val="0"/>
                <w:sz w:val="24"/>
                <w:szCs w:val="24"/>
                <w:highlight w:val="none"/>
                <w:lang w:val="en-US" w:eastAsia="zh-CN"/>
              </w:rPr>
              <w:t>4.39m（合计9.69m）</w:t>
            </w:r>
            <w:r>
              <w:rPr>
                <w:rFonts w:hint="default" w:ascii="Times New Roman" w:hAnsi="Times New Roman" w:eastAsia="宋体" w:cs="Times New Roman"/>
                <w:color w:val="auto"/>
                <w:spacing w:val="0"/>
                <w:position w:val="0"/>
                <w:sz w:val="24"/>
                <w:szCs w:val="24"/>
                <w:highlight w:val="none"/>
                <w:lang w:val="en-US" w:eastAsia="zh-CN"/>
              </w:rPr>
              <w:t>，西面长约6m，东面长约7.15m，有效面积约为48.21m</w:t>
            </w:r>
            <w:r>
              <w:rPr>
                <w:rFonts w:hint="default" w:ascii="Times New Roman" w:hAnsi="Times New Roman" w:eastAsia="宋体" w:cs="Times New Roman"/>
                <w:color w:val="auto"/>
                <w:spacing w:val="0"/>
                <w:position w:val="0"/>
                <w:sz w:val="24"/>
                <w:szCs w:val="24"/>
                <w:highlight w:val="none"/>
                <w:vertAlign w:val="superscript"/>
                <w:lang w:val="en-US" w:eastAsia="zh-CN"/>
              </w:rPr>
              <w:t>2</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能够满足《放射诊断放射防护要求》（GBZ130-2020）中</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最小单边长度应不小于3.5m、最小有效使用面积应不小于20m</w:t>
            </w:r>
            <w:r>
              <w:rPr>
                <w:rFonts w:hint="default" w:ascii="Times New Roman" w:hAnsi="Times New Roman" w:eastAsia="宋体" w:cs="Times New Roman"/>
                <w:color w:val="auto"/>
                <w:spacing w:val="0"/>
                <w:position w:val="0"/>
                <w:sz w:val="24"/>
                <w:szCs w:val="24"/>
                <w:vertAlign w:val="superscript"/>
              </w:rPr>
              <w:t>2</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的要求。</w:t>
            </w:r>
          </w:p>
          <w:p w14:paraId="52E795D2">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通过以上防护措施的综合使用，按照环评提出防护时间进行控制，可有效防止X射线产生的辐射影响，公众、职业人员所致剂量低于云南省生态环境厅规定的管理限值。</w:t>
            </w:r>
          </w:p>
          <w:p w14:paraId="0351CA4D">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7.</w:t>
            </w:r>
            <w:r>
              <w:rPr>
                <w:rFonts w:hint="default" w:ascii="Times New Roman" w:hAnsi="Times New Roman" w:eastAsia="宋体" w:cs="Times New Roman"/>
                <w:b/>
                <w:bCs/>
                <w:color w:val="auto"/>
                <w:spacing w:val="0"/>
                <w:position w:val="0"/>
              </w:rPr>
              <w:t>辐射安全措施评价</w:t>
            </w:r>
          </w:p>
          <w:p w14:paraId="45EA7C6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辐射安全防护措施：DSA介入室</w:t>
            </w:r>
            <w:r>
              <w:rPr>
                <w:rFonts w:hint="default" w:ascii="Times New Roman" w:hAnsi="Times New Roman" w:eastAsia="宋体" w:cs="Times New Roman"/>
                <w:color w:val="auto"/>
                <w:spacing w:val="0"/>
                <w:position w:val="0"/>
                <w:lang w:val="en-US" w:eastAsia="zh-CN"/>
              </w:rPr>
              <w:t>医护人员通道防护门、</w:t>
            </w:r>
            <w:r>
              <w:rPr>
                <w:rFonts w:hint="default" w:ascii="Times New Roman" w:hAnsi="Times New Roman" w:eastAsia="宋体" w:cs="Times New Roman"/>
                <w:color w:val="auto"/>
                <w:spacing w:val="0"/>
                <w:position w:val="0"/>
              </w:rPr>
              <w:t>患者通道防护门设计有工作状态指示灯，且工作状态指示灯与各自的防护门能有效联动；医生通道防护门及病人通道防护门外表面均设计有电离辐射警告标志及中文警示说明；医院为项目辐射工作人员配置多套</w:t>
            </w:r>
            <w:r>
              <w:rPr>
                <w:rFonts w:hint="default" w:ascii="Times New Roman" w:hAnsi="Times New Roman" w:eastAsia="宋体" w:cs="Times New Roman"/>
                <w:color w:val="auto"/>
                <w:spacing w:val="0"/>
                <w:position w:val="0"/>
                <w:lang w:val="en-US" w:eastAsia="zh-CN"/>
              </w:rPr>
              <w:t>铅防护围裙</w:t>
            </w:r>
            <w:r>
              <w:rPr>
                <w:rFonts w:hint="default" w:ascii="Times New Roman" w:hAnsi="Times New Roman" w:eastAsia="宋体" w:cs="Times New Roman"/>
                <w:color w:val="auto"/>
                <w:spacing w:val="0"/>
                <w:position w:val="0"/>
                <w:lang w:eastAsia="zh-CN"/>
              </w:rPr>
              <w:t>、铅橡胶帽子、介入防护手套</w:t>
            </w:r>
            <w:r>
              <w:rPr>
                <w:rFonts w:hint="default" w:ascii="Times New Roman" w:hAnsi="Times New Roman" w:eastAsia="宋体" w:cs="Times New Roman"/>
                <w:color w:val="auto"/>
                <w:spacing w:val="0"/>
                <w:position w:val="0"/>
              </w:rPr>
              <w:t>等个人防护用品；工作人员配置个人剂量计，专人佩戴，定期送检，建立个人剂量档案；配置X-γ辐射监测仪器及个人剂量报警仪；DSA设置紧急</w:t>
            </w:r>
            <w:r>
              <w:rPr>
                <w:rFonts w:hint="default" w:ascii="Times New Roman" w:hAnsi="Times New Roman" w:eastAsia="宋体" w:cs="Times New Roman"/>
                <w:color w:val="auto"/>
                <w:spacing w:val="0"/>
                <w:position w:val="0"/>
                <w:lang w:val="en-US" w:eastAsia="zh-CN"/>
              </w:rPr>
              <w:t>停止</w:t>
            </w:r>
            <w:r>
              <w:rPr>
                <w:rFonts w:hint="default" w:ascii="Times New Roman" w:hAnsi="Times New Roman" w:eastAsia="宋体" w:cs="Times New Roman"/>
                <w:color w:val="auto"/>
                <w:spacing w:val="0"/>
                <w:position w:val="0"/>
              </w:rPr>
              <w:t>开关、门灯</w:t>
            </w:r>
            <w:r>
              <w:rPr>
                <w:rFonts w:hint="default" w:ascii="Times New Roman" w:hAnsi="Times New Roman" w:eastAsia="宋体" w:cs="Times New Roman"/>
                <w:color w:val="auto"/>
                <w:spacing w:val="0"/>
                <w:position w:val="0"/>
                <w:lang w:eastAsia="zh-CN"/>
              </w:rPr>
              <w:t>联锁</w:t>
            </w:r>
            <w:r>
              <w:rPr>
                <w:rFonts w:hint="default" w:ascii="Times New Roman" w:hAnsi="Times New Roman" w:eastAsia="宋体" w:cs="Times New Roman"/>
                <w:color w:val="auto"/>
                <w:spacing w:val="0"/>
                <w:position w:val="0"/>
              </w:rPr>
              <w:t>装置、工作指示灯、声光报警装置和对讲系统。</w:t>
            </w:r>
          </w:p>
          <w:p w14:paraId="2EA0B60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辐射安全管理措施：医院成立了环境保护管理领导小组，制定了辐射事故应急管理制度及方案、辐射防护和安全保卫、监测方案、辐射工作人员个人剂量管理、辐射工作人员培训、DSA安全操作规程和设备维修等制度。</w:t>
            </w:r>
          </w:p>
          <w:p w14:paraId="0C0727A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医院DSA操作人员及辐射防护负责人应参加</w:t>
            </w:r>
            <w:r>
              <w:rPr>
                <w:rFonts w:hint="default" w:ascii="Times New Roman" w:hAnsi="Times New Roman" w:eastAsia="宋体" w:cs="Times New Roman"/>
                <w:color w:val="auto"/>
                <w:spacing w:val="0"/>
                <w:position w:val="0"/>
                <w:lang w:val="en-US" w:eastAsia="zh-CN"/>
              </w:rPr>
              <w:t>生态环境部门</w:t>
            </w:r>
            <w:r>
              <w:rPr>
                <w:rFonts w:hint="default" w:ascii="Times New Roman" w:hAnsi="Times New Roman" w:eastAsia="宋体" w:cs="Times New Roman"/>
                <w:color w:val="auto"/>
                <w:spacing w:val="0"/>
                <w:position w:val="0"/>
              </w:rPr>
              <w:t>组织的辐射安全培训并取得合格证，正确佩戴个人剂量计，定期送检；完善应急预案组织、经费落实和物资准备内容，并加强应急演练；项目操作规程、岗位职责和辐射应急预案等相关制度应张贴于辐射工作场所醒目处。医院应在监督区（控制室）和控制区（机房）范围设立明显标识，加强项目核技术利用场所周围辐射环境管理和监测工作，认真落实本次环评提出的监测计划。</w:t>
            </w:r>
          </w:p>
          <w:p w14:paraId="46FD9560">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8.</w:t>
            </w:r>
            <w:r>
              <w:rPr>
                <w:rFonts w:hint="default" w:ascii="Times New Roman" w:hAnsi="Times New Roman" w:eastAsia="宋体" w:cs="Times New Roman"/>
                <w:b/>
                <w:bCs/>
                <w:color w:val="auto"/>
                <w:spacing w:val="0"/>
                <w:position w:val="0"/>
              </w:rPr>
              <w:t>环境影响评价</w:t>
            </w:r>
          </w:p>
          <w:p w14:paraId="472CE33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（1）施工期环境影响评价</w:t>
            </w:r>
          </w:p>
          <w:p w14:paraId="1FDE395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施工时会产生一定的扬尘、噪声、施工废水、固体垃圾等环境问题，医院将采取一定的污染防治措施，且本项目施工期较短，施工量不大，对医院周围环境影响较小，施工期结束后，施工期环境影响将随之消失。</w:t>
            </w:r>
          </w:p>
          <w:p w14:paraId="0AD0181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（2）运行期环境影响评价</w:t>
            </w:r>
          </w:p>
          <w:p w14:paraId="2E66C2C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①辐射环境影响评价</w:t>
            </w:r>
          </w:p>
          <w:p w14:paraId="3BE71B0E">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sz w:val="24"/>
                <w:szCs w:val="24"/>
                <w:highlight w:val="none"/>
                <w:lang w:val="en-US" w:eastAsia="zh-CN"/>
              </w:rPr>
              <w:t>经过计算</w:t>
            </w:r>
            <w:r>
              <w:rPr>
                <w:rFonts w:hint="default" w:ascii="Times New Roman" w:hAnsi="Times New Roman" w:eastAsia="宋体" w:cs="Times New Roman"/>
                <w:color w:val="auto"/>
                <w:spacing w:val="0"/>
                <w:position w:val="0"/>
                <w:sz w:val="24"/>
                <w:szCs w:val="24"/>
                <w:highlight w:val="none"/>
                <w:lang w:val="en-US"/>
              </w:rPr>
              <w:t>，</w:t>
            </w:r>
            <w:r>
              <w:rPr>
                <w:rFonts w:hint="default" w:ascii="Times New Roman" w:hAnsi="Times New Roman" w:eastAsia="宋体" w:cs="Times New Roman"/>
                <w:color w:val="auto"/>
                <w:spacing w:val="0"/>
                <w:position w:val="0"/>
                <w:lang w:val="en-US" w:eastAsia="zh-CN"/>
              </w:rPr>
              <w:t>本项目所致肝胆科介入医生的年有效剂量最大估算值为2.633mSv/a，所致操作技师和护士的年有效剂量最大估算值为1.65E-04mSv/a，现有最大受照剂量叠加本项目受照剂量后，肝胆科介入医生所受到的个人剂量最大值为2.</w:t>
            </w:r>
            <w:r>
              <w:rPr>
                <w:rFonts w:hint="eastAsia" w:ascii="Times New Roman" w:hAnsi="Times New Roman" w:eastAsia="宋体" w:cs="Times New Roman"/>
                <w:color w:val="auto"/>
                <w:spacing w:val="0"/>
                <w:position w:val="0"/>
                <w:lang w:val="en-US" w:eastAsia="zh-CN"/>
              </w:rPr>
              <w:t>99</w:t>
            </w:r>
            <w:r>
              <w:rPr>
                <w:rFonts w:hint="default" w:ascii="Times New Roman" w:hAnsi="Times New Roman" w:eastAsia="宋体" w:cs="Times New Roman"/>
                <w:color w:val="auto"/>
                <w:spacing w:val="0"/>
                <w:position w:val="0"/>
                <w:lang w:val="en-US" w:eastAsia="zh-CN"/>
              </w:rPr>
              <w:t>mSv/a，操作技师和护士所受到的个人剂量最大值为0.357mSv/a。</w:t>
            </w:r>
          </w:p>
          <w:p w14:paraId="0382368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本项目所致介入科介入医生的年有效剂量最大估算值为2.077mSv/a，所致操作技师和护士的年有效剂量最大估算值为4.39E-04mSv/a，现有最大受照剂量叠加本项目受照剂量后，介入科介入医生所受到的个人剂量最大值为</w:t>
            </w:r>
            <w:r>
              <w:rPr>
                <w:rFonts w:hint="eastAsia" w:ascii="Times New Roman" w:hAnsi="Times New Roman" w:eastAsia="宋体" w:cs="Times New Roman"/>
                <w:color w:val="auto"/>
                <w:spacing w:val="0"/>
                <w:position w:val="0"/>
                <w:lang w:val="en-US" w:eastAsia="zh-CN"/>
              </w:rPr>
              <w:t>3.4</w:t>
            </w:r>
            <w:r>
              <w:rPr>
                <w:rFonts w:hint="default" w:ascii="Times New Roman" w:hAnsi="Times New Roman" w:eastAsia="宋体" w:cs="Times New Roman"/>
                <w:color w:val="auto"/>
                <w:spacing w:val="0"/>
                <w:position w:val="0"/>
                <w:lang w:val="en-US" w:eastAsia="zh-CN"/>
              </w:rPr>
              <w:t>77mSv/a，操作技师和护士所受到的个人剂量最大值为1.4mSv/a。</w:t>
            </w:r>
          </w:p>
          <w:p w14:paraId="745DD7A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pacing w:val="0"/>
                <w:kern w:val="0"/>
                <w:position w:val="0"/>
                <w:sz w:val="24"/>
                <w:szCs w:val="24"/>
                <w:lang w:val="en-US" w:eastAsia="zh-CN" w:bidi="ar"/>
              </w:rPr>
            </w:pPr>
            <w:r>
              <w:rPr>
                <w:rFonts w:hint="default" w:ascii="Times New Roman" w:hAnsi="Times New Roman" w:eastAsia="宋体" w:cs="Times New Roman"/>
                <w:color w:val="auto"/>
                <w:spacing w:val="0"/>
                <w:position w:val="0"/>
                <w:lang w:val="en-US" w:eastAsia="zh-CN"/>
              </w:rPr>
              <w:t>本项目所致心内科介入医生的年有效剂量最大估算值为</w:t>
            </w:r>
            <w:r>
              <w:rPr>
                <w:rFonts w:hint="default" w:ascii="Times New Roman" w:hAnsi="Times New Roman" w:eastAsia="宋体" w:cs="Times New Roman"/>
                <w:color w:val="auto"/>
                <w:lang w:val="en-US" w:eastAsia="zh-CN"/>
              </w:rPr>
              <w:t>3.894mSv/a</w:t>
            </w:r>
            <w:r>
              <w:rPr>
                <w:rFonts w:hint="default" w:ascii="Times New Roman" w:hAnsi="Times New Roman" w:eastAsia="宋体" w:cs="Times New Roman"/>
                <w:color w:val="auto"/>
                <w:spacing w:val="0"/>
                <w:position w:val="0"/>
                <w:lang w:val="en-US" w:eastAsia="zh-CN"/>
              </w:rPr>
              <w:t>，所致操作技师和护士的年有效剂量最大估算值为2.74E-04mSv/a，现有最大受照剂量叠加本项目受照剂量后，心内科介入医生所受到的个人剂量最大值为</w:t>
            </w:r>
            <w:r>
              <w:rPr>
                <w:rFonts w:hint="eastAsia" w:ascii="Times New Roman" w:hAnsi="Times New Roman" w:eastAsia="宋体" w:cs="Times New Roman"/>
                <w:color w:val="auto"/>
                <w:lang w:val="en-US" w:eastAsia="zh-CN"/>
              </w:rPr>
              <w:t>4.181</w:t>
            </w:r>
            <w:r>
              <w:rPr>
                <w:rFonts w:hint="default" w:ascii="Times New Roman" w:hAnsi="Times New Roman" w:eastAsia="宋体" w:cs="Times New Roman"/>
                <w:color w:val="auto"/>
                <w:lang w:val="en-US" w:eastAsia="zh-CN"/>
              </w:rPr>
              <w:t>mSv/a</w:t>
            </w:r>
            <w:r>
              <w:rPr>
                <w:rFonts w:hint="default" w:ascii="Times New Roman" w:hAnsi="Times New Roman" w:eastAsia="宋体" w:cs="Times New Roman"/>
                <w:color w:val="auto"/>
                <w:spacing w:val="0"/>
                <w:position w:val="0"/>
                <w:lang w:val="en-US" w:eastAsia="zh-CN"/>
              </w:rPr>
              <w:t>，操作技师和护士所受到的个人剂量最大值为0.287mSv/a。</w:t>
            </w:r>
            <w:r>
              <w:rPr>
                <w:rFonts w:hint="default" w:ascii="Times New Roman" w:hAnsi="Times New Roman" w:eastAsia="宋体" w:cs="Times New Roman"/>
                <w:color w:val="auto"/>
                <w:spacing w:val="0"/>
                <w:kern w:val="0"/>
                <w:position w:val="0"/>
                <w:sz w:val="24"/>
                <w:szCs w:val="24"/>
                <w:lang w:val="en-US" w:eastAsia="zh-CN" w:bidi="ar"/>
              </w:rPr>
              <w:t>低于职业年有效剂量管理限值5mSv/a；本项目DSA所致评价范围内公众年有效剂量为2.39E-04mSv/a，低于公众年有效剂量管理限值0.25mSv/a，满足《电离辐射防护与辐射源安全基本标准》（GB 18871—2002）和《云南省环保局关于〈在辐射安全许可工作中确定电离辐射安全管理限值请示〉的复函》（云环函〔2006〕727号）对职业人员及公众照射的要求。</w:t>
            </w:r>
          </w:p>
          <w:p w14:paraId="5AFFE4E2">
            <w:pPr>
              <w:pStyle w:val="11"/>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 w:val="24"/>
                <w:szCs w:val="24"/>
                <w:highlight w:val="none"/>
                <w:lang w:val="en-US" w:eastAsia="zh-CN" w:bidi="ar"/>
              </w:rPr>
            </w:pPr>
            <w:r>
              <w:rPr>
                <w:rFonts w:hint="default" w:ascii="Times New Roman" w:hAnsi="Times New Roman" w:eastAsia="宋体" w:cs="Times New Roman"/>
                <w:color w:val="auto"/>
                <w:spacing w:val="0"/>
                <w:position w:val="0"/>
                <w:sz w:val="24"/>
                <w:szCs w:val="24"/>
                <w:highlight w:val="none"/>
              </w:rPr>
              <w:t>本项目</w:t>
            </w:r>
            <w:r>
              <w:rPr>
                <w:rFonts w:hint="default" w:ascii="Times New Roman" w:hAnsi="Times New Roman" w:eastAsia="宋体" w:cs="Times New Roman"/>
                <w:color w:val="auto"/>
                <w:spacing w:val="0"/>
                <w:position w:val="0"/>
                <w:sz w:val="24"/>
                <w:szCs w:val="24"/>
                <w:highlight w:val="none"/>
                <w:lang w:val="en-US" w:eastAsia="zh-CN"/>
              </w:rPr>
              <w:t>50m范围内还有3台射线装置会对本项目公众造成叠加影响，叠加</w:t>
            </w:r>
            <w:r>
              <w:rPr>
                <w:rFonts w:hint="default" w:ascii="Times New Roman" w:hAnsi="Times New Roman" w:eastAsia="宋体" w:cs="Times New Roman"/>
                <w:color w:val="auto"/>
                <w:spacing w:val="0"/>
                <w:kern w:val="0"/>
                <w:position w:val="0"/>
                <w:sz w:val="24"/>
                <w:szCs w:val="24"/>
                <w:highlight w:val="none"/>
                <w:lang w:val="en-US" w:eastAsia="zh-CN" w:bidi="ar"/>
              </w:rPr>
              <w:t>后本项目50m评价范围内公众年有效剂量为</w:t>
            </w:r>
            <w:r>
              <w:rPr>
                <w:rFonts w:hint="eastAsia" w:ascii="Times New Roman" w:hAnsi="Times New Roman" w:cs="Times New Roman"/>
                <w:color w:val="auto"/>
                <w:spacing w:val="0"/>
                <w:kern w:val="0"/>
                <w:position w:val="0"/>
                <w:sz w:val="24"/>
                <w:szCs w:val="24"/>
                <w:highlight w:val="none"/>
                <w:lang w:val="en-US" w:eastAsia="zh-CN" w:bidi="ar"/>
              </w:rPr>
              <w:t>3.1</w:t>
            </w:r>
            <w:r>
              <w:rPr>
                <w:rFonts w:hint="default" w:ascii="Times New Roman" w:hAnsi="Times New Roman" w:eastAsia="宋体" w:cs="Times New Roman"/>
                <w:color w:val="auto"/>
                <w:spacing w:val="0"/>
                <w:kern w:val="0"/>
                <w:position w:val="0"/>
                <w:sz w:val="24"/>
                <w:szCs w:val="24"/>
                <w:highlight w:val="none"/>
                <w:lang w:val="en-US" w:eastAsia="zh-CN" w:bidi="ar"/>
              </w:rPr>
              <w:t>E-04mSv</w:t>
            </w:r>
            <w:r>
              <w:rPr>
                <w:rFonts w:hint="eastAsia" w:ascii="Times New Roman" w:hAnsi="Times New Roman" w:cs="Times New Roman"/>
                <w:color w:val="auto"/>
                <w:spacing w:val="0"/>
                <w:kern w:val="0"/>
                <w:position w:val="0"/>
                <w:sz w:val="24"/>
                <w:szCs w:val="24"/>
                <w:highlight w:val="none"/>
                <w:lang w:val="en-US" w:eastAsia="zh-CN" w:bidi="ar"/>
              </w:rPr>
              <w:t>/a</w:t>
            </w:r>
            <w:r>
              <w:rPr>
                <w:rFonts w:hint="default" w:ascii="Times New Roman" w:hAnsi="Times New Roman" w:eastAsia="宋体" w:cs="Times New Roman"/>
                <w:color w:val="auto"/>
                <w:spacing w:val="0"/>
                <w:kern w:val="0"/>
                <w:position w:val="0"/>
                <w:sz w:val="24"/>
                <w:szCs w:val="24"/>
                <w:highlight w:val="none"/>
                <w:lang w:val="en-US" w:eastAsia="zh-CN" w:bidi="ar"/>
              </w:rPr>
              <w:t>，本项目投入使用后对评价范围（50m）内环境保护目标环境影响较小。</w:t>
            </w:r>
          </w:p>
          <w:p w14:paraId="7EEDD10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②水环境影响评价</w:t>
            </w:r>
          </w:p>
          <w:p w14:paraId="2716EF1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kern w:val="0"/>
                <w:position w:val="0"/>
                <w:lang w:val="en-US" w:eastAsia="zh-CN"/>
              </w:rPr>
              <w:t>本项目</w:t>
            </w:r>
            <w:r>
              <w:rPr>
                <w:rFonts w:hint="default" w:ascii="Times New Roman" w:hAnsi="Times New Roman" w:eastAsia="宋体" w:cs="Times New Roman"/>
                <w:color w:val="auto"/>
                <w:spacing w:val="0"/>
                <w:position w:val="0"/>
              </w:rPr>
              <w:t>工作人员生活污水及手术过程中产生的医疗废水将依托</w:t>
            </w:r>
            <w:r>
              <w:rPr>
                <w:rFonts w:hint="default" w:ascii="Times New Roman" w:hAnsi="Times New Roman" w:eastAsia="宋体" w:cs="Times New Roman"/>
                <w:color w:val="auto"/>
                <w:spacing w:val="0"/>
                <w:position w:val="0"/>
                <w:lang w:val="en-US" w:eastAsia="zh-CN"/>
              </w:rPr>
              <w:t>曲靖市第二人民医院主</w:t>
            </w:r>
            <w:r>
              <w:rPr>
                <w:rFonts w:hint="default" w:ascii="Times New Roman" w:hAnsi="Times New Roman" w:eastAsia="宋体" w:cs="Times New Roman"/>
                <w:color w:val="auto"/>
                <w:spacing w:val="0"/>
                <w:position w:val="0"/>
              </w:rPr>
              <w:t>体</w:t>
            </w:r>
            <w:r>
              <w:rPr>
                <w:rFonts w:hint="default" w:ascii="Times New Roman" w:hAnsi="Times New Roman" w:eastAsia="宋体" w:cs="Times New Roman"/>
                <w:color w:val="auto"/>
                <w:spacing w:val="0"/>
                <w:position w:val="0"/>
                <w:lang w:val="en-US" w:eastAsia="zh-CN"/>
              </w:rPr>
              <w:t>已建</w:t>
            </w:r>
            <w:r>
              <w:rPr>
                <w:rFonts w:hint="default" w:ascii="Times New Roman" w:hAnsi="Times New Roman" w:eastAsia="宋体" w:cs="Times New Roman"/>
                <w:color w:val="auto"/>
                <w:spacing w:val="0"/>
                <w:position w:val="0"/>
              </w:rPr>
              <w:t>的</w:t>
            </w:r>
            <w:r>
              <w:rPr>
                <w:rFonts w:hint="default" w:ascii="Times New Roman" w:hAnsi="Times New Roman" w:eastAsia="宋体" w:cs="Times New Roman"/>
                <w:color w:val="auto"/>
                <w:spacing w:val="0"/>
                <w:position w:val="0"/>
                <w:lang w:val="en-US" w:eastAsia="zh-CN"/>
              </w:rPr>
              <w:t>化粪池和</w:t>
            </w:r>
            <w:r>
              <w:rPr>
                <w:rFonts w:hint="default" w:ascii="Times New Roman" w:hAnsi="Times New Roman" w:eastAsia="宋体" w:cs="Times New Roman"/>
                <w:color w:val="auto"/>
                <w:spacing w:val="0"/>
                <w:position w:val="0"/>
              </w:rPr>
              <w:t>污水处理站进行处置</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废水进入化粪池进行预处理后统一排入曲靖市第二人民医院已建设的800m</w:t>
            </w:r>
            <w:r>
              <w:rPr>
                <w:rFonts w:hint="default" w:ascii="Times New Roman" w:hAnsi="Times New Roman" w:eastAsia="宋体" w:cs="Times New Roman"/>
                <w:color w:val="auto"/>
                <w:spacing w:val="0"/>
                <w:position w:val="0"/>
                <w:vertAlign w:val="superscript"/>
                <w:lang w:val="en-US" w:eastAsia="zh-CN"/>
              </w:rPr>
              <w:t>3</w:t>
            </w:r>
            <w:r>
              <w:rPr>
                <w:rFonts w:hint="default" w:ascii="Times New Roman" w:hAnsi="Times New Roman" w:eastAsia="宋体" w:cs="Times New Roman"/>
                <w:color w:val="auto"/>
                <w:spacing w:val="0"/>
                <w:position w:val="0"/>
                <w:lang w:val="en-US" w:eastAsia="zh-CN"/>
              </w:rPr>
              <w:t>/d的污水处理站统一处理，经处理达标后排至市政污水管网最终进入曲靖市污水处理厂</w:t>
            </w:r>
            <w:r>
              <w:rPr>
                <w:rFonts w:hint="default" w:ascii="Times New Roman" w:hAnsi="Times New Roman" w:eastAsia="宋体" w:cs="Times New Roman"/>
                <w:color w:val="auto"/>
                <w:spacing w:val="0"/>
                <w:position w:val="0"/>
              </w:rPr>
              <w:t>，对区域水体环境影响很小。</w:t>
            </w:r>
          </w:p>
          <w:p w14:paraId="5ED2AF9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③大气环境影响评价</w:t>
            </w:r>
          </w:p>
          <w:p w14:paraId="21F24673">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DSA运行时会使DSA介入室内的空气电离产生少量的臭氧和氮氧化物，产生的臭氧和氮氧化物可通过通风系统排风口排出DSA介入室，臭</w:t>
            </w:r>
            <w:r>
              <w:rPr>
                <w:rFonts w:hint="default" w:ascii="Times New Roman" w:hAnsi="Times New Roman" w:eastAsia="宋体" w:cs="Times New Roman"/>
                <w:color w:val="auto"/>
                <w:spacing w:val="0"/>
                <w:position w:val="0"/>
                <w:lang w:eastAsia="zh-CN"/>
              </w:rPr>
              <w:t>氧在</w:t>
            </w:r>
            <w:r>
              <w:rPr>
                <w:rFonts w:hint="default" w:ascii="Times New Roman" w:hAnsi="Times New Roman" w:eastAsia="宋体" w:cs="Times New Roman"/>
                <w:color w:val="auto"/>
                <w:spacing w:val="0"/>
                <w:position w:val="0"/>
              </w:rPr>
              <w:t>常温下可自行分解为氧气，对环境影响很小。</w:t>
            </w:r>
          </w:p>
          <w:p w14:paraId="61E4DE3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④声环境影响评价</w:t>
            </w:r>
          </w:p>
          <w:p w14:paraId="4D58770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本项目DSA介入室通风系统的风机运行时噪声值很小，设备工作时噪声值符合国家标准要求，经墙体及物体的阻挡以及距离的衰减，对周围声环境影响很小。</w:t>
            </w:r>
          </w:p>
          <w:p w14:paraId="6EF8E04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⑤固体废弃物影响评价</w:t>
            </w:r>
          </w:p>
          <w:p w14:paraId="6BFF667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本项目DSA采用数字成像，无废胶片产生；手术过程中产生的棉签、纱布、手套、器具等医疗废物暂时收集于DSA介入室的医疗废物垃圾桶内，手术结束后运送至医院</w:t>
            </w:r>
            <w:r>
              <w:rPr>
                <w:rFonts w:hint="default" w:ascii="Times New Roman" w:hAnsi="Times New Roman" w:eastAsia="宋体" w:cs="Times New Roman"/>
                <w:color w:val="auto"/>
                <w:spacing w:val="0"/>
                <w:position w:val="0"/>
                <w:highlight w:val="none"/>
              </w:rPr>
              <w:t>的</w:t>
            </w:r>
            <w:r>
              <w:rPr>
                <w:rFonts w:hint="default" w:ascii="Times New Roman" w:hAnsi="Times New Roman" w:eastAsia="宋体" w:cs="Times New Roman"/>
                <w:color w:val="auto"/>
                <w:spacing w:val="0"/>
                <w:position w:val="0"/>
                <w:highlight w:val="none"/>
                <w:lang w:val="en-US" w:eastAsia="zh-CN"/>
              </w:rPr>
              <w:t>医疗废物暂存间</w:t>
            </w:r>
            <w:r>
              <w:rPr>
                <w:rFonts w:hint="default" w:ascii="Times New Roman" w:hAnsi="Times New Roman" w:eastAsia="宋体" w:cs="Times New Roman"/>
                <w:color w:val="auto"/>
                <w:spacing w:val="0"/>
                <w:position w:val="0"/>
                <w:highlight w:val="none"/>
              </w:rPr>
              <w:t>内暂存，后委托有资质的医疗废物处置单位进行处置；工作人员工作中产生的少量办公垃圾，通过普通垃圾桶收集后，运送至医院</w:t>
            </w:r>
            <w:r>
              <w:rPr>
                <w:rFonts w:hint="default" w:ascii="Times New Roman" w:hAnsi="Times New Roman" w:eastAsia="宋体" w:cs="Times New Roman"/>
                <w:color w:val="auto"/>
                <w:spacing w:val="0"/>
                <w:position w:val="0"/>
              </w:rPr>
              <w:t>的</w:t>
            </w:r>
            <w:r>
              <w:rPr>
                <w:rFonts w:hint="default" w:ascii="Times New Roman" w:hAnsi="Times New Roman" w:eastAsia="宋体" w:cs="Times New Roman"/>
                <w:color w:val="auto"/>
                <w:spacing w:val="0"/>
                <w:position w:val="0"/>
                <w:lang w:val="en-US" w:eastAsia="zh-CN"/>
              </w:rPr>
              <w:t>垃圾收集房</w:t>
            </w:r>
            <w:r>
              <w:rPr>
                <w:rFonts w:hint="default" w:ascii="Times New Roman" w:hAnsi="Times New Roman" w:eastAsia="宋体" w:cs="Times New Roman"/>
                <w:color w:val="auto"/>
                <w:spacing w:val="0"/>
                <w:position w:val="0"/>
              </w:rPr>
              <w:t>暂存，后交由环卫部门统一处理。采取以上处理措施后对周围环境影响很小。</w:t>
            </w:r>
          </w:p>
          <w:p w14:paraId="7D32CD5D">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9.</w:t>
            </w:r>
            <w:r>
              <w:rPr>
                <w:rFonts w:hint="default" w:ascii="Times New Roman" w:hAnsi="Times New Roman" w:eastAsia="宋体" w:cs="Times New Roman"/>
                <w:b/>
                <w:bCs/>
                <w:color w:val="auto"/>
                <w:spacing w:val="0"/>
                <w:position w:val="0"/>
              </w:rPr>
              <w:t>事故情况下辐射环境影响评价</w:t>
            </w:r>
          </w:p>
          <w:p w14:paraId="35306F0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根据事故情况估算结果，本项目DSA事故情况下可能产生的后果按《放射性同位素与射线装置安全和防护条例》中规定判断，属于一般辐射事故。</w:t>
            </w:r>
          </w:p>
          <w:p w14:paraId="5010367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制定了辐射事故应急预案，各种辐射防护措施设计较齐全，基本满足辐射防护要求。医院制定的各种辐射安全</w:t>
            </w:r>
            <w:r>
              <w:rPr>
                <w:rFonts w:hint="default" w:ascii="Times New Roman" w:hAnsi="Times New Roman" w:eastAsia="宋体" w:cs="Times New Roman"/>
                <w:color w:val="auto"/>
                <w:spacing w:val="0"/>
                <w:position w:val="0"/>
                <w:lang w:eastAsia="zh-CN"/>
              </w:rPr>
              <w:t>制度</w:t>
            </w:r>
            <w:r>
              <w:rPr>
                <w:rFonts w:hint="default" w:ascii="Times New Roman" w:hAnsi="Times New Roman" w:eastAsia="宋体" w:cs="Times New Roman"/>
                <w:color w:val="auto"/>
                <w:spacing w:val="0"/>
                <w:position w:val="0"/>
              </w:rPr>
              <w:t>较全面，在发生辐射事故情况下，启动应急预案并采取相应的防护措施</w:t>
            </w:r>
            <w:r>
              <w:rPr>
                <w:rFonts w:hint="default" w:ascii="Times New Roman" w:hAnsi="Times New Roman" w:eastAsia="宋体" w:cs="Times New Roman"/>
                <w:color w:val="auto"/>
                <w:spacing w:val="0"/>
                <w:position w:val="0"/>
                <w:lang w:eastAsia="zh-CN"/>
              </w:rPr>
              <w:t>可以</w:t>
            </w:r>
            <w:r>
              <w:rPr>
                <w:rFonts w:hint="default" w:ascii="Times New Roman" w:hAnsi="Times New Roman" w:eastAsia="宋体" w:cs="Times New Roman"/>
                <w:color w:val="auto"/>
                <w:spacing w:val="0"/>
                <w:position w:val="0"/>
              </w:rPr>
              <w:t>有效</w:t>
            </w:r>
            <w:r>
              <w:rPr>
                <w:rFonts w:hint="default" w:ascii="Times New Roman" w:hAnsi="Times New Roman" w:eastAsia="宋体" w:cs="Times New Roman"/>
                <w:color w:val="auto"/>
                <w:spacing w:val="0"/>
                <w:position w:val="0"/>
                <w:lang w:eastAsia="zh-CN"/>
              </w:rPr>
              <w:t>地</w:t>
            </w:r>
            <w:r>
              <w:rPr>
                <w:rFonts w:hint="default" w:ascii="Times New Roman" w:hAnsi="Times New Roman" w:eastAsia="宋体" w:cs="Times New Roman"/>
                <w:color w:val="auto"/>
                <w:spacing w:val="0"/>
                <w:position w:val="0"/>
              </w:rPr>
              <w:t>控制辐射事故对环境的影响。</w:t>
            </w:r>
          </w:p>
          <w:p w14:paraId="37BBC3C8">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10.</w:t>
            </w:r>
            <w:r>
              <w:rPr>
                <w:rFonts w:hint="default" w:ascii="Times New Roman" w:hAnsi="Times New Roman" w:eastAsia="宋体" w:cs="Times New Roman"/>
                <w:b/>
                <w:bCs/>
                <w:color w:val="auto"/>
                <w:spacing w:val="0"/>
                <w:position w:val="0"/>
              </w:rPr>
              <w:t>核技术应用能力与安全管理的综合能力评价</w:t>
            </w:r>
          </w:p>
          <w:p w14:paraId="2C083E2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曲靖市第二人民医院</w:t>
            </w:r>
            <w:r>
              <w:rPr>
                <w:rFonts w:hint="default" w:ascii="Times New Roman" w:hAnsi="Times New Roman" w:eastAsia="宋体" w:cs="Times New Roman"/>
                <w:color w:val="auto"/>
                <w:spacing w:val="0"/>
                <w:position w:val="0"/>
              </w:rPr>
              <w:t>成立了专门的辐射安全与环境保护管理机构，并指定专人专职负责辐射安全与环境保护管理工作，并以院内文件的形式明确了辐射安全管理领导小组的职责；制定了较完善的辐射安全管理制度、辐射事故应急预案；设计有满足国家环境保护标准、职业卫生标准和安全防护要求的场所、设施和设备，将具有使用本项目DSA的综合能力。</w:t>
            </w:r>
          </w:p>
          <w:p w14:paraId="21437EBD">
            <w:pPr>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lang w:eastAsia="zh-CN"/>
              </w:rPr>
              <w:t>11.</w:t>
            </w:r>
            <w:r>
              <w:rPr>
                <w:rFonts w:hint="default" w:ascii="Times New Roman" w:hAnsi="Times New Roman" w:eastAsia="宋体" w:cs="Times New Roman"/>
                <w:b/>
                <w:bCs/>
                <w:color w:val="auto"/>
                <w:spacing w:val="0"/>
                <w:position w:val="0"/>
              </w:rPr>
              <w:t>项目建设的环保可行性总结论</w:t>
            </w:r>
          </w:p>
          <w:p w14:paraId="3B395D1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本项目符合国家产业政策，符合辐射防护</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实践的正当性</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原则；正常工况下，满足《电离辐射防护与辐射源安全基本标准》（GB18871-2002）中对职业人员及公众照射的要求，建设单位具备对本项目评价的Ⅱ类射线装置（DSA设备）的使用和管理能力。在严格落实本报告提出的环境保护措施</w:t>
            </w:r>
            <w:r>
              <w:rPr>
                <w:rFonts w:hint="default" w:ascii="Times New Roman" w:hAnsi="Times New Roman" w:eastAsia="宋体" w:cs="Times New Roman"/>
                <w:color w:val="auto"/>
                <w:spacing w:val="0"/>
                <w:position w:val="0"/>
                <w:lang w:val="en-US" w:eastAsia="zh-CN"/>
              </w:rPr>
              <w:t>的情况下</w:t>
            </w:r>
            <w:r>
              <w:rPr>
                <w:rFonts w:hint="default" w:ascii="Times New Roman" w:hAnsi="Times New Roman" w:eastAsia="宋体" w:cs="Times New Roman"/>
                <w:color w:val="auto"/>
                <w:spacing w:val="0"/>
                <w:position w:val="0"/>
              </w:rPr>
              <w:t>，本项目的运营从辐射安全和环境保护的角度是可行的。</w:t>
            </w:r>
          </w:p>
        </w:tc>
      </w:tr>
      <w:tr w14:paraId="059E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9" w:type="dxa"/>
            <w:noWrap w:val="0"/>
            <w:vAlign w:val="top"/>
          </w:tcPr>
          <w:p w14:paraId="777F5565">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rPr>
            </w:pPr>
            <w:r>
              <w:rPr>
                <w:rFonts w:hint="default" w:ascii="Times New Roman" w:hAnsi="Times New Roman" w:eastAsia="宋体" w:cs="Times New Roman"/>
                <w:b/>
                <w:bCs/>
                <w:color w:val="auto"/>
                <w:spacing w:val="0"/>
                <w:position w:val="0"/>
              </w:rPr>
              <w:t>13.2承诺</w:t>
            </w:r>
          </w:p>
          <w:p w14:paraId="6F0C0D0E">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（1）</w:t>
            </w:r>
            <w:r>
              <w:rPr>
                <w:rFonts w:hint="default" w:ascii="Times New Roman" w:hAnsi="Times New Roman" w:eastAsia="宋体" w:cs="Times New Roman"/>
                <w:color w:val="auto"/>
                <w:spacing w:val="0"/>
                <w:position w:val="0"/>
                <w:lang w:val="en-US" w:eastAsia="zh-CN"/>
              </w:rPr>
              <w:t>本次环评要求医院定期组织操作Ⅱ类射线装置的辐射工作人员参加云南省生态环境部门组织的辐射安全与防护培训，通过国家培训平台考试取得的电子版考核成绩报告单，并定期辐射工作人员组织培训，培训内容应涵盖辐射安全法律法规、辐射基础知识、辐射安全与防护措施、辐射事故应急响应等方面，并与其从事的辐射活动风险水平相适应，在本项目投入运行前确保本项目的辐射工作人员均通过云南省生态环境部门组织的辐射安全与防护的培训，本项目辐射工作人员需做到持证上岗，辐射安全与防护的培训证书有效期满前，辐射工作人员应再次进行辐射安全与防护的培训考核，考核合格方可继续从事辐射活动。</w:t>
            </w:r>
          </w:p>
          <w:p w14:paraId="0D635BA7">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lang w:val="en-US" w:eastAsia="zh-CN"/>
              </w:rPr>
              <w:t>医院应建立辐射工作人员考核档案，妥善保存每位辐射工作人员的考核试卷（或电子记录）、考核合格证明等材料。对于自行考核的人员，必须妥善留存完整的自行考核记录（包括试卷、成绩等），以备核查。</w:t>
            </w:r>
          </w:p>
          <w:p w14:paraId="06109AB9">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2</w:t>
            </w:r>
            <w:r>
              <w:rPr>
                <w:rFonts w:hint="default" w:ascii="Times New Roman" w:hAnsi="Times New Roman" w:eastAsia="宋体" w:cs="Times New Roman"/>
                <w:color w:val="auto"/>
                <w:spacing w:val="0"/>
                <w:position w:val="0"/>
              </w:rPr>
              <w:t>）严格遵守DSA操作规程，加强门灯联锁装置维护，介入手术过程中曝光前需确定防护门是否关闭，如果曝光过程中铅门未关闭，应立即停止出束。</w:t>
            </w:r>
          </w:p>
          <w:p w14:paraId="1B6023AB">
            <w:pPr>
              <w:pStyle w:val="19"/>
              <w:keepNext w:val="0"/>
              <w:keepLines w:val="0"/>
              <w:suppressLineNumbers w:val="0"/>
              <w:adjustRightInd w:val="0"/>
              <w:snapToGrid w:val="0"/>
              <w:spacing w:before="0" w:beforeAutospacing="0" w:after="0" w:afterAutospacing="0"/>
              <w:ind w:left="0" w:leftChars="0" w:right="0" w:firstLine="48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3</w:t>
            </w:r>
            <w:r>
              <w:rPr>
                <w:rFonts w:hint="default" w:ascii="Times New Roman" w:hAnsi="Times New Roman" w:eastAsia="宋体" w:cs="Times New Roman"/>
                <w:color w:val="auto"/>
                <w:spacing w:val="0"/>
                <w:position w:val="0"/>
              </w:rPr>
              <w:t>）工作人员应正确佩戴个人剂量计，医院应每个季度（一般不超过90天）定期送检，并对检测结果及时分析，若检测结果存在超过个人剂量管理</w:t>
            </w:r>
            <w:r>
              <w:rPr>
                <w:rFonts w:hint="default" w:ascii="Times New Roman" w:hAnsi="Times New Roman" w:eastAsia="宋体" w:cs="Times New Roman"/>
                <w:color w:val="auto"/>
                <w:spacing w:val="0"/>
                <w:position w:val="0"/>
                <w:lang w:eastAsia="zh-CN"/>
              </w:rPr>
              <w:t>限值</w:t>
            </w:r>
            <w:r>
              <w:rPr>
                <w:rFonts w:hint="default" w:ascii="Times New Roman" w:hAnsi="Times New Roman" w:eastAsia="宋体" w:cs="Times New Roman"/>
                <w:color w:val="auto"/>
                <w:spacing w:val="0"/>
                <w:position w:val="0"/>
              </w:rPr>
              <w:t>的情况，应及时查明原因，及时解决。</w:t>
            </w:r>
          </w:p>
          <w:p w14:paraId="4BFBB627">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4</w:t>
            </w:r>
            <w:r>
              <w:rPr>
                <w:rFonts w:hint="default" w:ascii="Times New Roman" w:hAnsi="Times New Roman" w:eastAsia="宋体" w:cs="Times New Roman"/>
                <w:color w:val="auto"/>
                <w:spacing w:val="0"/>
                <w:position w:val="0"/>
              </w:rPr>
              <w:t>）项目在运行中，将严格遵循操作规程，加强对医务人员的培训，杜绝麻痹大意思想，以避免意外事故造成对公众和职业人员的附加影响，使对环境的影响降低到最低。</w:t>
            </w:r>
          </w:p>
          <w:p w14:paraId="4FD0ECC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5</w:t>
            </w:r>
            <w:r>
              <w:rPr>
                <w:rFonts w:hint="default" w:ascii="Times New Roman" w:hAnsi="Times New Roman" w:eastAsia="宋体" w:cs="Times New Roman"/>
                <w:color w:val="auto"/>
                <w:spacing w:val="0"/>
                <w:position w:val="0"/>
              </w:rPr>
              <w:t>）</w:t>
            </w:r>
            <w:r>
              <w:rPr>
                <w:rFonts w:hint="default" w:ascii="Times New Roman" w:hAnsi="Times New Roman" w:eastAsia="宋体" w:cs="Times New Roman"/>
                <w:color w:val="auto"/>
                <w:spacing w:val="0"/>
                <w:position w:val="0"/>
                <w:lang w:val="en-US" w:eastAsia="zh-CN"/>
              </w:rPr>
              <w:t>对于本次环评配置的DSA设备，建设单位应及时变更辐射安全许可证。</w:t>
            </w:r>
          </w:p>
          <w:p w14:paraId="6FC873A4">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lang w:val="en-US" w:eastAsia="zh-CN"/>
              </w:rPr>
            </w:pP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6</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lang w:val="en-US" w:eastAsia="zh-CN"/>
              </w:rPr>
              <w:t>院方应每年编制《放射性同位素与射线装置安全和防护状况年度评估报告》，并于每年1月31日前提交给发证机关。</w:t>
            </w:r>
          </w:p>
          <w:p w14:paraId="259939D0">
            <w:pPr>
              <w:keepNext w:val="0"/>
              <w:keepLines w:val="0"/>
              <w:suppressLineNumbers w:val="0"/>
              <w:adjustRightInd w:val="0"/>
              <w:snapToGrid w:val="0"/>
              <w:spacing w:before="0" w:beforeAutospacing="0" w:after="0" w:afterAutospacing="0"/>
              <w:ind w:left="0" w:right="0"/>
              <w:rPr>
                <w:rFonts w:hint="eastAsia" w:cs="Times New Roman"/>
                <w:color w:val="auto"/>
                <w:spacing w:val="0"/>
                <w:position w:val="0"/>
                <w:lang w:val="en-US" w:eastAsia="zh-CN"/>
              </w:rPr>
            </w:pPr>
            <w:r>
              <w:rPr>
                <w:rFonts w:hint="default" w:ascii="Times New Roman" w:hAnsi="Times New Roman" w:eastAsia="宋体" w:cs="Times New Roman"/>
                <w:color w:val="auto"/>
                <w:spacing w:val="0"/>
                <w:position w:val="0"/>
                <w:lang w:val="en-US" w:eastAsia="zh-CN"/>
              </w:rPr>
              <w:t>（7）严格按照设计方案进行防护施工，隐蔽工程需留下影像资料，如：机房地面防护涂料施工、墙体防护涂料板安装、墙体和顶板铅板、防护门及铅玻璃安装、通风管穿墙防护、电缆穿墙防护等影像资料，以备后期查验</w:t>
            </w:r>
            <w:r>
              <w:rPr>
                <w:rFonts w:hint="eastAsia" w:cs="Times New Roman"/>
                <w:color w:val="auto"/>
                <w:spacing w:val="0"/>
                <w:position w:val="0"/>
                <w:lang w:val="en-US" w:eastAsia="zh-CN"/>
              </w:rPr>
              <w:t>。</w:t>
            </w:r>
          </w:p>
          <w:p w14:paraId="2012C4DD">
            <w:pPr>
              <w:keepNext w:val="0"/>
              <w:keepLines w:val="0"/>
              <w:suppressLineNumbers w:val="0"/>
              <w:adjustRightInd w:val="0"/>
              <w:snapToGrid w:val="0"/>
              <w:spacing w:before="0" w:beforeAutospacing="0" w:after="0" w:afterAutospacing="0"/>
              <w:ind w:left="0" w:right="0"/>
              <w:rPr>
                <w:rFonts w:hint="eastAsia" w:cs="Times New Roman"/>
                <w:color w:val="auto"/>
                <w:spacing w:val="0"/>
                <w:position w:val="0"/>
                <w:lang w:val="en-US" w:eastAsia="zh-CN"/>
              </w:rPr>
            </w:pPr>
            <w:r>
              <w:rPr>
                <w:rFonts w:hint="eastAsia" w:cs="Times New Roman"/>
                <w:color w:val="auto"/>
                <w:spacing w:val="0"/>
                <w:position w:val="0"/>
                <w:lang w:val="en-US" w:eastAsia="zh-CN"/>
              </w:rPr>
              <w:t>（8）剪力墙和铅板，铅板和铅板等所有屏蔽搭接缝隙处，铅板搭接外延100mm，墙面拐角及吊顶衔接处采用圆弧形施工，确保错缝搭接。</w:t>
            </w:r>
          </w:p>
          <w:p w14:paraId="7BACDD5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spacing w:val="0"/>
                <w:position w:val="0"/>
              </w:rPr>
            </w:pPr>
          </w:p>
        </w:tc>
      </w:tr>
      <w:tr w14:paraId="28C7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39" w:type="dxa"/>
            <w:noWrap w:val="0"/>
            <w:vAlign w:val="top"/>
          </w:tcPr>
          <w:p w14:paraId="1BB802E4">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pacing w:val="0"/>
                <w:position w:val="0"/>
                <w:sz w:val="24"/>
                <w:szCs w:val="24"/>
                <w:highlight w:val="none"/>
                <w:lang w:eastAsia="zh-CN"/>
              </w:rPr>
            </w:pPr>
            <w:r>
              <w:rPr>
                <w:rFonts w:hint="default" w:ascii="Times New Roman" w:hAnsi="Times New Roman" w:eastAsia="宋体" w:cs="Times New Roman"/>
                <w:b/>
                <w:bCs/>
                <w:color w:val="auto"/>
                <w:spacing w:val="0"/>
                <w:position w:val="0"/>
                <w:sz w:val="28"/>
                <w:szCs w:val="28"/>
              </w:rPr>
              <w:t>13.3建议</w:t>
            </w:r>
          </w:p>
          <w:p w14:paraId="1E8C9279">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lang w:val="en-US" w:eastAsia="zh-CN"/>
              </w:rPr>
              <w:t>1</w:t>
            </w:r>
            <w:r>
              <w:rPr>
                <w:rFonts w:hint="default" w:ascii="Times New Roman" w:hAnsi="Times New Roman" w:eastAsia="宋体" w:cs="Times New Roman"/>
                <w:color w:val="auto"/>
                <w:spacing w:val="0"/>
                <w:position w:val="0"/>
                <w:highlight w:val="none"/>
                <w:lang w:eastAsia="zh-CN"/>
              </w:rPr>
              <w:t>）</w:t>
            </w:r>
            <w:r>
              <w:rPr>
                <w:rFonts w:hint="default" w:ascii="Times New Roman" w:hAnsi="Times New Roman" w:eastAsia="宋体" w:cs="Times New Roman"/>
                <w:color w:val="auto"/>
                <w:spacing w:val="0"/>
                <w:position w:val="0"/>
                <w:highlight w:val="none"/>
              </w:rPr>
              <w:t>项目竣工后应按照国家相关法律法规尽快进行验收。</w:t>
            </w:r>
          </w:p>
          <w:p w14:paraId="7B241A9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val="en-US" w:eastAsia="zh-CN"/>
              </w:rPr>
              <w:t>2</w:t>
            </w:r>
            <w:r>
              <w:rPr>
                <w:rFonts w:hint="default" w:ascii="Times New Roman" w:hAnsi="Times New Roman" w:eastAsia="宋体" w:cs="Times New Roman"/>
                <w:color w:val="auto"/>
                <w:spacing w:val="0"/>
                <w:position w:val="0"/>
                <w:highlight w:val="none"/>
              </w:rPr>
              <w:t>）医院应定期进行辐射事故应急演练，检验应急预案的可行性、可靠性、可操作性，</w:t>
            </w:r>
            <w:r>
              <w:rPr>
                <w:rFonts w:hint="default" w:ascii="Times New Roman" w:hAnsi="Times New Roman" w:eastAsia="宋体" w:cs="Times New Roman"/>
                <w:color w:val="auto"/>
                <w:spacing w:val="0"/>
                <w:position w:val="0"/>
                <w:highlight w:val="none"/>
                <w:lang w:val="en-US" w:eastAsia="zh-CN"/>
              </w:rPr>
              <w:t>结合医院实际情况，</w:t>
            </w:r>
            <w:r>
              <w:rPr>
                <w:rFonts w:hint="default" w:ascii="Times New Roman" w:hAnsi="Times New Roman" w:eastAsia="宋体" w:cs="Times New Roman"/>
                <w:color w:val="auto"/>
                <w:spacing w:val="0"/>
                <w:position w:val="0"/>
                <w:highlight w:val="none"/>
              </w:rPr>
              <w:t>不断完善辐射事故应急预案。</w:t>
            </w:r>
          </w:p>
          <w:p w14:paraId="55410AE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highlight w:val="none"/>
              </w:rPr>
            </w:pP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val="en-US" w:eastAsia="zh-CN"/>
              </w:rPr>
              <w:t>3</w:t>
            </w:r>
            <w:r>
              <w:rPr>
                <w:rFonts w:hint="default" w:ascii="Times New Roman" w:hAnsi="Times New Roman" w:eastAsia="宋体" w:cs="Times New Roman"/>
                <w:color w:val="auto"/>
                <w:spacing w:val="0"/>
                <w:position w:val="0"/>
                <w:highlight w:val="none"/>
              </w:rPr>
              <w:t>）医院应合理分配医生的手术量，尽量做到平均分配，以防因手术量过多造成个人剂量超过管理限值要求。</w:t>
            </w:r>
          </w:p>
          <w:p w14:paraId="518739F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highlight w:val="none"/>
                <w:lang w:val="en-US" w:eastAsia="zh-CN"/>
              </w:rPr>
              <w:t>4</w:t>
            </w:r>
            <w:r>
              <w:rPr>
                <w:rFonts w:hint="default" w:ascii="Times New Roman" w:hAnsi="Times New Roman" w:eastAsia="宋体" w:cs="Times New Roman"/>
                <w:color w:val="auto"/>
                <w:spacing w:val="0"/>
                <w:position w:val="0"/>
                <w:highlight w:val="none"/>
              </w:rPr>
              <w:t>）医院应进一步完善</w:t>
            </w:r>
            <w:r>
              <w:rPr>
                <w:rFonts w:hint="default" w:ascii="Times New Roman" w:hAnsi="Times New Roman" w:eastAsia="宋体" w:cs="Times New Roman"/>
                <w:color w:val="auto"/>
                <w:spacing w:val="0"/>
                <w:position w:val="0"/>
                <w:highlight w:val="none"/>
                <w:lang w:eastAsia="zh-CN"/>
              </w:rPr>
              <w:t>《辐射安全与防护管理制度》</w:t>
            </w:r>
            <w:r>
              <w:rPr>
                <w:rFonts w:hint="default" w:ascii="Times New Roman" w:hAnsi="Times New Roman" w:eastAsia="宋体" w:cs="Times New Roman"/>
                <w:color w:val="auto"/>
                <w:spacing w:val="0"/>
                <w:position w:val="0"/>
                <w:highlight w:val="none"/>
                <w:lang w:val="en-US" w:eastAsia="zh-CN"/>
              </w:rPr>
              <w:t>的</w:t>
            </w:r>
            <w:r>
              <w:rPr>
                <w:rFonts w:hint="default" w:ascii="Times New Roman" w:hAnsi="Times New Roman" w:eastAsia="宋体" w:cs="Times New Roman"/>
                <w:color w:val="auto"/>
                <w:spacing w:val="0"/>
                <w:position w:val="0"/>
                <w:highlight w:val="none"/>
              </w:rPr>
              <w:t>各项规章制度，</w:t>
            </w:r>
            <w:r>
              <w:rPr>
                <w:rFonts w:hint="default" w:ascii="Times New Roman" w:hAnsi="Times New Roman" w:eastAsia="宋体" w:cs="Times New Roman"/>
                <w:color w:val="auto"/>
                <w:spacing w:val="0"/>
                <w:position w:val="0"/>
                <w:highlight w:val="none"/>
                <w:lang w:val="en-US" w:eastAsia="zh-CN"/>
              </w:rPr>
              <w:t>及时按照院区辐射设备实际情况调整优化</w:t>
            </w:r>
            <w:r>
              <w:rPr>
                <w:rFonts w:hint="default" w:ascii="Times New Roman" w:hAnsi="Times New Roman" w:eastAsia="宋体" w:cs="Times New Roman"/>
                <w:color w:val="auto"/>
                <w:spacing w:val="0"/>
                <w:position w:val="0"/>
                <w:highlight w:val="none"/>
              </w:rPr>
              <w:t>。</w:t>
            </w:r>
          </w:p>
        </w:tc>
      </w:tr>
      <w:tr w14:paraId="695C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9" w:type="dxa"/>
            <w:tcBorders>
              <w:bottom w:val="single" w:color="auto" w:sz="4" w:space="0"/>
            </w:tcBorders>
            <w:noWrap w:val="0"/>
            <w:vAlign w:val="top"/>
          </w:tcPr>
          <w:p w14:paraId="7A7ED56D">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建设项目竣工验收</w:t>
            </w:r>
          </w:p>
          <w:p w14:paraId="4B137EE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建设项目竣工后，建设单位应根据《建设项目竣工环境保护验收暂行办法》（国环规环评</w:t>
            </w:r>
            <w:r>
              <w:rPr>
                <w:rFonts w:hint="default" w:ascii="Times New Roman" w:hAnsi="Times New Roman" w:eastAsia="宋体" w:cs="Times New Roman"/>
                <w:color w:val="auto"/>
                <w:spacing w:val="0"/>
                <w:position w:val="0"/>
                <w:lang w:eastAsia="zh-CN"/>
              </w:rPr>
              <w:t>〔2017〕4号</w:t>
            </w:r>
            <w:r>
              <w:rPr>
                <w:rFonts w:hint="default" w:ascii="Times New Roman" w:hAnsi="Times New Roman" w:eastAsia="宋体" w:cs="Times New Roman"/>
                <w:color w:val="auto"/>
                <w:spacing w:val="0"/>
                <w:position w:val="0"/>
              </w:rPr>
              <w:t>）对配套建设的环境保护设施进行验收，委托有能力的技术机构编制验收报告，并组织由设计单位、施工单位、</w:t>
            </w:r>
            <w:r>
              <w:rPr>
                <w:rFonts w:hint="eastAsia" w:cs="Times New Roman"/>
                <w:color w:val="auto"/>
                <w:spacing w:val="0"/>
                <w:position w:val="0"/>
                <w:lang w:eastAsia="zh-CN"/>
              </w:rPr>
              <w:t>生态环境影响报告表</w:t>
            </w:r>
            <w:r>
              <w:rPr>
                <w:rFonts w:hint="default" w:ascii="Times New Roman" w:hAnsi="Times New Roman" w:eastAsia="宋体" w:cs="Times New Roman"/>
                <w:color w:val="auto"/>
                <w:spacing w:val="0"/>
                <w:position w:val="0"/>
              </w:rPr>
              <w:t>编制机构、验收监测（调查）报告编制机构等单位代表以及专业技术专家等成立的验收工作组，采取现场检查、资料查阅、召开验收会议等方式开展验收工作。建设项目配套建设的环境保护设施经验收合格后，其主体工程方可投入生产或者使用；未经验收或者验收不合格的，不得投入生产或者使用。</w:t>
            </w:r>
          </w:p>
          <w:p w14:paraId="2AC91F0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本项目建设竣工后，医院应按照上述要求尽快开展竣工环保验收工作，本项目竣工环保验收</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三同时</w:t>
            </w:r>
            <w:r>
              <w:rPr>
                <w:rFonts w:hint="default" w:ascii="Times New Roman" w:hAnsi="Times New Roman" w:eastAsia="宋体" w:cs="Times New Roman"/>
                <w:color w:val="auto"/>
                <w:spacing w:val="0"/>
                <w:position w:val="0"/>
                <w:lang w:eastAsia="zh-CN"/>
              </w:rPr>
              <w:t>”</w:t>
            </w:r>
            <w:r>
              <w:rPr>
                <w:rFonts w:hint="default" w:ascii="Times New Roman" w:hAnsi="Times New Roman" w:eastAsia="宋体" w:cs="Times New Roman"/>
                <w:color w:val="auto"/>
                <w:spacing w:val="0"/>
                <w:position w:val="0"/>
              </w:rPr>
              <w:t>检查内容见附表。</w:t>
            </w:r>
          </w:p>
        </w:tc>
      </w:tr>
    </w:tbl>
    <w:p w14:paraId="46000828">
      <w:pPr>
        <w:spacing w:line="20" w:lineRule="exact"/>
        <w:ind w:firstLine="0" w:firstLineChars="0"/>
        <w:rPr>
          <w:rFonts w:hint="default" w:ascii="Times New Roman" w:hAnsi="Times New Roman" w:eastAsia="宋体" w:cs="Times New Roman"/>
          <w:color w:val="auto"/>
          <w:spacing w:val="0"/>
          <w:position w:val="0"/>
        </w:rPr>
      </w:pPr>
    </w:p>
    <w:p w14:paraId="1DB3B06C">
      <w:pPr>
        <w:spacing w:line="20" w:lineRule="exact"/>
        <w:ind w:firstLine="0" w:firstLineChars="0"/>
        <w:rPr>
          <w:rFonts w:hint="default" w:ascii="Times New Roman" w:hAnsi="Times New Roman" w:eastAsia="宋体" w:cs="Times New Roman"/>
          <w:color w:val="auto"/>
          <w:spacing w:val="0"/>
          <w:position w:val="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F1195F8">
      <w:pPr>
        <w:ind w:firstLine="562"/>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附表</w:t>
      </w:r>
    </w:p>
    <w:p w14:paraId="2B3B0CDB">
      <w:pPr>
        <w:ind w:firstLine="562"/>
        <w:jc w:val="center"/>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lang w:eastAsia="zh-CN"/>
        </w:rPr>
        <w:t>“</w:t>
      </w:r>
      <w:r>
        <w:rPr>
          <w:rFonts w:hint="default" w:ascii="Times New Roman" w:hAnsi="Times New Roman" w:eastAsia="宋体" w:cs="Times New Roman"/>
          <w:b/>
          <w:bCs/>
          <w:color w:val="auto"/>
          <w:spacing w:val="0"/>
          <w:position w:val="0"/>
          <w:sz w:val="28"/>
          <w:szCs w:val="28"/>
        </w:rPr>
        <w:t>三同时</w:t>
      </w:r>
      <w:r>
        <w:rPr>
          <w:rFonts w:hint="default" w:ascii="Times New Roman" w:hAnsi="Times New Roman" w:eastAsia="宋体" w:cs="Times New Roman"/>
          <w:b/>
          <w:bCs/>
          <w:color w:val="auto"/>
          <w:spacing w:val="0"/>
          <w:position w:val="0"/>
          <w:sz w:val="28"/>
          <w:szCs w:val="28"/>
          <w:lang w:eastAsia="zh-CN"/>
        </w:rPr>
        <w:t>”</w:t>
      </w:r>
      <w:r>
        <w:rPr>
          <w:rFonts w:hint="default" w:ascii="Times New Roman" w:hAnsi="Times New Roman" w:eastAsia="宋体" w:cs="Times New Roman"/>
          <w:b/>
          <w:bCs/>
          <w:color w:val="auto"/>
          <w:spacing w:val="0"/>
          <w:position w:val="0"/>
          <w:sz w:val="28"/>
          <w:szCs w:val="28"/>
        </w:rPr>
        <w:t>措施一览表</w:t>
      </w:r>
    </w:p>
    <w:tbl>
      <w:tblPr>
        <w:tblStyle w:val="20"/>
        <w:tblW w:w="9011"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6"/>
        <w:gridCol w:w="1731"/>
        <w:gridCol w:w="5727"/>
        <w:gridCol w:w="647"/>
      </w:tblGrid>
      <w:tr w14:paraId="41B015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7" w:type="dxa"/>
            <w:gridSpan w:val="2"/>
            <w:tcBorders>
              <w:top w:val="single" w:color="auto" w:sz="8" w:space="0"/>
              <w:left w:val="single" w:color="auto" w:sz="4" w:space="0"/>
              <w:bottom w:val="single" w:color="auto" w:sz="8" w:space="0"/>
            </w:tcBorders>
            <w:noWrap w:val="0"/>
            <w:vAlign w:val="center"/>
          </w:tcPr>
          <w:p w14:paraId="12D213AC">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项目</w:t>
            </w:r>
          </w:p>
        </w:tc>
        <w:tc>
          <w:tcPr>
            <w:tcW w:w="5727" w:type="dxa"/>
            <w:tcBorders>
              <w:top w:val="single" w:color="auto" w:sz="8" w:space="0"/>
              <w:bottom w:val="single" w:color="auto" w:sz="8" w:space="0"/>
            </w:tcBorders>
            <w:noWrap w:val="0"/>
            <w:vAlign w:val="center"/>
          </w:tcPr>
          <w:p w14:paraId="05C1A88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验收内容</w:t>
            </w:r>
          </w:p>
        </w:tc>
        <w:tc>
          <w:tcPr>
            <w:tcW w:w="647" w:type="dxa"/>
            <w:tcBorders>
              <w:top w:val="single" w:color="auto" w:sz="8" w:space="0"/>
              <w:bottom w:val="single" w:color="auto" w:sz="8" w:space="0"/>
              <w:right w:val="single" w:color="auto" w:sz="4" w:space="0"/>
            </w:tcBorders>
            <w:noWrap w:val="0"/>
            <w:vAlign w:val="center"/>
          </w:tcPr>
          <w:p w14:paraId="21B3D09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pacing w:val="0"/>
                <w:position w:val="0"/>
                <w:szCs w:val="21"/>
              </w:rPr>
            </w:pPr>
            <w:r>
              <w:rPr>
                <w:rFonts w:hint="default" w:ascii="Times New Roman" w:hAnsi="Times New Roman" w:eastAsia="宋体" w:cs="Times New Roman"/>
                <w:b/>
                <w:bCs/>
                <w:color w:val="auto"/>
                <w:spacing w:val="0"/>
                <w:position w:val="0"/>
                <w:szCs w:val="21"/>
              </w:rPr>
              <w:t>备注</w:t>
            </w:r>
          </w:p>
        </w:tc>
      </w:tr>
      <w:tr w14:paraId="5526FE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37" w:type="dxa"/>
            <w:gridSpan w:val="2"/>
            <w:tcBorders>
              <w:top w:val="single" w:color="auto" w:sz="8" w:space="0"/>
              <w:left w:val="single" w:color="auto" w:sz="4" w:space="0"/>
              <w:bottom w:val="single" w:color="auto" w:sz="8" w:space="0"/>
            </w:tcBorders>
            <w:noWrap w:val="0"/>
            <w:vAlign w:val="center"/>
          </w:tcPr>
          <w:p w14:paraId="50DE7E3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szCs w:val="21"/>
              </w:rPr>
              <w:t>项目概况及屏蔽措施</w:t>
            </w:r>
          </w:p>
        </w:tc>
        <w:tc>
          <w:tcPr>
            <w:tcW w:w="5727" w:type="dxa"/>
            <w:tcBorders>
              <w:top w:val="single" w:color="auto" w:sz="8" w:space="0"/>
              <w:bottom w:val="single" w:color="auto" w:sz="8" w:space="0"/>
            </w:tcBorders>
            <w:noWrap w:val="0"/>
            <w:vAlign w:val="center"/>
          </w:tcPr>
          <w:p w14:paraId="6418E7BC">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rPr>
              <w:t>介入室东墙：留有剪力墙部分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w:t>
            </w:r>
            <w:r>
              <w:rPr>
                <w:rFonts w:hint="default" w:ascii="Times New Roman" w:hAnsi="Times New Roman" w:eastAsia="宋体" w:cs="Times New Roman"/>
                <w:color w:val="auto"/>
                <w:spacing w:val="0"/>
                <w:position w:val="0"/>
                <w:sz w:val="21"/>
                <w:szCs w:val="21"/>
                <w:highlight w:val="none"/>
                <w:lang w:val="en-US" w:eastAsia="zh-CN"/>
              </w:rPr>
              <w:t>无剪力墙空区</w:t>
            </w:r>
            <w:r>
              <w:rPr>
                <w:rFonts w:hint="default" w:ascii="Times New Roman" w:hAnsi="Times New Roman" w:eastAsia="宋体" w:cs="Times New Roman"/>
                <w:color w:val="auto"/>
                <w:spacing w:val="0"/>
                <w:position w:val="0"/>
                <w:sz w:val="21"/>
                <w:szCs w:val="21"/>
                <w:highlight w:val="none"/>
              </w:rPr>
              <w:t>采用轻钢龙骨骨架，内衬4mmpb防护铅板进行屏蔽防护，折合铅当量4mm</w:t>
            </w:r>
            <w:r>
              <w:rPr>
                <w:rFonts w:hint="eastAsia" w:cs="Times New Roman"/>
                <w:color w:val="auto"/>
                <w:spacing w:val="0"/>
                <w:position w:val="0"/>
                <w:sz w:val="21"/>
                <w:szCs w:val="21"/>
                <w:highlight w:val="none"/>
                <w:lang w:eastAsia="zh-CN"/>
              </w:rPr>
              <w:t>，</w:t>
            </w:r>
            <w:r>
              <w:rPr>
                <w:rFonts w:hint="eastAsia" w:cs="Times New Roman"/>
                <w:color w:val="auto"/>
                <w:spacing w:val="0"/>
                <w:position w:val="0"/>
                <w:sz w:val="21"/>
                <w:szCs w:val="21"/>
                <w:highlight w:val="none"/>
                <w:lang w:val="en-US" w:eastAsia="zh-CN"/>
              </w:rPr>
              <w:t>拟建</w:t>
            </w:r>
            <w:r>
              <w:rPr>
                <w:rFonts w:hint="eastAsia" w:cs="Times New Roman"/>
                <w:color w:val="auto"/>
                <w:spacing w:val="0"/>
                <w:position w:val="0"/>
                <w:sz w:val="21"/>
                <w:szCs w:val="21"/>
                <w:highlight w:val="none"/>
                <w:lang w:eastAsia="zh-CN"/>
              </w:rPr>
              <w:t>；</w:t>
            </w:r>
          </w:p>
          <w:p w14:paraId="5A6061E4">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介入室南墙：留有剪力墙部分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0mm硫酸钡防护涂料进行屏蔽防护，折合铅当量：6.18mm，无剪力墙空区采用轻钢龙骨骨架，内衬4mmpb防护铅板进行屏蔽防护，折合铅当量4mmpb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lang w:eastAsia="zh-CN"/>
              </w:rPr>
              <w:t>；</w:t>
            </w:r>
          </w:p>
          <w:p w14:paraId="49B13720">
            <w:pPr>
              <w:keepNext w:val="0"/>
              <w:keepLines w:val="0"/>
              <w:pageBreakBefore w:val="0"/>
              <w:widowControl w:val="0"/>
              <w:suppressLineNumbers w:val="0"/>
              <w:kinsoku/>
              <w:wordWrap/>
              <w:topLinePunct w:val="0"/>
              <w:autoSpaceDE/>
              <w:autoSpaceDN/>
              <w:bidi w:val="0"/>
              <w:snapToGrid w:val="0"/>
              <w:spacing w:before="0" w:beforeAutospacing="0" w:after="0" w:afterAutospacing="0" w:line="240" w:lineRule="auto"/>
              <w:ind w:left="0" w:right="0"/>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介入室西墙：采用轻钢龙骨骨架，内衬4mmpb防护铅板进行屏蔽防护，铅当量约</w:t>
            </w:r>
            <w:r>
              <w:rPr>
                <w:rFonts w:hint="default" w:ascii="Times New Roman" w:hAnsi="Times New Roman" w:eastAsia="宋体" w:cs="Times New Roman"/>
                <w:color w:val="auto"/>
                <w:spacing w:val="0"/>
                <w:position w:val="0"/>
                <w:sz w:val="21"/>
                <w:szCs w:val="21"/>
                <w:highlight w:val="none"/>
                <w:lang w:val="en-US" w:eastAsia="zh-CN"/>
              </w:rPr>
              <w:t>4</w:t>
            </w:r>
            <w:r>
              <w:rPr>
                <w:rFonts w:hint="default" w:ascii="Times New Roman" w:hAnsi="Times New Roman" w:eastAsia="宋体" w:cs="Times New Roman"/>
                <w:color w:val="auto"/>
                <w:spacing w:val="0"/>
                <w:position w:val="0"/>
                <w:sz w:val="21"/>
                <w:szCs w:val="21"/>
                <w:highlight w:val="none"/>
              </w:rPr>
              <w:t>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lang w:eastAsia="zh-CN"/>
              </w:rPr>
              <w:t>；</w:t>
            </w:r>
          </w:p>
          <w:p w14:paraId="398052A3">
            <w:pPr>
              <w:pStyle w:val="36"/>
              <w:keepNext w:val="0"/>
              <w:keepLines w:val="0"/>
              <w:pageBreakBefore w:val="0"/>
              <w:widowControl w:val="0"/>
              <w:suppressLineNumbers w:val="0"/>
              <w:kinsoku/>
              <w:wordWrap/>
              <w:topLinePunct w:val="0"/>
              <w:autoSpaceDE/>
              <w:autoSpaceDN/>
              <w:bidi w:val="0"/>
              <w:snapToGrid w:val="0"/>
              <w:spacing w:before="0" w:beforeAutospacing="0" w:after="0" w:afterAutospacing="0"/>
              <w:ind w:left="0" w:right="0" w:firstLine="420" w:firstLineChars="200"/>
              <w:rPr>
                <w:rFonts w:hint="default" w:ascii="Times New Roman" w:hAnsi="Times New Roman" w:eastAsia="宋体" w:cs="Times New Roman"/>
                <w:color w:val="auto"/>
                <w:spacing w:val="0"/>
                <w:position w:val="0"/>
                <w:sz w:val="21"/>
                <w:szCs w:val="21"/>
                <w:highlight w:val="yellow"/>
                <w:lang w:eastAsia="zh-CN"/>
              </w:rPr>
            </w:pPr>
            <w:r>
              <w:rPr>
                <w:rFonts w:hint="default" w:ascii="Times New Roman" w:hAnsi="Times New Roman" w:eastAsia="宋体" w:cs="Times New Roman"/>
                <w:color w:val="auto"/>
                <w:spacing w:val="0"/>
                <w:position w:val="0"/>
                <w:sz w:val="21"/>
                <w:szCs w:val="21"/>
                <w:highlight w:val="none"/>
              </w:rPr>
              <w:t>介入室北墙：留有剪力墙部分</w:t>
            </w:r>
            <w:r>
              <w:rPr>
                <w:rFonts w:hint="eastAsia" w:cs="Times New Roman"/>
                <w:color w:val="auto"/>
                <w:spacing w:val="0"/>
                <w:position w:val="0"/>
                <w:sz w:val="21"/>
                <w:szCs w:val="21"/>
                <w:highlight w:val="none"/>
                <w:lang w:val="en-US" w:eastAsia="zh-CN"/>
              </w:rPr>
              <w:t>：300mm钢筋混凝土剪力墙+</w:t>
            </w:r>
            <w:r>
              <w:rPr>
                <w:rFonts w:hint="default" w:ascii="Times New Roman" w:hAnsi="Times New Roman" w:eastAsia="宋体" w:cs="Times New Roman"/>
                <w:color w:val="auto"/>
                <w:spacing w:val="0"/>
                <w:position w:val="0"/>
                <w:sz w:val="21"/>
                <w:szCs w:val="21"/>
                <w:highlight w:val="none"/>
                <w:lang w:eastAsia="zh-CN"/>
              </w:rPr>
              <w:t>涂刷</w:t>
            </w:r>
            <w:r>
              <w:rPr>
                <w:rFonts w:hint="eastAsia" w:cs="Times New Roman"/>
                <w:color w:val="auto"/>
                <w:spacing w:val="0"/>
                <w:position w:val="0"/>
                <w:sz w:val="21"/>
                <w:szCs w:val="21"/>
                <w:highlight w:val="none"/>
                <w:lang w:val="en-US" w:eastAsia="zh-CN"/>
              </w:rPr>
              <w:t>2</w:t>
            </w:r>
            <w:r>
              <w:rPr>
                <w:rFonts w:hint="default" w:ascii="Times New Roman" w:hAnsi="Times New Roman" w:eastAsia="宋体" w:cs="Times New Roman"/>
                <w:color w:val="auto"/>
                <w:spacing w:val="0"/>
                <w:position w:val="0"/>
                <w:sz w:val="21"/>
                <w:szCs w:val="21"/>
                <w:highlight w:val="none"/>
              </w:rPr>
              <w:t>0mm硫酸钡防护涂料进行屏蔽防护，折合铅当量：6.18mm，无剪力墙空区采用轻钢龙骨骨架，内衬4mmpb防护铅板进行屏蔽防护，折合铅当量4mmpb</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拟建</w:t>
            </w:r>
            <w:r>
              <w:rPr>
                <w:rFonts w:hint="default" w:ascii="Times New Roman" w:hAnsi="Times New Roman" w:eastAsia="宋体" w:cs="Times New Roman"/>
                <w:color w:val="auto"/>
                <w:spacing w:val="0"/>
                <w:position w:val="0"/>
                <w:sz w:val="21"/>
                <w:szCs w:val="21"/>
                <w:highlight w:val="none"/>
              </w:rPr>
              <w:t>。</w:t>
            </w:r>
          </w:p>
          <w:p w14:paraId="07383234">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lang w:val="en-US" w:eastAsia="zh-CN"/>
              </w:rPr>
              <w:t>剪力墙和铅板，铅板和铅板等所有屏蔽搭接缝隙处，铅板搭接外延100mm，墙面拐角及吊顶衔接处采用圆弧形施工，确保错缝搭接。</w:t>
            </w:r>
          </w:p>
          <w:p w14:paraId="7A992D72">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介入室顶面：顶面采用</w:t>
            </w:r>
            <w:r>
              <w:rPr>
                <w:rFonts w:hint="default" w:ascii="Times New Roman" w:hAnsi="Times New Roman" w:eastAsia="宋体" w:cs="Times New Roman"/>
                <w:color w:val="auto"/>
                <w:spacing w:val="0"/>
                <w:position w:val="0"/>
                <w:sz w:val="21"/>
                <w:szCs w:val="21"/>
                <w:highlight w:val="none"/>
                <w:lang w:val="en-US" w:eastAsia="zh-CN"/>
              </w:rPr>
              <w:t>120mm钢筋混凝土楼板+4mmpb防护铅板，铅当量约5.44mmPb，拟建</w:t>
            </w:r>
            <w:r>
              <w:rPr>
                <w:rFonts w:hint="default" w:ascii="Times New Roman" w:hAnsi="Times New Roman" w:eastAsia="宋体" w:cs="Times New Roman"/>
                <w:color w:val="auto"/>
                <w:spacing w:val="0"/>
                <w:position w:val="0"/>
                <w:sz w:val="21"/>
                <w:szCs w:val="21"/>
                <w:highlight w:val="none"/>
              </w:rPr>
              <w:t>；</w:t>
            </w:r>
          </w:p>
          <w:p w14:paraId="6DF2B927">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介入室地面：</w:t>
            </w:r>
            <w:r>
              <w:rPr>
                <w:rFonts w:hint="default" w:ascii="Times New Roman" w:hAnsi="Times New Roman" w:eastAsia="宋体" w:cs="Times New Roman"/>
                <w:color w:val="auto"/>
                <w:spacing w:val="0"/>
                <w:position w:val="0"/>
                <w:sz w:val="21"/>
                <w:szCs w:val="21"/>
                <w:highlight w:val="none"/>
                <w:lang w:val="en-US" w:eastAsia="zh-CN"/>
              </w:rPr>
              <w:t>地面采用120mm钢筋混凝土楼板+40mm硫酸钡涂料+50mm细石混凝土找平层，铅当量约5.16mmPb，拟建</w:t>
            </w:r>
            <w:r>
              <w:rPr>
                <w:rFonts w:hint="default" w:ascii="Times New Roman" w:hAnsi="Times New Roman" w:eastAsia="宋体" w:cs="Times New Roman"/>
                <w:color w:val="auto"/>
                <w:spacing w:val="0"/>
                <w:position w:val="0"/>
                <w:sz w:val="21"/>
                <w:szCs w:val="21"/>
                <w:highlight w:val="none"/>
              </w:rPr>
              <w:t>；</w:t>
            </w:r>
          </w:p>
          <w:p w14:paraId="04F7982A">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介入室防护门：</w:t>
            </w:r>
            <w:r>
              <w:rPr>
                <w:rFonts w:hint="default" w:ascii="Times New Roman" w:hAnsi="Times New Roman" w:eastAsia="宋体" w:cs="Times New Roman"/>
                <w:color w:val="auto"/>
                <w:spacing w:val="0"/>
                <w:position w:val="0"/>
                <w:sz w:val="21"/>
                <w:szCs w:val="21"/>
                <w:highlight w:val="none"/>
                <w:lang w:val="en-US" w:eastAsia="zh-CN"/>
              </w:rPr>
              <w:t>3道防护门均为内衬4mm铅板的防护门，铅当量约4mmPb，门扇底部采用防护铅胶条处理，密封地面缝隙，机房移动铅门与墙之间重叠30cm（两侧各15cm），高度高于门洞10cm，拟建</w:t>
            </w:r>
            <w:r>
              <w:rPr>
                <w:rFonts w:hint="default" w:ascii="Times New Roman" w:hAnsi="Times New Roman" w:eastAsia="宋体" w:cs="Times New Roman"/>
                <w:color w:val="auto"/>
                <w:spacing w:val="0"/>
                <w:position w:val="0"/>
                <w:sz w:val="21"/>
                <w:szCs w:val="21"/>
                <w:highlight w:val="none"/>
              </w:rPr>
              <w:t>；</w:t>
            </w:r>
          </w:p>
          <w:p w14:paraId="39D8806D">
            <w:pPr>
              <w:pStyle w:val="36"/>
              <w:keepNext w:val="0"/>
              <w:keepLines w:val="0"/>
              <w:pageBreakBefore w:val="0"/>
              <w:widowControl w:val="0"/>
              <w:suppressLineNumbers w:val="0"/>
              <w:kinsoku/>
              <w:wordWrap/>
              <w:topLinePunct w:val="0"/>
              <w:autoSpaceDE/>
              <w:autoSpaceDN/>
              <w:bidi w:val="0"/>
              <w:spacing w:before="0" w:beforeAutospacing="0" w:after="0" w:afterAutospacing="0"/>
              <w:ind w:left="0" w:right="0" w:firstLine="420" w:firstLineChars="200"/>
              <w:rPr>
                <w:rFonts w:hint="default" w:ascii="Times New Roman" w:hAnsi="Times New Roman" w:eastAsia="宋体" w:cs="Times New Roman"/>
                <w:color w:val="auto"/>
                <w:spacing w:val="0"/>
                <w:position w:val="0"/>
                <w:sz w:val="21"/>
                <w:szCs w:val="21"/>
              </w:rPr>
            </w:pPr>
            <w:r>
              <w:rPr>
                <w:rFonts w:hint="default" w:ascii="Times New Roman" w:hAnsi="Times New Roman" w:eastAsia="宋体" w:cs="Times New Roman"/>
                <w:color w:val="auto"/>
                <w:spacing w:val="0"/>
                <w:position w:val="0"/>
                <w:sz w:val="21"/>
                <w:szCs w:val="21"/>
              </w:rPr>
              <w:t>介入室观察窗：</w:t>
            </w:r>
            <w:r>
              <w:rPr>
                <w:rFonts w:hint="default" w:ascii="Times New Roman" w:hAnsi="Times New Roman" w:eastAsia="宋体" w:cs="Times New Roman"/>
                <w:color w:val="auto"/>
                <w:spacing w:val="0"/>
                <w:position w:val="0"/>
                <w:sz w:val="21"/>
                <w:szCs w:val="21"/>
                <w:lang w:val="en-US" w:eastAsia="zh-CN"/>
              </w:rPr>
              <w:t>机房观察窗为铅玻璃，铅玻璃规格1500×900mm，铅当量约4.0mmPb，</w:t>
            </w:r>
            <w:r>
              <w:rPr>
                <w:rFonts w:hint="default" w:ascii="Times New Roman" w:hAnsi="Times New Roman" w:eastAsia="宋体" w:cs="Times New Roman"/>
                <w:color w:val="auto"/>
                <w:spacing w:val="0"/>
                <w:position w:val="0"/>
                <w:sz w:val="21"/>
                <w:szCs w:val="21"/>
                <w:highlight w:val="none"/>
              </w:rPr>
              <w:t>观察窗铅玻璃内嵌到防护墙内并在四周用铅皮进行包裹</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lang w:val="en-US" w:eastAsia="zh-CN"/>
              </w:rPr>
              <w:t>拟建</w:t>
            </w:r>
            <w:r>
              <w:rPr>
                <w:rFonts w:hint="default" w:ascii="Times New Roman" w:hAnsi="Times New Roman" w:eastAsia="宋体" w:cs="Times New Roman"/>
                <w:color w:val="auto"/>
                <w:spacing w:val="0"/>
                <w:position w:val="0"/>
                <w:sz w:val="21"/>
                <w:szCs w:val="21"/>
              </w:rPr>
              <w:t>；</w:t>
            </w:r>
          </w:p>
          <w:p w14:paraId="47511F61">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rPr>
              <w:t>控制室</w:t>
            </w:r>
            <w:r>
              <w:rPr>
                <w:rFonts w:hint="default" w:ascii="Times New Roman" w:hAnsi="Times New Roman" w:eastAsia="宋体" w:cs="Times New Roman"/>
                <w:color w:val="auto"/>
                <w:spacing w:val="0"/>
                <w:position w:val="0"/>
                <w:sz w:val="21"/>
                <w:szCs w:val="21"/>
                <w:highlight w:val="none"/>
                <w:lang w:val="en-US" w:eastAsia="zh-CN"/>
              </w:rPr>
              <w:t>铅门、患者通道铅门</w:t>
            </w:r>
            <w:r>
              <w:rPr>
                <w:rFonts w:hint="default" w:ascii="Times New Roman" w:hAnsi="Times New Roman" w:eastAsia="宋体" w:cs="Times New Roman"/>
                <w:color w:val="auto"/>
                <w:spacing w:val="0"/>
                <w:position w:val="0"/>
                <w:sz w:val="21"/>
                <w:szCs w:val="21"/>
                <w:highlight w:val="none"/>
              </w:rPr>
              <w:t>为</w:t>
            </w:r>
            <w:r>
              <w:rPr>
                <w:rFonts w:hint="default" w:ascii="Times New Roman" w:hAnsi="Times New Roman" w:eastAsia="宋体" w:cs="Times New Roman"/>
                <w:color w:val="auto"/>
                <w:spacing w:val="0"/>
                <w:position w:val="0"/>
                <w:sz w:val="21"/>
                <w:szCs w:val="21"/>
                <w:highlight w:val="none"/>
                <w:lang w:val="en-US" w:eastAsia="zh-CN"/>
              </w:rPr>
              <w:t>平移电动</w:t>
            </w:r>
            <w:r>
              <w:rPr>
                <w:rFonts w:hint="default" w:ascii="Times New Roman" w:hAnsi="Times New Roman" w:eastAsia="宋体" w:cs="Times New Roman"/>
                <w:color w:val="auto"/>
                <w:spacing w:val="0"/>
                <w:position w:val="0"/>
                <w:sz w:val="21"/>
                <w:szCs w:val="21"/>
                <w:highlight w:val="none"/>
              </w:rPr>
              <w:t>铅防护门</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共2套，污物通道铅门为单向平开门，共1套</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各防护门设置闭门装置</w:t>
            </w:r>
            <w:r>
              <w:rPr>
                <w:rFonts w:hint="default" w:ascii="Times New Roman" w:hAnsi="Times New Roman" w:eastAsia="宋体" w:cs="Times New Roman"/>
                <w:color w:val="auto"/>
                <w:spacing w:val="0"/>
                <w:position w:val="0"/>
                <w:sz w:val="21"/>
                <w:szCs w:val="21"/>
                <w:highlight w:val="none"/>
                <w:lang w:val="en-US" w:eastAsia="zh-CN"/>
              </w:rPr>
              <w:t>及</w:t>
            </w:r>
            <w:r>
              <w:rPr>
                <w:rFonts w:hint="default" w:ascii="Times New Roman" w:hAnsi="Times New Roman" w:eastAsia="宋体" w:cs="Times New Roman"/>
                <w:color w:val="auto"/>
                <w:spacing w:val="0"/>
                <w:position w:val="0"/>
                <w:sz w:val="21"/>
                <w:szCs w:val="21"/>
                <w:highlight w:val="none"/>
              </w:rPr>
              <w:t>防夹装置。</w:t>
            </w:r>
            <w:r>
              <w:rPr>
                <w:rFonts w:hint="default" w:ascii="Times New Roman" w:hAnsi="Times New Roman" w:eastAsia="宋体" w:cs="Times New Roman"/>
                <w:color w:val="auto"/>
                <w:spacing w:val="0"/>
                <w:position w:val="0"/>
                <w:sz w:val="21"/>
                <w:szCs w:val="21"/>
                <w:highlight w:val="none"/>
                <w:lang w:val="en-US" w:eastAsia="zh-CN"/>
              </w:rPr>
              <w:t>门扇底部采用防护铅胶条处理，密封地面缝隙，机房移动铅门与墙之间重叠30cm（两侧各15cm），高度高于门洞10cm，拟建。</w:t>
            </w:r>
          </w:p>
          <w:p w14:paraId="6D9E9BD6">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通排风：机房采用</w:t>
            </w:r>
            <w:r>
              <w:rPr>
                <w:rFonts w:hint="default" w:ascii="Times New Roman" w:hAnsi="Times New Roman" w:eastAsia="宋体" w:cs="Times New Roman"/>
                <w:color w:val="auto"/>
                <w:spacing w:val="0"/>
                <w:position w:val="0"/>
                <w:sz w:val="21"/>
                <w:szCs w:val="21"/>
                <w:highlight w:val="none"/>
                <w:lang w:val="en-US" w:eastAsia="zh-CN"/>
              </w:rPr>
              <w:t>净化空调</w:t>
            </w:r>
            <w:r>
              <w:rPr>
                <w:rFonts w:hint="default" w:ascii="Times New Roman" w:hAnsi="Times New Roman" w:eastAsia="宋体" w:cs="Times New Roman"/>
                <w:color w:val="auto"/>
                <w:spacing w:val="0"/>
                <w:position w:val="0"/>
                <w:sz w:val="21"/>
                <w:szCs w:val="21"/>
                <w:highlight w:val="none"/>
              </w:rPr>
              <w:t>换气，机组风量12</w:t>
            </w:r>
            <w:r>
              <w:rPr>
                <w:rFonts w:hint="default" w:ascii="Times New Roman" w:hAnsi="Times New Roman" w:eastAsia="宋体" w:cs="Times New Roman"/>
                <w:color w:val="auto"/>
                <w:spacing w:val="0"/>
                <w:position w:val="0"/>
                <w:sz w:val="21"/>
                <w:szCs w:val="21"/>
                <w:highlight w:val="none"/>
                <w:lang w:val="en-US" w:eastAsia="zh-CN"/>
              </w:rPr>
              <w:t>0</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新风量1400m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回风</w:t>
            </w:r>
            <w:r>
              <w:rPr>
                <w:rFonts w:hint="default" w:ascii="Times New Roman" w:hAnsi="Times New Roman" w:eastAsia="宋体" w:cs="Times New Roman"/>
                <w:color w:val="auto"/>
                <w:spacing w:val="0"/>
                <w:position w:val="0"/>
                <w:sz w:val="21"/>
                <w:szCs w:val="21"/>
                <w:highlight w:val="none"/>
                <w:lang w:val="en-US" w:eastAsia="zh-CN"/>
              </w:rPr>
              <w:t>风量</w:t>
            </w:r>
            <w:r>
              <w:rPr>
                <w:rFonts w:hint="default" w:ascii="Times New Roman" w:hAnsi="Times New Roman" w:eastAsia="宋体" w:cs="Times New Roman"/>
                <w:color w:val="auto"/>
                <w:spacing w:val="0"/>
                <w:position w:val="0"/>
                <w:sz w:val="21"/>
                <w:szCs w:val="21"/>
                <w:highlight w:val="none"/>
              </w:rPr>
              <w:t>10600m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lang w:val="en-US" w:eastAsia="zh-CN"/>
              </w:rPr>
              <w:t>排</w:t>
            </w:r>
            <w:r>
              <w:rPr>
                <w:rFonts w:hint="default" w:ascii="Times New Roman" w:hAnsi="Times New Roman" w:eastAsia="宋体" w:cs="Times New Roman"/>
                <w:color w:val="auto"/>
                <w:spacing w:val="0"/>
                <w:position w:val="0"/>
                <w:sz w:val="21"/>
                <w:szCs w:val="21"/>
                <w:highlight w:val="none"/>
              </w:rPr>
              <w:t>风量</w:t>
            </w:r>
            <w:r>
              <w:rPr>
                <w:rFonts w:hint="default" w:ascii="Times New Roman" w:hAnsi="Times New Roman" w:eastAsia="宋体" w:cs="Times New Roman"/>
                <w:color w:val="auto"/>
                <w:spacing w:val="0"/>
                <w:position w:val="0"/>
                <w:sz w:val="21"/>
                <w:szCs w:val="21"/>
                <w:highlight w:val="none"/>
                <w:lang w:eastAsia="zh-CN"/>
              </w:rPr>
              <w:t>为</w:t>
            </w:r>
            <w:r>
              <w:rPr>
                <w:rFonts w:hint="default" w:ascii="Times New Roman" w:hAnsi="Times New Roman" w:eastAsia="宋体" w:cs="Times New Roman"/>
                <w:color w:val="auto"/>
                <w:spacing w:val="0"/>
                <w:position w:val="0"/>
                <w:sz w:val="21"/>
                <w:szCs w:val="21"/>
                <w:highlight w:val="none"/>
                <w:lang w:val="en-US" w:eastAsia="zh-CN"/>
              </w:rPr>
              <w:t>5</w:t>
            </w:r>
            <w:r>
              <w:rPr>
                <w:rFonts w:hint="default" w:ascii="Times New Roman" w:hAnsi="Times New Roman" w:eastAsia="宋体" w:cs="Times New Roman"/>
                <w:color w:val="auto"/>
                <w:spacing w:val="0"/>
                <w:position w:val="0"/>
                <w:sz w:val="21"/>
                <w:szCs w:val="21"/>
                <w:highlight w:val="none"/>
              </w:rPr>
              <w:t>00m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val="en-US" w:eastAsia="zh-CN"/>
              </w:rPr>
              <w:t>设备间</w:t>
            </w:r>
            <w:r>
              <w:rPr>
                <w:rFonts w:hint="default" w:ascii="Times New Roman" w:hAnsi="Times New Roman" w:eastAsia="宋体" w:cs="Times New Roman"/>
                <w:color w:val="auto"/>
                <w:spacing w:val="0"/>
                <w:position w:val="0"/>
                <w:sz w:val="21"/>
                <w:szCs w:val="21"/>
                <w:highlight w:val="none"/>
              </w:rPr>
              <w:t>安装1台</w:t>
            </w:r>
            <w:r>
              <w:rPr>
                <w:rFonts w:hint="default" w:ascii="Times New Roman" w:hAnsi="Times New Roman" w:eastAsia="宋体" w:cs="Times New Roman"/>
                <w:color w:val="auto"/>
                <w:spacing w:val="0"/>
                <w:position w:val="0"/>
                <w:sz w:val="21"/>
                <w:szCs w:val="21"/>
                <w:highlight w:val="none"/>
                <w:lang w:val="en-US" w:eastAsia="zh-CN"/>
              </w:rPr>
              <w:t>精密空调</w:t>
            </w:r>
            <w:r>
              <w:rPr>
                <w:rFonts w:hint="default" w:ascii="Times New Roman" w:hAnsi="Times New Roman" w:eastAsia="宋体" w:cs="Times New Roman"/>
                <w:color w:val="auto"/>
                <w:spacing w:val="0"/>
                <w:position w:val="0"/>
                <w:sz w:val="21"/>
                <w:szCs w:val="21"/>
                <w:highlight w:val="none"/>
              </w:rPr>
              <w:t>，项目DSA手术室内采用</w:t>
            </w:r>
            <w:r>
              <w:rPr>
                <w:rFonts w:hint="default" w:ascii="Times New Roman" w:hAnsi="Times New Roman" w:eastAsia="宋体" w:cs="Times New Roman"/>
                <w:color w:val="auto"/>
                <w:spacing w:val="0"/>
                <w:position w:val="0"/>
                <w:sz w:val="21"/>
                <w:szCs w:val="21"/>
                <w:highlight w:val="none"/>
                <w:lang w:val="en-US" w:eastAsia="zh-CN"/>
              </w:rPr>
              <w:t>顶部送风，侧吸</w:t>
            </w:r>
            <w:r>
              <w:rPr>
                <w:rFonts w:hint="default" w:ascii="Times New Roman" w:hAnsi="Times New Roman" w:eastAsia="宋体" w:cs="Times New Roman"/>
                <w:color w:val="auto"/>
                <w:spacing w:val="0"/>
                <w:position w:val="0"/>
                <w:sz w:val="21"/>
                <w:szCs w:val="21"/>
                <w:highlight w:val="none"/>
              </w:rPr>
              <w:t>的</w:t>
            </w:r>
            <w:r>
              <w:rPr>
                <w:rFonts w:hint="default" w:ascii="Times New Roman" w:hAnsi="Times New Roman" w:eastAsia="宋体" w:cs="Times New Roman"/>
                <w:color w:val="auto"/>
                <w:spacing w:val="0"/>
                <w:position w:val="0"/>
                <w:sz w:val="21"/>
                <w:szCs w:val="21"/>
                <w:highlight w:val="none"/>
                <w:lang w:val="en-US" w:eastAsia="zh-CN"/>
              </w:rPr>
              <w:t>排风</w:t>
            </w:r>
            <w:r>
              <w:rPr>
                <w:rFonts w:hint="default" w:ascii="Times New Roman" w:hAnsi="Times New Roman" w:eastAsia="宋体" w:cs="Times New Roman"/>
                <w:color w:val="auto"/>
                <w:spacing w:val="0"/>
                <w:position w:val="0"/>
                <w:sz w:val="21"/>
                <w:szCs w:val="21"/>
                <w:highlight w:val="none"/>
              </w:rPr>
              <w:t>系统，</w:t>
            </w:r>
            <w:r>
              <w:rPr>
                <w:rFonts w:hint="default" w:ascii="Times New Roman" w:hAnsi="Times New Roman" w:eastAsia="宋体" w:cs="Times New Roman"/>
                <w:color w:val="auto"/>
                <w:spacing w:val="0"/>
                <w:position w:val="0"/>
                <w:sz w:val="21"/>
                <w:szCs w:val="21"/>
                <w:highlight w:val="none"/>
                <w:lang w:val="en-US" w:eastAsia="zh-CN"/>
              </w:rPr>
              <w:t>排风口离地约30cm，风管从机房北侧屏蔽墙穿出机房，经</w:t>
            </w:r>
            <w:r>
              <w:rPr>
                <w:rFonts w:hint="eastAsia" w:cs="Times New Roman"/>
                <w:color w:val="auto"/>
                <w:spacing w:val="0"/>
                <w:position w:val="0"/>
                <w:sz w:val="21"/>
                <w:szCs w:val="21"/>
                <w:highlight w:val="none"/>
                <w:lang w:val="en-US" w:eastAsia="zh-CN"/>
              </w:rPr>
              <w:t>机房装饰面板吊顶</w:t>
            </w:r>
            <w:r>
              <w:rPr>
                <w:rFonts w:hint="default" w:ascii="Times New Roman" w:hAnsi="Times New Roman" w:eastAsia="宋体" w:cs="Times New Roman"/>
                <w:color w:val="auto"/>
                <w:spacing w:val="0"/>
                <w:position w:val="0"/>
                <w:sz w:val="21"/>
                <w:szCs w:val="21"/>
                <w:highlight w:val="none"/>
                <w:lang w:val="en-US" w:eastAsia="zh-CN"/>
              </w:rPr>
              <w:t>区域引至住院楼5楼中央空调机房，经5楼中央空调统一通过住院楼排风竖井排放。室吊顶和墙体均预留风孔，穿防护墙处采用垂直斜向45°穿墙，穿墙部位距地面均为3m，风管用3mm厚铅皮包裹，包裹长度为穿墙前后各30cm，穿墙部分间隙用硫酸钡水泥砂浆封堵填实，风管法兰接口、弯管用3mm厚铅皮搭接，经过铅皮等防护措施处理后，能够有效防止射线直接从风管照射出机房，拟建</w:t>
            </w:r>
            <w:r>
              <w:rPr>
                <w:rFonts w:hint="default" w:ascii="Times New Roman" w:hAnsi="Times New Roman" w:eastAsia="宋体" w:cs="Times New Roman"/>
                <w:color w:val="auto"/>
                <w:spacing w:val="0"/>
                <w:position w:val="0"/>
                <w:sz w:val="21"/>
                <w:szCs w:val="21"/>
                <w:highlight w:val="none"/>
              </w:rPr>
              <w:t>。</w:t>
            </w:r>
          </w:p>
          <w:p w14:paraId="48E53328">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yellow"/>
              </w:rPr>
            </w:pPr>
            <w:r>
              <w:rPr>
                <w:rFonts w:hint="default" w:ascii="Times New Roman" w:hAnsi="Times New Roman" w:eastAsia="宋体" w:cs="Times New Roman"/>
                <w:color w:val="auto"/>
                <w:spacing w:val="0"/>
                <w:position w:val="0"/>
                <w:sz w:val="21"/>
                <w:szCs w:val="21"/>
                <w:highlight w:val="none"/>
              </w:rPr>
              <w:t>电缆沟：</w:t>
            </w:r>
            <w:r>
              <w:rPr>
                <w:rFonts w:hint="default" w:ascii="Times New Roman" w:hAnsi="Times New Roman" w:eastAsia="宋体" w:cs="Times New Roman"/>
                <w:color w:val="auto"/>
                <w:spacing w:val="0"/>
                <w:position w:val="0"/>
                <w:sz w:val="21"/>
                <w:szCs w:val="21"/>
                <w:lang w:val="en-US" w:eastAsia="zh-CN"/>
              </w:rPr>
              <w:t>本项目电缆共有2条路线，一个是空中桥架（上方悬挂的DSA显示系统的电缆），一个地面的设备基座和检查床电缆。（1）本项目DSA上方悬挂的C型臂的电缆在</w:t>
            </w:r>
            <w:r>
              <w:rPr>
                <w:rFonts w:hint="eastAsia" w:cs="Times New Roman"/>
                <w:color w:val="auto"/>
                <w:spacing w:val="0"/>
                <w:position w:val="0"/>
                <w:sz w:val="21"/>
                <w:szCs w:val="21"/>
                <w:highlight w:val="none"/>
                <w:lang w:val="en-US" w:eastAsia="zh-CN"/>
              </w:rPr>
              <w:t>机房装饰面板吊顶</w:t>
            </w:r>
            <w:r>
              <w:rPr>
                <w:rFonts w:hint="default" w:ascii="Times New Roman" w:hAnsi="Times New Roman" w:eastAsia="宋体" w:cs="Times New Roman"/>
                <w:color w:val="auto"/>
                <w:spacing w:val="0"/>
                <w:position w:val="0"/>
                <w:sz w:val="21"/>
                <w:szCs w:val="21"/>
                <w:lang w:val="en-US" w:eastAsia="zh-CN"/>
              </w:rPr>
              <w:t>内设置电缆桥架，电缆桥架穿墙后进入控制室，穿防护墙处采用斜穿的方式，电缆桥架穿墙处设置4mm防护铅板，长度完全覆盖电缆穿墙部位，穿墙孔洞两端外延部分再用4mm厚铅皮包裹，长度为穿墙前后各30cm，穿墙部分间隙用硫酸钡水泥砂浆封堵填实。能够有效防止射线泄漏，穿墙部分不会影响墙体整体的防护性能，拟建。（2）本项目DSA设备主体电缆从设备基座和检查床下方分别设置电缆桥架，设备基座下方楼板开洞（直径150mm×2个），检查床下方楼板开洞（直径120mm×1个），后在四楼天花板吊顶内设置电缆桥架（固着于楼板下方300mm处），设备基座和检查床电缆从楼下吊顶内电缆桥架进入设备间（直径300mm×1个），不从控制室和设备间穿墙。采取了以下专项屏蔽防护措施：①在设备基座和检查床下方的两个楼板开洞处，采用厚度不小于4mm的铅板进行覆盖防护。铅板覆盖范围超过孔洞边缘不小于100mm，并与楼板紧密贴合，确保无缝防护。②电缆桥架穿墙防护：对于在楼下吊顶内敷设的电缆桥架，在穿墙处采用直穿方式。在电缆桥架穿墙部位设置厚度不小于4mm的防护铅板，同时对穿墙段电缆桥架弯管处用厚度不小于4mm的铅皮进行包裹，包裹长度为穿墙前后各30cm，实现双重屏蔽，并与楼板开洞处防护铅板紧密贴合，穿墙部分间隙用硫酸钡水泥砂浆封堵填实。能够有效防止射线泄漏，穿墙部分不会影响墙体整体的防护性能</w:t>
            </w:r>
            <w:r>
              <w:rPr>
                <w:rFonts w:hint="default" w:ascii="Times New Roman" w:hAnsi="Times New Roman" w:eastAsia="宋体" w:cs="Times New Roman"/>
                <w:color w:val="auto"/>
                <w:spacing w:val="0"/>
                <w:position w:val="0"/>
                <w:sz w:val="21"/>
                <w:szCs w:val="21"/>
                <w:highlight w:val="none"/>
                <w:lang w:val="en-US" w:eastAsia="zh-CN"/>
              </w:rPr>
              <w:t>，拟建。</w:t>
            </w:r>
          </w:p>
          <w:p w14:paraId="3191FF50">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操作位：</w:t>
            </w:r>
            <w:r>
              <w:rPr>
                <w:rFonts w:hint="default" w:ascii="Times New Roman" w:hAnsi="Times New Roman" w:eastAsia="宋体" w:cs="Times New Roman"/>
                <w:color w:val="auto"/>
                <w:spacing w:val="0"/>
                <w:position w:val="0"/>
                <w:sz w:val="21"/>
                <w:szCs w:val="21"/>
                <w:highlight w:val="none"/>
                <w:lang w:val="en-US" w:eastAsia="zh-CN"/>
              </w:rPr>
              <w:t>设置铅悬挂防护屏和床侧铅防护帘各一套，具有0.5mm铅当量，新采购</w:t>
            </w:r>
            <w:r>
              <w:rPr>
                <w:rFonts w:hint="default" w:ascii="Times New Roman" w:hAnsi="Times New Roman" w:eastAsia="宋体" w:cs="Times New Roman"/>
                <w:color w:val="auto"/>
                <w:spacing w:val="0"/>
                <w:position w:val="0"/>
                <w:sz w:val="21"/>
                <w:szCs w:val="21"/>
                <w:highlight w:val="none"/>
              </w:rPr>
              <w:t>。</w:t>
            </w:r>
          </w:p>
          <w:p w14:paraId="4B58F305">
            <w:pPr>
              <w:pStyle w:val="36"/>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highlight w:val="none"/>
              </w:rPr>
            </w:pPr>
            <w:r>
              <w:rPr>
                <w:rFonts w:hint="default" w:ascii="Times New Roman" w:hAnsi="Times New Roman" w:eastAsia="宋体" w:cs="Times New Roman"/>
                <w:color w:val="auto"/>
                <w:spacing w:val="0"/>
                <w:position w:val="0"/>
                <w:sz w:val="21"/>
                <w:szCs w:val="21"/>
                <w:highlight w:val="none"/>
              </w:rPr>
              <w:t>机房屏蔽施工时</w:t>
            </w:r>
            <w:r>
              <w:rPr>
                <w:rFonts w:hint="default" w:ascii="Times New Roman" w:hAnsi="Times New Roman" w:eastAsia="宋体" w:cs="Times New Roman"/>
                <w:color w:val="auto"/>
                <w:spacing w:val="0"/>
                <w:position w:val="0"/>
                <w:sz w:val="21"/>
                <w:szCs w:val="21"/>
                <w:highlight w:val="none"/>
                <w:lang w:eastAsia="zh-CN"/>
              </w:rPr>
              <w:t>，</w:t>
            </w:r>
            <w:r>
              <w:rPr>
                <w:rFonts w:hint="default" w:ascii="Times New Roman" w:hAnsi="Times New Roman" w:eastAsia="宋体" w:cs="Times New Roman"/>
                <w:color w:val="auto"/>
                <w:spacing w:val="0"/>
                <w:position w:val="0"/>
                <w:sz w:val="21"/>
                <w:szCs w:val="21"/>
                <w:highlight w:val="none"/>
              </w:rPr>
              <w:t>机房门与墙、窗与墙之间的重叠处搭接应大于相关缝隙的10倍。</w:t>
            </w:r>
          </w:p>
          <w:p w14:paraId="5BFA5E73">
            <w:pPr>
              <w:pStyle w:val="36"/>
              <w:keepNext w:val="0"/>
              <w:keepLines w:val="0"/>
              <w:suppressLineNumbers w:val="0"/>
              <w:kinsoku w:val="0"/>
              <w:overflowPunct w:val="0"/>
              <w:adjustRightInd w:val="0"/>
              <w:snapToGrid w:val="0"/>
              <w:spacing w:before="0" w:beforeAutospacing="0" w:after="0" w:afterAutospacing="0"/>
              <w:ind w:left="0" w:right="0" w:firstLine="420" w:firstLineChars="200"/>
              <w:jc w:val="left"/>
              <w:textAlignment w:val="center"/>
              <w:rPr>
                <w:rFonts w:hint="default" w:ascii="Times New Roman" w:hAnsi="Times New Roman" w:eastAsia="宋体" w:cs="Times New Roman"/>
                <w:color w:val="auto"/>
                <w:spacing w:val="0"/>
                <w:position w:val="0"/>
                <w:sz w:val="21"/>
                <w:szCs w:val="21"/>
                <w:lang w:val="en-US" w:eastAsia="zh-CN"/>
              </w:rPr>
            </w:pPr>
            <w:r>
              <w:rPr>
                <w:rFonts w:hint="default" w:ascii="Times New Roman" w:hAnsi="Times New Roman" w:eastAsia="宋体" w:cs="Times New Roman"/>
                <w:color w:val="auto"/>
                <w:spacing w:val="0"/>
                <w:position w:val="0"/>
                <w:sz w:val="21"/>
                <w:szCs w:val="21"/>
                <w:highlight w:val="none"/>
              </w:rPr>
              <w:t>项目所用混凝土密度不小于2.35g/cm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，硫酸钡砂浆密度不小于</w:t>
            </w:r>
            <w:r>
              <w:rPr>
                <w:rFonts w:hint="default" w:ascii="Times New Roman" w:hAnsi="Times New Roman" w:eastAsia="宋体" w:cs="Times New Roman"/>
                <w:color w:val="auto"/>
                <w:spacing w:val="0"/>
                <w:position w:val="0"/>
                <w:sz w:val="21"/>
                <w:szCs w:val="21"/>
                <w:highlight w:val="none"/>
                <w:lang w:val="en-US" w:eastAsia="zh-CN"/>
              </w:rPr>
              <w:t>3.2</w:t>
            </w:r>
            <w:r>
              <w:rPr>
                <w:rFonts w:hint="default" w:ascii="Times New Roman" w:hAnsi="Times New Roman" w:eastAsia="宋体" w:cs="Times New Roman"/>
                <w:color w:val="auto"/>
                <w:spacing w:val="0"/>
                <w:position w:val="0"/>
                <w:sz w:val="21"/>
                <w:szCs w:val="21"/>
                <w:highlight w:val="none"/>
              </w:rPr>
              <w:t>g/cm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vertAlign w:val="baseline"/>
                <w:lang w:eastAsia="zh-CN"/>
              </w:rPr>
              <w:t>，</w:t>
            </w:r>
            <w:r>
              <w:rPr>
                <w:rFonts w:hint="default" w:ascii="Times New Roman" w:hAnsi="Times New Roman" w:eastAsia="宋体" w:cs="Times New Roman"/>
                <w:color w:val="auto"/>
                <w:spacing w:val="0"/>
                <w:position w:val="0"/>
                <w:sz w:val="21"/>
                <w:szCs w:val="21"/>
                <w:highlight w:val="none"/>
                <w:vertAlign w:val="baseline"/>
                <w:lang w:val="en-US" w:eastAsia="zh-CN"/>
              </w:rPr>
              <w:t>水泥与硫酸钡的配比比例为1:4</w:t>
            </w:r>
            <w:r>
              <w:rPr>
                <w:rFonts w:hint="default" w:ascii="Times New Roman" w:hAnsi="Times New Roman" w:eastAsia="宋体" w:cs="Times New Roman"/>
                <w:color w:val="auto"/>
                <w:spacing w:val="0"/>
                <w:position w:val="0"/>
                <w:szCs w:val="21"/>
                <w:highlight w:val="none"/>
              </w:rPr>
              <w:t>。</w:t>
            </w:r>
          </w:p>
        </w:tc>
        <w:tc>
          <w:tcPr>
            <w:tcW w:w="647" w:type="dxa"/>
            <w:tcBorders>
              <w:top w:val="single" w:color="auto" w:sz="8" w:space="0"/>
              <w:bottom w:val="single" w:color="auto" w:sz="8" w:space="0"/>
              <w:right w:val="single" w:color="auto" w:sz="4" w:space="0"/>
            </w:tcBorders>
            <w:noWrap w:val="0"/>
            <w:vAlign w:val="center"/>
          </w:tcPr>
          <w:p w14:paraId="53A33D8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13050B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 w:type="dxa"/>
            <w:tcBorders>
              <w:top w:val="single" w:color="auto" w:sz="8" w:space="0"/>
              <w:left w:val="single" w:color="auto" w:sz="4" w:space="0"/>
              <w:bottom w:val="single" w:color="auto" w:sz="8" w:space="0"/>
            </w:tcBorders>
            <w:noWrap w:val="0"/>
            <w:vAlign w:val="center"/>
          </w:tcPr>
          <w:p w14:paraId="1880494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程序合法性</w:t>
            </w:r>
          </w:p>
        </w:tc>
        <w:tc>
          <w:tcPr>
            <w:tcW w:w="1731" w:type="dxa"/>
            <w:tcBorders>
              <w:top w:val="single" w:color="auto" w:sz="8" w:space="0"/>
              <w:bottom w:val="single" w:color="auto" w:sz="8" w:space="0"/>
            </w:tcBorders>
            <w:noWrap w:val="0"/>
            <w:vAlign w:val="center"/>
          </w:tcPr>
          <w:p w14:paraId="654A2496">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环保手续执行情况</w:t>
            </w:r>
          </w:p>
        </w:tc>
        <w:tc>
          <w:tcPr>
            <w:tcW w:w="5727" w:type="dxa"/>
            <w:tcBorders>
              <w:top w:val="single" w:color="auto" w:sz="8" w:space="0"/>
              <w:bottom w:val="single" w:color="auto" w:sz="8" w:space="0"/>
            </w:tcBorders>
            <w:noWrap w:val="0"/>
            <w:vAlign w:val="center"/>
          </w:tcPr>
          <w:p w14:paraId="631D23A0">
            <w:pPr>
              <w:pStyle w:val="36"/>
              <w:keepNext w:val="0"/>
              <w:keepLines w:val="0"/>
              <w:suppressLineNumbers w:val="0"/>
              <w:spacing w:before="0" w:beforeAutospacing="0" w:after="0" w:afterAutospacing="0" w:line="252" w:lineRule="auto"/>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本项目环评批复</w:t>
            </w:r>
          </w:p>
        </w:tc>
        <w:tc>
          <w:tcPr>
            <w:tcW w:w="647" w:type="dxa"/>
            <w:tcBorders>
              <w:top w:val="single" w:color="auto" w:sz="8" w:space="0"/>
              <w:bottom w:val="single" w:color="auto" w:sz="8" w:space="0"/>
              <w:right w:val="single" w:color="auto" w:sz="4" w:space="0"/>
            </w:tcBorders>
            <w:noWrap w:val="0"/>
            <w:vAlign w:val="center"/>
          </w:tcPr>
          <w:p w14:paraId="7EAE8501">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355966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37" w:type="dxa"/>
            <w:gridSpan w:val="2"/>
            <w:tcBorders>
              <w:top w:val="single" w:color="auto" w:sz="8" w:space="0"/>
              <w:left w:val="single" w:color="auto" w:sz="4" w:space="0"/>
              <w:bottom w:val="single" w:color="auto" w:sz="8" w:space="0"/>
            </w:tcBorders>
            <w:noWrap w:val="0"/>
            <w:vAlign w:val="center"/>
          </w:tcPr>
          <w:p w14:paraId="4B21BB2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设备参数</w:t>
            </w:r>
          </w:p>
        </w:tc>
        <w:tc>
          <w:tcPr>
            <w:tcW w:w="5727" w:type="dxa"/>
            <w:tcBorders>
              <w:top w:val="single" w:color="auto" w:sz="8" w:space="0"/>
              <w:bottom w:val="single" w:color="auto" w:sz="8" w:space="0"/>
            </w:tcBorders>
            <w:noWrap w:val="0"/>
            <w:vAlign w:val="center"/>
          </w:tcPr>
          <w:p w14:paraId="0C8F62A9">
            <w:pPr>
              <w:pStyle w:val="36"/>
              <w:keepNext w:val="0"/>
              <w:keepLines w:val="0"/>
              <w:suppressLineNumbers w:val="0"/>
              <w:spacing w:before="0" w:beforeAutospacing="0" w:after="0" w:afterAutospacing="0" w:line="252" w:lineRule="auto"/>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设备型号、参数与环评一致</w:t>
            </w:r>
          </w:p>
        </w:tc>
        <w:tc>
          <w:tcPr>
            <w:tcW w:w="647" w:type="dxa"/>
            <w:tcBorders>
              <w:top w:val="single" w:color="auto" w:sz="8" w:space="0"/>
              <w:bottom w:val="single" w:color="auto" w:sz="8" w:space="0"/>
              <w:right w:val="single" w:color="auto" w:sz="4" w:space="0"/>
            </w:tcBorders>
            <w:noWrap w:val="0"/>
            <w:vAlign w:val="center"/>
          </w:tcPr>
          <w:p w14:paraId="03141FA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740E29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 w:type="dxa"/>
            <w:tcBorders>
              <w:top w:val="single" w:color="auto" w:sz="8" w:space="0"/>
              <w:left w:val="single" w:color="auto" w:sz="4" w:space="0"/>
            </w:tcBorders>
            <w:noWrap w:val="0"/>
            <w:vAlign w:val="center"/>
          </w:tcPr>
          <w:p w14:paraId="2476B233">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辐射安全管理机构</w:t>
            </w:r>
          </w:p>
        </w:tc>
        <w:tc>
          <w:tcPr>
            <w:tcW w:w="1731" w:type="dxa"/>
            <w:tcBorders>
              <w:top w:val="single" w:color="auto" w:sz="8" w:space="0"/>
            </w:tcBorders>
            <w:noWrap w:val="0"/>
            <w:vAlign w:val="center"/>
          </w:tcPr>
          <w:p w14:paraId="5B5AC11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设置辐射安全与环境保护管理机构，或者指定专职人员负责辐射安全与环境保护管理工作</w:t>
            </w:r>
          </w:p>
        </w:tc>
        <w:tc>
          <w:tcPr>
            <w:tcW w:w="5727" w:type="dxa"/>
            <w:tcBorders>
              <w:top w:val="single" w:color="auto" w:sz="8" w:space="0"/>
            </w:tcBorders>
            <w:noWrap w:val="0"/>
            <w:vAlign w:val="center"/>
          </w:tcPr>
          <w:p w14:paraId="6EDA9CF6">
            <w:pPr>
              <w:pStyle w:val="36"/>
              <w:keepNext w:val="0"/>
              <w:keepLines w:val="0"/>
              <w:suppressLineNumbers w:val="0"/>
              <w:spacing w:before="0" w:beforeAutospacing="0" w:after="0" w:afterAutospacing="0" w:line="252" w:lineRule="auto"/>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医院成立专门的辐射安全与环境保护管理机构，指定专人专职负责辐射安全与环境保护管理工作，以文件形式明确了各成员的管理职责。</w:t>
            </w:r>
          </w:p>
        </w:tc>
        <w:tc>
          <w:tcPr>
            <w:tcW w:w="647" w:type="dxa"/>
            <w:tcBorders>
              <w:top w:val="single" w:color="auto" w:sz="8" w:space="0"/>
              <w:right w:val="single" w:color="auto" w:sz="4" w:space="0"/>
            </w:tcBorders>
            <w:noWrap w:val="0"/>
            <w:vAlign w:val="center"/>
          </w:tcPr>
          <w:p w14:paraId="30335566">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38D4EA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6" w:type="dxa"/>
            <w:vMerge w:val="restart"/>
            <w:tcBorders>
              <w:left w:val="single" w:color="auto" w:sz="4" w:space="0"/>
            </w:tcBorders>
            <w:noWrap w:val="0"/>
            <w:vAlign w:val="center"/>
          </w:tcPr>
          <w:p w14:paraId="3F93038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辐射安全措施</w:t>
            </w:r>
          </w:p>
        </w:tc>
        <w:tc>
          <w:tcPr>
            <w:tcW w:w="1731" w:type="dxa"/>
            <w:noWrap w:val="0"/>
            <w:vAlign w:val="center"/>
          </w:tcPr>
          <w:p w14:paraId="447A1AB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安全措施</w:t>
            </w:r>
          </w:p>
        </w:tc>
        <w:tc>
          <w:tcPr>
            <w:tcW w:w="5727" w:type="dxa"/>
            <w:noWrap w:val="0"/>
            <w:vAlign w:val="center"/>
          </w:tcPr>
          <w:p w14:paraId="1D112504">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（1）</w:t>
            </w:r>
            <w:r>
              <w:rPr>
                <w:rFonts w:hint="default" w:ascii="Times New Roman" w:hAnsi="Times New Roman" w:eastAsia="宋体" w:cs="Times New Roman"/>
                <w:color w:val="auto"/>
                <w:spacing w:val="0"/>
                <w:position w:val="0"/>
                <w:szCs w:val="21"/>
                <w:lang w:eastAsia="zh-CN"/>
              </w:rPr>
              <w:t>DSA机房患者通道防护门、控制室防护门和污物通道</w:t>
            </w:r>
            <w:r>
              <w:rPr>
                <w:rFonts w:hint="default" w:ascii="Times New Roman" w:hAnsi="Times New Roman" w:eastAsia="宋体" w:cs="Times New Roman"/>
                <w:color w:val="auto"/>
                <w:spacing w:val="0"/>
                <w:position w:val="0"/>
                <w:szCs w:val="21"/>
                <w:lang w:val="en-US" w:eastAsia="zh-CN"/>
              </w:rPr>
              <w:t>防护门</w:t>
            </w:r>
            <w:r>
              <w:rPr>
                <w:rFonts w:hint="default" w:ascii="Times New Roman" w:hAnsi="Times New Roman" w:eastAsia="宋体" w:cs="Times New Roman"/>
                <w:color w:val="auto"/>
                <w:spacing w:val="0"/>
                <w:position w:val="0"/>
                <w:szCs w:val="21"/>
                <w:lang w:eastAsia="zh-CN"/>
              </w:rPr>
              <w:t>上方设置醒目的工作状态指示灯，灯箱上设置有“当心射线”的可视警示语句，同时，工作状态指示灯能与机房门有效关联。当机房门开启时，警示灯熄灭，机房门关闭时，警示灯开启</w:t>
            </w:r>
            <w:r>
              <w:rPr>
                <w:rFonts w:hint="default" w:ascii="Times New Roman" w:hAnsi="Times New Roman" w:eastAsia="宋体" w:cs="Times New Roman"/>
                <w:color w:val="auto"/>
                <w:spacing w:val="0"/>
                <w:position w:val="0"/>
                <w:szCs w:val="21"/>
              </w:rPr>
              <w:t>；</w:t>
            </w:r>
          </w:p>
          <w:p w14:paraId="0FF1A0B8">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（2）DSA机房</w:t>
            </w:r>
            <w:r>
              <w:rPr>
                <w:rFonts w:hint="default" w:ascii="Times New Roman" w:hAnsi="Times New Roman" w:eastAsia="宋体" w:cs="Times New Roman"/>
                <w:color w:val="auto"/>
                <w:spacing w:val="0"/>
                <w:position w:val="0"/>
                <w:szCs w:val="21"/>
                <w:lang w:val="en-US" w:eastAsia="zh-CN"/>
              </w:rPr>
              <w:t>控制室防护门和患者通道防护门</w:t>
            </w:r>
            <w:r>
              <w:rPr>
                <w:rFonts w:hint="default" w:ascii="Times New Roman" w:hAnsi="Times New Roman" w:eastAsia="宋体" w:cs="Times New Roman"/>
                <w:color w:val="auto"/>
                <w:spacing w:val="0"/>
                <w:position w:val="0"/>
                <w:szCs w:val="21"/>
              </w:rPr>
              <w:t>中部</w:t>
            </w:r>
            <w:r>
              <w:rPr>
                <w:rFonts w:hint="default" w:ascii="Times New Roman" w:hAnsi="Times New Roman" w:eastAsia="宋体" w:cs="Times New Roman"/>
                <w:color w:val="auto"/>
                <w:spacing w:val="0"/>
                <w:position w:val="0"/>
                <w:szCs w:val="21"/>
                <w:lang w:val="en-US" w:eastAsia="zh-CN"/>
              </w:rPr>
              <w:t>已</w:t>
            </w:r>
            <w:r>
              <w:rPr>
                <w:rFonts w:hint="default" w:ascii="Times New Roman" w:hAnsi="Times New Roman" w:eastAsia="宋体" w:cs="Times New Roman"/>
                <w:color w:val="auto"/>
                <w:spacing w:val="0"/>
                <w:position w:val="0"/>
                <w:szCs w:val="21"/>
              </w:rPr>
              <w:t>设置</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当心电离辐射</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警示标志</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污物通道防护门拟设置“当心电离辐射”警示标志</w:t>
            </w:r>
            <w:r>
              <w:rPr>
                <w:rFonts w:hint="default" w:ascii="Times New Roman" w:hAnsi="Times New Roman" w:eastAsia="宋体" w:cs="Times New Roman"/>
                <w:color w:val="auto"/>
                <w:spacing w:val="0"/>
                <w:position w:val="0"/>
                <w:szCs w:val="21"/>
              </w:rPr>
              <w:t>，警示人们注意可能发生的危险。DSA机房</w:t>
            </w:r>
            <w:r>
              <w:rPr>
                <w:rFonts w:hint="default" w:ascii="Times New Roman" w:hAnsi="Times New Roman" w:eastAsia="宋体" w:cs="Times New Roman"/>
                <w:color w:val="auto"/>
                <w:spacing w:val="0"/>
                <w:position w:val="0"/>
                <w:szCs w:val="21"/>
                <w:lang w:val="en-US" w:eastAsia="zh-CN"/>
              </w:rPr>
              <w:t>控制室防护门和患者通道防护门</w:t>
            </w:r>
            <w:r>
              <w:rPr>
                <w:rFonts w:hint="default" w:ascii="Times New Roman" w:hAnsi="Times New Roman" w:eastAsia="宋体" w:cs="Times New Roman"/>
                <w:color w:val="auto"/>
                <w:spacing w:val="0"/>
                <w:position w:val="0"/>
                <w:szCs w:val="21"/>
              </w:rPr>
              <w:t>上方设置醒目的工作状态指示灯，灯箱上设置如</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射线有害、灯亮勿入</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的可视警示语句，提醒无关人员勿在此逗留；</w:t>
            </w:r>
          </w:p>
          <w:p w14:paraId="224BF548">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（3）DSA介入室患者通道防护门</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控制室</w:t>
            </w:r>
            <w:r>
              <w:rPr>
                <w:rFonts w:hint="default" w:ascii="Times New Roman" w:hAnsi="Times New Roman" w:eastAsia="宋体" w:cs="Times New Roman"/>
                <w:color w:val="auto"/>
                <w:spacing w:val="0"/>
                <w:position w:val="0"/>
                <w:szCs w:val="21"/>
              </w:rPr>
              <w:t>防护门设计有闭门装置</w:t>
            </w:r>
            <w:r>
              <w:rPr>
                <w:rFonts w:hint="default" w:ascii="Times New Roman" w:hAnsi="Times New Roman" w:eastAsia="宋体" w:cs="Times New Roman"/>
                <w:color w:val="auto"/>
                <w:spacing w:val="0"/>
                <w:position w:val="0"/>
                <w:szCs w:val="21"/>
                <w:lang w:val="en-US" w:eastAsia="zh-CN"/>
              </w:rPr>
              <w:t>及防夹装置，</w:t>
            </w:r>
            <w:r>
              <w:rPr>
                <w:rFonts w:hint="default" w:ascii="Times New Roman" w:hAnsi="Times New Roman" w:eastAsia="宋体" w:cs="Times New Roman"/>
                <w:color w:val="auto"/>
                <w:spacing w:val="0"/>
                <w:position w:val="0"/>
                <w:szCs w:val="21"/>
              </w:rPr>
              <w:t>患者通道防护门安装有闭门器，患者进出后自动闭合，开门由医生控制或防护门底侧脚感应开关控制</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可使防护门时刻处于关闭状态，防止射线泄漏到DSA机房外，导致误照射；</w:t>
            </w:r>
          </w:p>
          <w:p w14:paraId="72327B32">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（4）本项目控制室操作台、DSA</w:t>
            </w:r>
            <w:r>
              <w:rPr>
                <w:rFonts w:hint="default" w:ascii="Times New Roman" w:hAnsi="Times New Roman" w:eastAsia="宋体" w:cs="Times New Roman"/>
                <w:color w:val="auto"/>
                <w:spacing w:val="0"/>
                <w:position w:val="0"/>
                <w:szCs w:val="21"/>
                <w:lang w:val="en-US" w:eastAsia="zh-CN"/>
              </w:rPr>
              <w:t>设备</w:t>
            </w:r>
            <w:r>
              <w:rPr>
                <w:rFonts w:hint="default" w:ascii="Times New Roman" w:hAnsi="Times New Roman" w:eastAsia="宋体" w:cs="Times New Roman"/>
                <w:color w:val="auto"/>
                <w:spacing w:val="0"/>
                <w:position w:val="0"/>
                <w:szCs w:val="21"/>
              </w:rPr>
              <w:t>侧</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控制室铅门旁，拟分别</w:t>
            </w:r>
            <w:r>
              <w:rPr>
                <w:rFonts w:hint="default" w:ascii="Times New Roman" w:hAnsi="Times New Roman" w:eastAsia="宋体" w:cs="Times New Roman"/>
                <w:color w:val="auto"/>
                <w:spacing w:val="0"/>
                <w:position w:val="0"/>
                <w:szCs w:val="21"/>
              </w:rPr>
              <w:t>设置</w:t>
            </w:r>
            <w:r>
              <w:rPr>
                <w:rFonts w:hint="default" w:ascii="Times New Roman" w:hAnsi="Times New Roman" w:eastAsia="宋体" w:cs="Times New Roman"/>
                <w:color w:val="auto"/>
                <w:spacing w:val="0"/>
                <w:position w:val="0"/>
                <w:szCs w:val="21"/>
                <w:lang w:val="en-US" w:eastAsia="zh-CN"/>
              </w:rPr>
              <w:t>1个</w:t>
            </w:r>
            <w:r>
              <w:rPr>
                <w:rFonts w:hint="default" w:ascii="Times New Roman" w:hAnsi="Times New Roman" w:eastAsia="宋体" w:cs="Times New Roman"/>
                <w:color w:val="auto"/>
                <w:spacing w:val="0"/>
                <w:position w:val="0"/>
                <w:szCs w:val="21"/>
              </w:rPr>
              <w:t>紧急停止按钮</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rPr>
              <w:t>各按钮与X线系统连接</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共3个紧急停止按钮</w:t>
            </w:r>
            <w:r>
              <w:rPr>
                <w:rFonts w:hint="default" w:ascii="Times New Roman" w:hAnsi="Times New Roman" w:eastAsia="宋体" w:cs="Times New Roman"/>
                <w:color w:val="auto"/>
                <w:spacing w:val="0"/>
                <w:position w:val="0"/>
                <w:szCs w:val="21"/>
              </w:rPr>
              <w:t>。DSA射线装置系统的X线系统出束过程中，一旦出现异常，按动任紧急停机按钮，均可停止X线系统出束；</w:t>
            </w:r>
          </w:p>
          <w:p w14:paraId="37E3638B">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（5）视频监控及对讲系统：建设单位拟在DSA机房安装视频监控及对讲系统，患者进入DSA机房后，操作医师在控制室通过监控视频可实时监控DSA机房内患者状况及机房内情况，通过对讲系统与患者沟通；</w:t>
            </w:r>
          </w:p>
          <w:p w14:paraId="0830B842">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lang w:eastAsia="zh-CN"/>
              </w:rPr>
            </w:pPr>
            <w:r>
              <w:rPr>
                <w:rFonts w:hint="default" w:ascii="Times New Roman" w:hAnsi="Times New Roman" w:eastAsia="宋体" w:cs="Times New Roman"/>
                <w:color w:val="auto"/>
                <w:spacing w:val="0"/>
                <w:position w:val="0"/>
                <w:szCs w:val="21"/>
              </w:rPr>
              <w:t>（</w:t>
            </w:r>
            <w:r>
              <w:rPr>
                <w:rFonts w:hint="default" w:ascii="Times New Roman" w:hAnsi="Times New Roman" w:eastAsia="宋体" w:cs="Times New Roman"/>
                <w:color w:val="auto"/>
                <w:spacing w:val="0"/>
                <w:position w:val="0"/>
                <w:szCs w:val="21"/>
                <w:lang w:val="en-US" w:eastAsia="zh-CN"/>
              </w:rPr>
              <w:t>6</w:t>
            </w:r>
            <w:r>
              <w:rPr>
                <w:rFonts w:hint="default" w:ascii="Times New Roman" w:hAnsi="Times New Roman" w:eastAsia="宋体" w:cs="Times New Roman"/>
                <w:color w:val="auto"/>
                <w:spacing w:val="0"/>
                <w:position w:val="0"/>
                <w:szCs w:val="21"/>
              </w:rPr>
              <w:t>）在进行介入治疗时，防护门前禁止人员停留</w:t>
            </w:r>
            <w:r>
              <w:rPr>
                <w:rFonts w:hint="default" w:ascii="Times New Roman" w:hAnsi="Times New Roman" w:eastAsia="宋体" w:cs="Times New Roman"/>
                <w:color w:val="auto"/>
                <w:spacing w:val="0"/>
                <w:position w:val="0"/>
                <w:szCs w:val="21"/>
                <w:lang w:eastAsia="zh-CN"/>
              </w:rPr>
              <w:t>；</w:t>
            </w:r>
          </w:p>
          <w:p w14:paraId="73A3ACAE">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lang w:eastAsia="zh-CN"/>
              </w:rPr>
            </w:pP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7</w:t>
            </w:r>
            <w:r>
              <w:rPr>
                <w:rFonts w:hint="default" w:ascii="Times New Roman" w:hAnsi="Times New Roman" w:eastAsia="宋体" w:cs="Times New Roman"/>
                <w:color w:val="auto"/>
                <w:spacing w:val="0"/>
                <w:position w:val="0"/>
                <w:szCs w:val="21"/>
                <w:lang w:eastAsia="zh-CN"/>
              </w:rPr>
              <w:t>）</w:t>
            </w:r>
            <w:r>
              <w:rPr>
                <w:rFonts w:hint="default" w:ascii="Times New Roman" w:hAnsi="Times New Roman" w:eastAsia="宋体" w:cs="Times New Roman"/>
                <w:color w:val="auto"/>
                <w:spacing w:val="0"/>
                <w:position w:val="0"/>
                <w:szCs w:val="21"/>
                <w:lang w:val="en-US" w:eastAsia="zh-CN"/>
              </w:rPr>
              <w:t>门扇底部采用防护铅胶条处理，密封地面缝隙，机房移动铅门与墙之间重叠30cm（两侧各15cm），高度高于门洞10cm</w:t>
            </w:r>
            <w:r>
              <w:rPr>
                <w:rFonts w:hint="default" w:ascii="Times New Roman" w:hAnsi="Times New Roman" w:eastAsia="宋体" w:cs="Times New Roman"/>
                <w:color w:val="auto"/>
                <w:spacing w:val="0"/>
                <w:position w:val="0"/>
                <w:szCs w:val="21"/>
                <w:lang w:eastAsia="zh-CN"/>
              </w:rPr>
              <w:t>；</w:t>
            </w:r>
          </w:p>
        </w:tc>
        <w:tc>
          <w:tcPr>
            <w:tcW w:w="647" w:type="dxa"/>
            <w:tcBorders>
              <w:right w:val="single" w:color="auto" w:sz="4" w:space="0"/>
            </w:tcBorders>
            <w:noWrap w:val="0"/>
            <w:vAlign w:val="center"/>
          </w:tcPr>
          <w:p w14:paraId="3E2649EF">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6EFD23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06" w:type="dxa"/>
            <w:vMerge w:val="continue"/>
            <w:tcBorders>
              <w:left w:val="single" w:color="auto" w:sz="4" w:space="0"/>
            </w:tcBorders>
            <w:noWrap w:val="0"/>
            <w:vAlign w:val="center"/>
          </w:tcPr>
          <w:p w14:paraId="73B48B6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1731" w:type="dxa"/>
            <w:noWrap w:val="0"/>
            <w:vAlign w:val="center"/>
          </w:tcPr>
          <w:p w14:paraId="5F3239DA">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通风措施</w:t>
            </w:r>
          </w:p>
        </w:tc>
        <w:tc>
          <w:tcPr>
            <w:tcW w:w="5727" w:type="dxa"/>
            <w:noWrap w:val="0"/>
            <w:vAlign w:val="center"/>
          </w:tcPr>
          <w:p w14:paraId="2287F65A">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通排风：</w:t>
            </w:r>
            <w:r>
              <w:rPr>
                <w:rFonts w:hint="default" w:ascii="Times New Roman" w:hAnsi="Times New Roman" w:eastAsia="宋体" w:cs="Times New Roman"/>
                <w:color w:val="auto"/>
                <w:spacing w:val="0"/>
                <w:position w:val="0"/>
                <w:szCs w:val="21"/>
                <w:highlight w:val="none"/>
              </w:rPr>
              <w:t>机房采用</w:t>
            </w:r>
            <w:r>
              <w:rPr>
                <w:rFonts w:hint="default" w:ascii="Times New Roman" w:hAnsi="Times New Roman" w:eastAsia="宋体" w:cs="Times New Roman"/>
                <w:color w:val="auto"/>
                <w:spacing w:val="0"/>
                <w:position w:val="0"/>
                <w:szCs w:val="21"/>
                <w:highlight w:val="none"/>
                <w:lang w:val="en-US" w:eastAsia="zh-CN"/>
              </w:rPr>
              <w:t>净化空调</w:t>
            </w:r>
            <w:r>
              <w:rPr>
                <w:rFonts w:hint="default" w:ascii="Times New Roman" w:hAnsi="Times New Roman" w:eastAsia="宋体" w:cs="Times New Roman"/>
                <w:color w:val="auto"/>
                <w:spacing w:val="0"/>
                <w:position w:val="0"/>
                <w:szCs w:val="21"/>
                <w:highlight w:val="none"/>
              </w:rPr>
              <w:t>换气，机组风量12</w:t>
            </w:r>
            <w:r>
              <w:rPr>
                <w:rFonts w:hint="default" w:ascii="Times New Roman" w:hAnsi="Times New Roman" w:eastAsia="宋体" w:cs="Times New Roman"/>
                <w:color w:val="auto"/>
                <w:spacing w:val="0"/>
                <w:position w:val="0"/>
                <w:szCs w:val="21"/>
                <w:highlight w:val="none"/>
                <w:lang w:val="en-US" w:eastAsia="zh-CN"/>
              </w:rPr>
              <w:t>0</w:t>
            </w:r>
            <w:r>
              <w:rPr>
                <w:rFonts w:hint="default" w:ascii="Times New Roman" w:hAnsi="Times New Roman" w:eastAsia="宋体" w:cs="Times New Roman"/>
                <w:color w:val="auto"/>
                <w:spacing w:val="0"/>
                <w:position w:val="0"/>
                <w:szCs w:val="21"/>
                <w:highlight w:val="none"/>
              </w:rPr>
              <w:t>00m3/h</w:t>
            </w:r>
            <w:r>
              <w:rPr>
                <w:rFonts w:hint="default" w:ascii="Times New Roman" w:hAnsi="Times New Roman" w:eastAsia="宋体" w:cs="Times New Roman"/>
                <w:color w:val="auto"/>
                <w:spacing w:val="0"/>
                <w:position w:val="0"/>
                <w:szCs w:val="21"/>
                <w:highlight w:val="none"/>
                <w:lang w:eastAsia="zh-CN"/>
              </w:rPr>
              <w:t>，</w:t>
            </w:r>
            <w:r>
              <w:rPr>
                <w:rFonts w:hint="default" w:ascii="Times New Roman" w:hAnsi="Times New Roman" w:eastAsia="宋体" w:cs="Times New Roman"/>
                <w:color w:val="auto"/>
                <w:spacing w:val="0"/>
                <w:position w:val="0"/>
                <w:szCs w:val="21"/>
                <w:highlight w:val="none"/>
              </w:rPr>
              <w:t>新风量1400m3/h</w:t>
            </w:r>
            <w:r>
              <w:rPr>
                <w:rFonts w:hint="default" w:ascii="Times New Roman" w:hAnsi="Times New Roman" w:eastAsia="宋体" w:cs="Times New Roman"/>
                <w:color w:val="auto"/>
                <w:spacing w:val="0"/>
                <w:position w:val="0"/>
                <w:szCs w:val="21"/>
                <w:highlight w:val="none"/>
                <w:lang w:eastAsia="zh-CN"/>
              </w:rPr>
              <w:t>，</w:t>
            </w:r>
            <w:r>
              <w:rPr>
                <w:rFonts w:hint="default" w:ascii="Times New Roman" w:hAnsi="Times New Roman" w:eastAsia="宋体" w:cs="Times New Roman"/>
                <w:color w:val="auto"/>
                <w:spacing w:val="0"/>
                <w:position w:val="0"/>
                <w:szCs w:val="21"/>
                <w:highlight w:val="none"/>
              </w:rPr>
              <w:t>回风</w:t>
            </w:r>
            <w:r>
              <w:rPr>
                <w:rFonts w:hint="default" w:ascii="Times New Roman" w:hAnsi="Times New Roman" w:eastAsia="宋体" w:cs="Times New Roman"/>
                <w:color w:val="auto"/>
                <w:spacing w:val="0"/>
                <w:position w:val="0"/>
                <w:szCs w:val="21"/>
                <w:highlight w:val="none"/>
                <w:lang w:val="en-US" w:eastAsia="zh-CN"/>
              </w:rPr>
              <w:t>风量</w:t>
            </w:r>
            <w:r>
              <w:rPr>
                <w:rFonts w:hint="default" w:ascii="Times New Roman" w:hAnsi="Times New Roman" w:eastAsia="宋体" w:cs="Times New Roman"/>
                <w:color w:val="auto"/>
                <w:spacing w:val="0"/>
                <w:position w:val="0"/>
                <w:szCs w:val="21"/>
                <w:highlight w:val="none"/>
              </w:rPr>
              <w:t>10600m3/h</w:t>
            </w:r>
            <w:r>
              <w:rPr>
                <w:rFonts w:hint="default" w:ascii="Times New Roman" w:hAnsi="Times New Roman" w:eastAsia="宋体" w:cs="Times New Roman"/>
                <w:color w:val="auto"/>
                <w:spacing w:val="0"/>
                <w:position w:val="0"/>
                <w:szCs w:val="21"/>
                <w:highlight w:val="none"/>
                <w:lang w:eastAsia="zh-CN"/>
              </w:rPr>
              <w:t>，</w:t>
            </w:r>
            <w:r>
              <w:rPr>
                <w:rFonts w:hint="default" w:ascii="Times New Roman" w:hAnsi="Times New Roman" w:eastAsia="宋体" w:cs="Times New Roman"/>
                <w:color w:val="auto"/>
                <w:spacing w:val="0"/>
                <w:position w:val="0"/>
                <w:szCs w:val="21"/>
                <w:highlight w:val="none"/>
                <w:lang w:val="en-US" w:eastAsia="zh-CN"/>
              </w:rPr>
              <w:t>排</w:t>
            </w:r>
            <w:r>
              <w:rPr>
                <w:rFonts w:hint="default" w:ascii="Times New Roman" w:hAnsi="Times New Roman" w:eastAsia="宋体" w:cs="Times New Roman"/>
                <w:color w:val="auto"/>
                <w:spacing w:val="0"/>
                <w:position w:val="0"/>
                <w:szCs w:val="21"/>
                <w:highlight w:val="none"/>
              </w:rPr>
              <w:t>风量</w:t>
            </w:r>
            <w:r>
              <w:rPr>
                <w:rFonts w:hint="default" w:ascii="Times New Roman" w:hAnsi="Times New Roman" w:eastAsia="宋体" w:cs="Times New Roman"/>
                <w:color w:val="auto"/>
                <w:spacing w:val="0"/>
                <w:position w:val="0"/>
                <w:szCs w:val="21"/>
                <w:highlight w:val="none"/>
                <w:lang w:eastAsia="zh-CN"/>
              </w:rPr>
              <w:t>为</w:t>
            </w:r>
            <w:r>
              <w:rPr>
                <w:rFonts w:hint="default" w:ascii="Times New Roman" w:hAnsi="Times New Roman" w:eastAsia="宋体" w:cs="Times New Roman"/>
                <w:color w:val="auto"/>
                <w:spacing w:val="0"/>
                <w:position w:val="0"/>
                <w:szCs w:val="21"/>
                <w:highlight w:val="none"/>
                <w:lang w:val="en-US" w:eastAsia="zh-CN"/>
              </w:rPr>
              <w:t>5</w:t>
            </w:r>
            <w:r>
              <w:rPr>
                <w:rFonts w:hint="default" w:ascii="Times New Roman" w:hAnsi="Times New Roman" w:eastAsia="宋体" w:cs="Times New Roman"/>
                <w:color w:val="auto"/>
                <w:spacing w:val="0"/>
                <w:position w:val="0"/>
                <w:szCs w:val="21"/>
                <w:highlight w:val="none"/>
              </w:rPr>
              <w:t>00m3/h，</w:t>
            </w:r>
            <w:r>
              <w:rPr>
                <w:rFonts w:hint="default" w:ascii="Times New Roman" w:hAnsi="Times New Roman" w:eastAsia="宋体" w:cs="Times New Roman"/>
                <w:color w:val="auto"/>
                <w:spacing w:val="0"/>
                <w:position w:val="0"/>
                <w:szCs w:val="21"/>
                <w:highlight w:val="none"/>
                <w:lang w:val="en-US" w:eastAsia="zh-CN"/>
              </w:rPr>
              <w:t>设备间</w:t>
            </w:r>
            <w:r>
              <w:rPr>
                <w:rFonts w:hint="default" w:ascii="Times New Roman" w:hAnsi="Times New Roman" w:eastAsia="宋体" w:cs="Times New Roman"/>
                <w:color w:val="auto"/>
                <w:spacing w:val="0"/>
                <w:position w:val="0"/>
                <w:szCs w:val="21"/>
                <w:highlight w:val="none"/>
              </w:rPr>
              <w:t>安装1台</w:t>
            </w:r>
            <w:r>
              <w:rPr>
                <w:rFonts w:hint="default" w:ascii="Times New Roman" w:hAnsi="Times New Roman" w:eastAsia="宋体" w:cs="Times New Roman"/>
                <w:color w:val="auto"/>
                <w:spacing w:val="0"/>
                <w:position w:val="0"/>
                <w:szCs w:val="21"/>
                <w:highlight w:val="none"/>
                <w:lang w:val="en-US" w:eastAsia="zh-CN"/>
              </w:rPr>
              <w:t>精密空调</w:t>
            </w:r>
            <w:r>
              <w:rPr>
                <w:rFonts w:hint="default" w:ascii="Times New Roman" w:hAnsi="Times New Roman" w:eastAsia="宋体" w:cs="Times New Roman"/>
                <w:color w:val="auto"/>
                <w:spacing w:val="0"/>
                <w:position w:val="0"/>
                <w:szCs w:val="21"/>
                <w:highlight w:val="none"/>
              </w:rPr>
              <w:t>，项目DSA手术室内采用</w:t>
            </w:r>
            <w:r>
              <w:rPr>
                <w:rFonts w:hint="default" w:ascii="Times New Roman" w:hAnsi="Times New Roman" w:eastAsia="宋体" w:cs="Times New Roman"/>
                <w:color w:val="auto"/>
                <w:spacing w:val="0"/>
                <w:position w:val="0"/>
                <w:szCs w:val="21"/>
                <w:highlight w:val="none"/>
                <w:lang w:val="en-US" w:eastAsia="zh-CN"/>
              </w:rPr>
              <w:t>顶部送风，侧吸</w:t>
            </w:r>
            <w:r>
              <w:rPr>
                <w:rFonts w:hint="default" w:ascii="Times New Roman" w:hAnsi="Times New Roman" w:eastAsia="宋体" w:cs="Times New Roman"/>
                <w:color w:val="auto"/>
                <w:spacing w:val="0"/>
                <w:position w:val="0"/>
                <w:szCs w:val="21"/>
                <w:highlight w:val="none"/>
              </w:rPr>
              <w:t>的</w:t>
            </w:r>
            <w:r>
              <w:rPr>
                <w:rFonts w:hint="default" w:ascii="Times New Roman" w:hAnsi="Times New Roman" w:eastAsia="宋体" w:cs="Times New Roman"/>
                <w:color w:val="auto"/>
                <w:spacing w:val="0"/>
                <w:position w:val="0"/>
                <w:szCs w:val="21"/>
                <w:highlight w:val="none"/>
                <w:lang w:val="en-US" w:eastAsia="zh-CN"/>
              </w:rPr>
              <w:t>排风</w:t>
            </w:r>
            <w:r>
              <w:rPr>
                <w:rFonts w:hint="default" w:ascii="Times New Roman" w:hAnsi="Times New Roman" w:eastAsia="宋体" w:cs="Times New Roman"/>
                <w:color w:val="auto"/>
                <w:spacing w:val="0"/>
                <w:position w:val="0"/>
                <w:szCs w:val="21"/>
                <w:highlight w:val="none"/>
              </w:rPr>
              <w:t>系统，</w:t>
            </w:r>
            <w:r>
              <w:rPr>
                <w:rFonts w:hint="default" w:ascii="Times New Roman" w:hAnsi="Times New Roman" w:eastAsia="宋体" w:cs="Times New Roman"/>
                <w:color w:val="auto"/>
                <w:spacing w:val="0"/>
                <w:position w:val="0"/>
                <w:szCs w:val="21"/>
                <w:highlight w:val="none"/>
                <w:lang w:val="en-US" w:eastAsia="zh-CN"/>
              </w:rPr>
              <w:t>排风口离地约30cm，风管从机房北侧屏蔽墙穿出机房，经</w:t>
            </w:r>
            <w:r>
              <w:rPr>
                <w:rFonts w:hint="eastAsia" w:cs="Times New Roman"/>
                <w:color w:val="auto"/>
                <w:spacing w:val="0"/>
                <w:position w:val="0"/>
                <w:sz w:val="21"/>
                <w:szCs w:val="21"/>
                <w:highlight w:val="none"/>
                <w:lang w:val="en-US" w:eastAsia="zh-CN"/>
              </w:rPr>
              <w:t>机房装饰面板吊顶</w:t>
            </w:r>
            <w:r>
              <w:rPr>
                <w:rFonts w:hint="default" w:ascii="Times New Roman" w:hAnsi="Times New Roman" w:eastAsia="宋体" w:cs="Times New Roman"/>
                <w:color w:val="auto"/>
                <w:spacing w:val="0"/>
                <w:position w:val="0"/>
                <w:szCs w:val="21"/>
                <w:highlight w:val="none"/>
                <w:lang w:val="en-US" w:eastAsia="zh-CN"/>
              </w:rPr>
              <w:t>区域引至住院楼5楼中央空调机房，经5楼中央空调统一通过住院楼排风竖井排放。室吊顶和墙体均预留风孔，穿防护墙处采用垂直斜向45°穿墙，穿墙部位距地面均为3m，风管用3mm厚铅皮包裹，包裹长度为穿墙前后各30cm，穿墙部分间隙用硫酸钡水泥砂浆封堵填实，风管法兰接口、弯管用3mm厚铅皮搭接，经过铅皮等防护措施处理后，能够有效防止射线直接从风管照射出机房</w:t>
            </w:r>
            <w:r>
              <w:rPr>
                <w:rFonts w:hint="default" w:ascii="Times New Roman" w:hAnsi="Times New Roman" w:eastAsia="宋体" w:cs="Times New Roman"/>
                <w:color w:val="auto"/>
                <w:spacing w:val="0"/>
                <w:position w:val="0"/>
                <w:szCs w:val="21"/>
              </w:rPr>
              <w:t>。</w:t>
            </w:r>
          </w:p>
        </w:tc>
        <w:tc>
          <w:tcPr>
            <w:tcW w:w="647" w:type="dxa"/>
            <w:tcBorders>
              <w:right w:val="single" w:color="auto" w:sz="4" w:space="0"/>
            </w:tcBorders>
            <w:noWrap w:val="0"/>
            <w:vAlign w:val="center"/>
          </w:tcPr>
          <w:p w14:paraId="4E23FA1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34385E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 w:type="dxa"/>
            <w:vMerge w:val="restart"/>
            <w:tcBorders>
              <w:left w:val="single" w:color="auto" w:sz="4" w:space="0"/>
            </w:tcBorders>
            <w:noWrap w:val="0"/>
            <w:vAlign w:val="center"/>
          </w:tcPr>
          <w:p w14:paraId="42EF9EC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人员配备</w:t>
            </w:r>
          </w:p>
        </w:tc>
        <w:tc>
          <w:tcPr>
            <w:tcW w:w="1731" w:type="dxa"/>
            <w:noWrap w:val="0"/>
            <w:vAlign w:val="center"/>
          </w:tcPr>
          <w:p w14:paraId="15B7C203">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辐射防护与安全培训</w:t>
            </w:r>
          </w:p>
        </w:tc>
        <w:tc>
          <w:tcPr>
            <w:tcW w:w="5727" w:type="dxa"/>
            <w:noWrap w:val="0"/>
            <w:vAlign w:val="center"/>
          </w:tcPr>
          <w:p w14:paraId="440FA959">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本项目辐射工作人员参加并通过辐射安全和防护专业知识的培训及考核。</w:t>
            </w:r>
          </w:p>
        </w:tc>
        <w:tc>
          <w:tcPr>
            <w:tcW w:w="647" w:type="dxa"/>
            <w:tcBorders>
              <w:right w:val="single" w:color="auto" w:sz="4" w:space="0"/>
            </w:tcBorders>
            <w:noWrap w:val="0"/>
            <w:vAlign w:val="center"/>
          </w:tcPr>
          <w:p w14:paraId="132DFC2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4FA871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 w:type="dxa"/>
            <w:vMerge w:val="continue"/>
            <w:tcBorders>
              <w:left w:val="single" w:color="auto" w:sz="4" w:space="0"/>
            </w:tcBorders>
            <w:noWrap w:val="0"/>
            <w:vAlign w:val="center"/>
          </w:tcPr>
          <w:p w14:paraId="2522BCB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1731" w:type="dxa"/>
            <w:noWrap w:val="0"/>
            <w:vAlign w:val="center"/>
          </w:tcPr>
          <w:p w14:paraId="36B1B28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个人剂量监测</w:t>
            </w:r>
          </w:p>
        </w:tc>
        <w:tc>
          <w:tcPr>
            <w:tcW w:w="5727" w:type="dxa"/>
            <w:noWrap w:val="0"/>
            <w:vAlign w:val="center"/>
          </w:tcPr>
          <w:p w14:paraId="5BC4A3AC">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highlight w:val="none"/>
              </w:rPr>
              <w:t>本项目</w:t>
            </w:r>
            <w:r>
              <w:rPr>
                <w:rFonts w:hint="default" w:ascii="Times New Roman" w:hAnsi="Times New Roman" w:eastAsia="宋体" w:cs="Times New Roman"/>
                <w:color w:val="auto"/>
                <w:spacing w:val="0"/>
                <w:position w:val="0"/>
                <w:szCs w:val="21"/>
                <w:highlight w:val="none"/>
                <w:lang w:val="en-US" w:eastAsia="zh-CN"/>
              </w:rPr>
              <w:t>所有工作人员已配备个人剂量计</w:t>
            </w:r>
            <w:r>
              <w:rPr>
                <w:rFonts w:hint="default" w:ascii="Times New Roman" w:hAnsi="Times New Roman" w:eastAsia="宋体" w:cs="Times New Roman"/>
                <w:color w:val="auto"/>
                <w:spacing w:val="0"/>
                <w:position w:val="0"/>
                <w:szCs w:val="21"/>
                <w:highlight w:val="none"/>
              </w:rPr>
              <w:t>。</w:t>
            </w:r>
            <w:r>
              <w:rPr>
                <w:rFonts w:hint="default" w:ascii="Times New Roman" w:hAnsi="Times New Roman" w:eastAsia="宋体" w:cs="Times New Roman"/>
                <w:color w:val="auto"/>
                <w:spacing w:val="0"/>
                <w:position w:val="0"/>
                <w:highlight w:val="none"/>
              </w:rPr>
              <w:t>项目建成后共计有</w:t>
            </w:r>
            <w:r>
              <w:rPr>
                <w:rFonts w:hint="default" w:ascii="Times New Roman" w:hAnsi="Times New Roman" w:eastAsia="宋体" w:cs="Times New Roman"/>
                <w:color w:val="auto"/>
                <w:spacing w:val="0"/>
                <w:position w:val="0"/>
                <w:highlight w:val="none"/>
                <w:lang w:val="en-US" w:eastAsia="zh-CN"/>
              </w:rPr>
              <w:t>60</w:t>
            </w:r>
            <w:r>
              <w:rPr>
                <w:rFonts w:hint="default" w:ascii="Times New Roman" w:hAnsi="Times New Roman" w:eastAsia="宋体" w:cs="Times New Roman"/>
                <w:color w:val="auto"/>
                <w:spacing w:val="0"/>
                <w:position w:val="0"/>
                <w:highlight w:val="none"/>
              </w:rPr>
              <w:t>台个人剂量计、</w:t>
            </w:r>
            <w:r>
              <w:rPr>
                <w:rFonts w:hint="default" w:ascii="Times New Roman" w:hAnsi="Times New Roman" w:eastAsia="宋体" w:cs="Times New Roman"/>
                <w:color w:val="auto"/>
                <w:spacing w:val="0"/>
                <w:position w:val="0"/>
                <w:highlight w:val="none"/>
                <w:lang w:val="en-US" w:eastAsia="zh-CN"/>
              </w:rPr>
              <w:t>2台个人剂量报警仪和1台X-γ辐射监测仪器</w:t>
            </w:r>
            <w:r>
              <w:rPr>
                <w:rFonts w:hint="default" w:ascii="Times New Roman" w:hAnsi="Times New Roman" w:eastAsia="宋体" w:cs="Times New Roman"/>
                <w:color w:val="auto"/>
                <w:spacing w:val="0"/>
                <w:position w:val="0"/>
                <w:highlight w:val="none"/>
              </w:rPr>
              <w:t>。</w:t>
            </w:r>
            <w:r>
              <w:rPr>
                <w:rFonts w:hint="default" w:ascii="Times New Roman" w:hAnsi="Times New Roman" w:eastAsia="宋体" w:cs="Times New Roman"/>
                <w:color w:val="auto"/>
                <w:spacing w:val="0"/>
                <w:position w:val="0"/>
                <w:szCs w:val="21"/>
                <w:highlight w:val="none"/>
              </w:rPr>
              <w:t>建立辐射工作人员个人剂量档案。</w:t>
            </w:r>
          </w:p>
        </w:tc>
        <w:tc>
          <w:tcPr>
            <w:tcW w:w="647" w:type="dxa"/>
            <w:tcBorders>
              <w:right w:val="single" w:color="auto" w:sz="4" w:space="0"/>
            </w:tcBorders>
            <w:noWrap w:val="0"/>
            <w:vAlign w:val="center"/>
          </w:tcPr>
          <w:p w14:paraId="38C7731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35485C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 w:type="dxa"/>
            <w:vMerge w:val="continue"/>
            <w:tcBorders>
              <w:left w:val="single" w:color="auto" w:sz="4" w:space="0"/>
            </w:tcBorders>
            <w:noWrap w:val="0"/>
            <w:vAlign w:val="center"/>
          </w:tcPr>
          <w:p w14:paraId="5B800E18">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1731" w:type="dxa"/>
            <w:noWrap w:val="0"/>
            <w:vAlign w:val="center"/>
          </w:tcPr>
          <w:p w14:paraId="336501C6">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人员职业健康监护</w:t>
            </w:r>
          </w:p>
        </w:tc>
        <w:tc>
          <w:tcPr>
            <w:tcW w:w="5727" w:type="dxa"/>
            <w:noWrap w:val="0"/>
            <w:vAlign w:val="center"/>
          </w:tcPr>
          <w:p w14:paraId="65B2F604">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本项目</w:t>
            </w:r>
            <w:r>
              <w:rPr>
                <w:rFonts w:hint="default" w:ascii="Times New Roman" w:hAnsi="Times New Roman" w:eastAsia="宋体" w:cs="Times New Roman"/>
                <w:color w:val="auto"/>
                <w:spacing w:val="0"/>
                <w:position w:val="0"/>
                <w:szCs w:val="21"/>
                <w:lang w:val="en-US" w:eastAsia="zh-CN"/>
              </w:rPr>
              <w:t>全部</w:t>
            </w:r>
            <w:r>
              <w:rPr>
                <w:rFonts w:hint="default" w:ascii="Times New Roman" w:hAnsi="Times New Roman" w:eastAsia="宋体" w:cs="Times New Roman"/>
                <w:color w:val="auto"/>
                <w:spacing w:val="0"/>
                <w:position w:val="0"/>
                <w:szCs w:val="21"/>
              </w:rPr>
              <w:t>辐射工作人员进行职业健康体检，并建立职业健康监护档案。</w:t>
            </w:r>
          </w:p>
        </w:tc>
        <w:tc>
          <w:tcPr>
            <w:tcW w:w="647" w:type="dxa"/>
            <w:tcBorders>
              <w:right w:val="single" w:color="auto" w:sz="4" w:space="0"/>
            </w:tcBorders>
            <w:noWrap w:val="0"/>
            <w:vAlign w:val="center"/>
          </w:tcPr>
          <w:p w14:paraId="698607E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2682EB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 w:type="dxa"/>
            <w:vMerge w:val="restart"/>
            <w:tcBorders>
              <w:left w:val="single" w:color="auto" w:sz="4" w:space="0"/>
            </w:tcBorders>
            <w:noWrap w:val="0"/>
            <w:vAlign w:val="center"/>
          </w:tcPr>
          <w:p w14:paraId="0E940DB8">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监测仪器和防护用品</w:t>
            </w:r>
          </w:p>
        </w:tc>
        <w:tc>
          <w:tcPr>
            <w:tcW w:w="1731" w:type="dxa"/>
            <w:noWrap w:val="0"/>
            <w:vAlign w:val="center"/>
          </w:tcPr>
          <w:p w14:paraId="29DFD25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环境辐射剂量巡测仪</w:t>
            </w:r>
          </w:p>
        </w:tc>
        <w:tc>
          <w:tcPr>
            <w:tcW w:w="5727" w:type="dxa"/>
            <w:noWrap w:val="0"/>
            <w:vAlign w:val="center"/>
          </w:tcPr>
          <w:p w14:paraId="74688642">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配备1台便携式X-γ辐射监测仪。</w:t>
            </w:r>
          </w:p>
        </w:tc>
        <w:tc>
          <w:tcPr>
            <w:tcW w:w="647" w:type="dxa"/>
            <w:tcBorders>
              <w:right w:val="single" w:color="auto" w:sz="4" w:space="0"/>
            </w:tcBorders>
            <w:noWrap w:val="0"/>
            <w:vAlign w:val="center"/>
          </w:tcPr>
          <w:p w14:paraId="223674F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378430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 w:type="dxa"/>
            <w:vMerge w:val="continue"/>
            <w:tcBorders>
              <w:left w:val="single" w:color="auto" w:sz="4" w:space="0"/>
            </w:tcBorders>
            <w:noWrap w:val="0"/>
            <w:vAlign w:val="center"/>
          </w:tcPr>
          <w:p w14:paraId="779F1DF7">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1731" w:type="dxa"/>
            <w:noWrap w:val="0"/>
            <w:vAlign w:val="center"/>
          </w:tcPr>
          <w:p w14:paraId="1D13420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个人剂量报警仪</w:t>
            </w:r>
          </w:p>
        </w:tc>
        <w:tc>
          <w:tcPr>
            <w:tcW w:w="5727" w:type="dxa"/>
            <w:noWrap w:val="0"/>
            <w:vAlign w:val="center"/>
          </w:tcPr>
          <w:p w14:paraId="5562B2AD">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本项目辐射工作人员工作时配备个人剂量报警仪</w:t>
            </w:r>
            <w:r>
              <w:rPr>
                <w:rFonts w:hint="default" w:ascii="Times New Roman" w:hAnsi="Times New Roman" w:eastAsia="宋体" w:cs="Times New Roman"/>
                <w:color w:val="auto"/>
                <w:spacing w:val="0"/>
                <w:position w:val="0"/>
              </w:rPr>
              <w:t>。</w:t>
            </w:r>
          </w:p>
        </w:tc>
        <w:tc>
          <w:tcPr>
            <w:tcW w:w="647" w:type="dxa"/>
            <w:tcBorders>
              <w:right w:val="single" w:color="auto" w:sz="4" w:space="0"/>
            </w:tcBorders>
            <w:noWrap w:val="0"/>
            <w:vAlign w:val="center"/>
          </w:tcPr>
          <w:p w14:paraId="4D536F3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078F15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906" w:type="dxa"/>
            <w:vMerge w:val="continue"/>
            <w:tcBorders>
              <w:left w:val="single" w:color="auto" w:sz="4" w:space="0"/>
            </w:tcBorders>
            <w:noWrap w:val="0"/>
            <w:vAlign w:val="center"/>
          </w:tcPr>
          <w:p w14:paraId="0A356A1B">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p>
        </w:tc>
        <w:tc>
          <w:tcPr>
            <w:tcW w:w="1731" w:type="dxa"/>
            <w:noWrap w:val="0"/>
            <w:vAlign w:val="center"/>
          </w:tcPr>
          <w:p w14:paraId="1A946C3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防护用品</w:t>
            </w:r>
          </w:p>
        </w:tc>
        <w:tc>
          <w:tcPr>
            <w:tcW w:w="5727" w:type="dxa"/>
            <w:noWrap w:val="0"/>
            <w:vAlign w:val="center"/>
          </w:tcPr>
          <w:p w14:paraId="4CC77694">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lang w:eastAsia="zh-CN"/>
              </w:rPr>
              <w:t>工作人员铅橡胶颈套</w:t>
            </w:r>
            <w:r>
              <w:rPr>
                <w:rFonts w:hint="default" w:ascii="Times New Roman" w:hAnsi="Times New Roman" w:eastAsia="宋体" w:cs="Times New Roman"/>
                <w:color w:val="auto"/>
                <w:spacing w:val="0"/>
                <w:position w:val="0"/>
                <w:szCs w:val="21"/>
              </w:rPr>
              <w:t>、</w:t>
            </w:r>
            <w:r>
              <w:rPr>
                <w:rFonts w:hint="default" w:ascii="Times New Roman" w:hAnsi="Times New Roman" w:eastAsia="宋体" w:cs="Times New Roman"/>
                <w:color w:val="auto"/>
                <w:spacing w:val="0"/>
                <w:position w:val="0"/>
                <w:szCs w:val="21"/>
                <w:lang w:eastAsia="zh-CN"/>
              </w:rPr>
              <w:t>铅橡胶帽子</w:t>
            </w:r>
            <w:r>
              <w:rPr>
                <w:rFonts w:hint="default" w:ascii="Times New Roman" w:hAnsi="Times New Roman" w:eastAsia="宋体" w:cs="Times New Roman"/>
                <w:color w:val="auto"/>
                <w:spacing w:val="0"/>
                <w:position w:val="0"/>
                <w:szCs w:val="21"/>
              </w:rPr>
              <w:t>、</w:t>
            </w:r>
            <w:r>
              <w:rPr>
                <w:rFonts w:hint="default" w:ascii="Times New Roman" w:hAnsi="Times New Roman" w:eastAsia="宋体" w:cs="Times New Roman"/>
                <w:color w:val="auto"/>
                <w:spacing w:val="0"/>
                <w:position w:val="0"/>
                <w:szCs w:val="21"/>
                <w:lang w:eastAsia="zh-CN"/>
              </w:rPr>
              <w:t>铅防护眼镜</w:t>
            </w:r>
            <w:r>
              <w:rPr>
                <w:rFonts w:hint="default" w:ascii="Times New Roman" w:hAnsi="Times New Roman" w:eastAsia="宋体" w:cs="Times New Roman"/>
                <w:color w:val="auto"/>
                <w:spacing w:val="0"/>
                <w:position w:val="0"/>
                <w:szCs w:val="21"/>
              </w:rPr>
              <w:t>、</w:t>
            </w:r>
            <w:r>
              <w:rPr>
                <w:rFonts w:hint="default" w:ascii="Times New Roman" w:hAnsi="Times New Roman" w:eastAsia="宋体" w:cs="Times New Roman"/>
                <w:color w:val="auto"/>
                <w:spacing w:val="0"/>
                <w:position w:val="0"/>
                <w:szCs w:val="21"/>
                <w:lang w:eastAsia="zh-CN"/>
              </w:rPr>
              <w:t>铅橡胶围裙、</w:t>
            </w:r>
            <w:r>
              <w:rPr>
                <w:rFonts w:hint="default" w:ascii="Times New Roman" w:hAnsi="Times New Roman" w:eastAsia="宋体" w:cs="Times New Roman"/>
                <w:color w:val="auto"/>
                <w:spacing w:val="0"/>
                <w:position w:val="0"/>
                <w:szCs w:val="21"/>
                <w:lang w:val="en-US" w:eastAsia="zh-CN"/>
              </w:rPr>
              <w:t>介入防护手套等10</w:t>
            </w:r>
            <w:r>
              <w:rPr>
                <w:rFonts w:hint="default" w:ascii="Times New Roman" w:hAnsi="Times New Roman" w:eastAsia="宋体" w:cs="Times New Roman"/>
                <w:color w:val="auto"/>
                <w:spacing w:val="0"/>
                <w:position w:val="0"/>
                <w:szCs w:val="21"/>
              </w:rPr>
              <w:t>套</w:t>
            </w:r>
            <w:r>
              <w:rPr>
                <w:rFonts w:hint="default" w:ascii="Times New Roman" w:hAnsi="Times New Roman" w:eastAsia="宋体" w:cs="Times New Roman"/>
                <w:color w:val="auto"/>
                <w:spacing w:val="0"/>
                <w:position w:val="0"/>
                <w:szCs w:val="21"/>
                <w:lang w:eastAsia="zh-CN"/>
              </w:rPr>
              <w:t>，受检者围裙或方巾2套、颈套2套，铅橡胶帽子2个</w:t>
            </w:r>
            <w:r>
              <w:rPr>
                <w:rFonts w:hint="default" w:ascii="Times New Roman" w:hAnsi="Times New Roman" w:eastAsia="宋体" w:cs="Times New Roman"/>
                <w:color w:val="auto"/>
                <w:spacing w:val="0"/>
                <w:position w:val="0"/>
                <w:szCs w:val="21"/>
              </w:rPr>
              <w:t>。</w:t>
            </w:r>
          </w:p>
        </w:tc>
        <w:tc>
          <w:tcPr>
            <w:tcW w:w="647" w:type="dxa"/>
            <w:tcBorders>
              <w:right w:val="single" w:color="auto" w:sz="4" w:space="0"/>
            </w:tcBorders>
            <w:noWrap w:val="0"/>
            <w:vAlign w:val="center"/>
          </w:tcPr>
          <w:p w14:paraId="4182AA0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5FF43E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06" w:type="dxa"/>
            <w:tcBorders>
              <w:left w:val="single" w:color="auto" w:sz="4" w:space="0"/>
            </w:tcBorders>
            <w:noWrap w:val="0"/>
            <w:vAlign w:val="center"/>
          </w:tcPr>
          <w:p w14:paraId="61016CD0">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辐射安全管理制度</w:t>
            </w:r>
          </w:p>
        </w:tc>
        <w:tc>
          <w:tcPr>
            <w:tcW w:w="1731" w:type="dxa"/>
            <w:noWrap w:val="0"/>
            <w:vAlign w:val="center"/>
          </w:tcPr>
          <w:p w14:paraId="19E094E8">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lang w:val="en-US" w:eastAsia="zh-CN"/>
              </w:rPr>
            </w:pPr>
            <w:r>
              <w:rPr>
                <w:rFonts w:hint="default" w:ascii="Times New Roman" w:hAnsi="Times New Roman" w:eastAsia="宋体" w:cs="Times New Roman"/>
                <w:color w:val="auto"/>
                <w:spacing w:val="0"/>
                <w:position w:val="0"/>
                <w:szCs w:val="21"/>
                <w:lang w:val="en-US" w:eastAsia="zh-CN"/>
              </w:rPr>
              <w:t>辐射相关管理制度</w:t>
            </w:r>
          </w:p>
        </w:tc>
        <w:tc>
          <w:tcPr>
            <w:tcW w:w="5727" w:type="dxa"/>
            <w:noWrap w:val="0"/>
            <w:vAlign w:val="center"/>
          </w:tcPr>
          <w:p w14:paraId="31413B9D">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lang w:val="en-US" w:eastAsia="zh-CN"/>
              </w:rPr>
              <w:t>已制定《辐射工作人员岗位职责》《辐射防护与安全保卫制度》《辐射装置检修维护制度》《辐射工作人员培训制度》《辐射工作场所监测制度、方案》《辐射工作人员健康及个人剂量管理制度》《质量保证大纲和质量控制计划》《DSA射线装置操作规程》《射线装置管理制度》《受检者防护管理制度》《辐射事故应急预案》等</w:t>
            </w:r>
            <w:r>
              <w:rPr>
                <w:rFonts w:hint="default" w:ascii="Times New Roman" w:hAnsi="Times New Roman" w:eastAsia="宋体" w:cs="Times New Roman"/>
                <w:color w:val="auto"/>
                <w:spacing w:val="0"/>
                <w:position w:val="0"/>
                <w:szCs w:val="21"/>
              </w:rPr>
              <w:t>。</w:t>
            </w:r>
          </w:p>
        </w:tc>
        <w:tc>
          <w:tcPr>
            <w:tcW w:w="647" w:type="dxa"/>
            <w:tcBorders>
              <w:right w:val="single" w:color="auto" w:sz="4" w:space="0"/>
            </w:tcBorders>
            <w:noWrap w:val="0"/>
            <w:vAlign w:val="center"/>
          </w:tcPr>
          <w:p w14:paraId="73BF5B2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r w14:paraId="7C6FA0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 w:type="dxa"/>
            <w:tcBorders>
              <w:left w:val="single" w:color="auto" w:sz="4" w:space="0"/>
              <w:bottom w:val="single" w:color="auto" w:sz="8" w:space="0"/>
            </w:tcBorders>
            <w:noWrap w:val="0"/>
            <w:vAlign w:val="center"/>
          </w:tcPr>
          <w:p w14:paraId="6CCD9FC5">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验收监测</w:t>
            </w:r>
          </w:p>
        </w:tc>
        <w:tc>
          <w:tcPr>
            <w:tcW w:w="1731" w:type="dxa"/>
            <w:tcBorders>
              <w:bottom w:val="single" w:color="auto" w:sz="8" w:space="0"/>
            </w:tcBorders>
            <w:noWrap w:val="0"/>
            <w:vAlign w:val="center"/>
          </w:tcPr>
          <w:p w14:paraId="1A9D4CD4">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X-γ辐射剂量率</w:t>
            </w:r>
          </w:p>
        </w:tc>
        <w:tc>
          <w:tcPr>
            <w:tcW w:w="5727" w:type="dxa"/>
            <w:tcBorders>
              <w:bottom w:val="single" w:color="auto" w:sz="8" w:space="0"/>
            </w:tcBorders>
            <w:noWrap w:val="0"/>
            <w:vAlign w:val="center"/>
          </w:tcPr>
          <w:p w14:paraId="67DB49FD">
            <w:pPr>
              <w:pStyle w:val="36"/>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DSA介入室内第一术者位、第二术者位、DSA介入室各防护门表面和四周门缝、</w:t>
            </w:r>
            <w:r>
              <w:rPr>
                <w:rFonts w:hint="default" w:ascii="Times New Roman" w:hAnsi="Times New Roman" w:eastAsia="宋体" w:cs="Times New Roman"/>
                <w:color w:val="auto"/>
                <w:spacing w:val="0"/>
                <w:position w:val="0"/>
                <w:szCs w:val="21"/>
                <w:lang w:val="en-US" w:eastAsia="zh-CN"/>
              </w:rPr>
              <w:t>污物通道、</w:t>
            </w:r>
            <w:r>
              <w:rPr>
                <w:rFonts w:hint="default" w:ascii="Times New Roman" w:hAnsi="Times New Roman" w:eastAsia="宋体" w:cs="Times New Roman"/>
                <w:color w:val="auto"/>
                <w:spacing w:val="0"/>
                <w:position w:val="0"/>
                <w:szCs w:val="21"/>
              </w:rPr>
              <w:t>控制室、</w:t>
            </w:r>
            <w:r>
              <w:rPr>
                <w:rFonts w:hint="default" w:ascii="Times New Roman" w:hAnsi="Times New Roman" w:eastAsia="宋体" w:cs="Times New Roman"/>
                <w:color w:val="auto"/>
                <w:spacing w:val="0"/>
                <w:position w:val="0"/>
                <w:szCs w:val="21"/>
                <w:lang w:val="en-US" w:eastAsia="zh-CN"/>
              </w:rPr>
              <w:t>洁净通道、东侧16号手术室，以及</w:t>
            </w:r>
            <w:r>
              <w:rPr>
                <w:rFonts w:hint="default" w:ascii="Times New Roman" w:hAnsi="Times New Roman" w:eastAsia="宋体" w:cs="Times New Roman"/>
                <w:color w:val="auto"/>
                <w:spacing w:val="0"/>
                <w:position w:val="0"/>
                <w:szCs w:val="21"/>
              </w:rPr>
              <w:t>50m评价范围内保护目标以及DSA介入室对应的楼上</w:t>
            </w:r>
            <w:r>
              <w:rPr>
                <w:rFonts w:hint="default" w:ascii="Times New Roman" w:hAnsi="Times New Roman" w:eastAsia="宋体" w:cs="Times New Roman"/>
                <w:color w:val="auto"/>
                <w:spacing w:val="0"/>
                <w:position w:val="0"/>
                <w:szCs w:val="21"/>
                <w:lang w:val="en-US" w:eastAsia="zh-CN"/>
              </w:rPr>
              <w:t>和楼下</w:t>
            </w:r>
            <w:r>
              <w:rPr>
                <w:rFonts w:hint="default" w:ascii="Times New Roman" w:hAnsi="Times New Roman" w:eastAsia="宋体" w:cs="Times New Roman"/>
                <w:color w:val="auto"/>
                <w:spacing w:val="0"/>
                <w:position w:val="0"/>
                <w:szCs w:val="21"/>
              </w:rPr>
              <w:t>区域。</w:t>
            </w:r>
          </w:p>
        </w:tc>
        <w:tc>
          <w:tcPr>
            <w:tcW w:w="647" w:type="dxa"/>
            <w:tcBorders>
              <w:bottom w:val="single" w:color="auto" w:sz="8" w:space="0"/>
              <w:right w:val="single" w:color="auto" w:sz="4" w:space="0"/>
            </w:tcBorders>
            <w:noWrap w:val="0"/>
            <w:vAlign w:val="center"/>
          </w:tcPr>
          <w:p w14:paraId="789F25A9">
            <w:pPr>
              <w:pStyle w:val="3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position w:val="0"/>
                <w:szCs w:val="21"/>
              </w:rPr>
            </w:pPr>
            <w:r>
              <w:rPr>
                <w:rFonts w:hint="default" w:ascii="Times New Roman" w:hAnsi="Times New Roman" w:eastAsia="宋体" w:cs="Times New Roman"/>
                <w:color w:val="auto"/>
                <w:spacing w:val="0"/>
                <w:position w:val="0"/>
                <w:szCs w:val="21"/>
              </w:rPr>
              <w:t>/</w:t>
            </w:r>
          </w:p>
        </w:tc>
      </w:tr>
    </w:tbl>
    <w:p w14:paraId="4563D75D">
      <w:pPr>
        <w:widowControl/>
        <w:spacing w:line="240" w:lineRule="auto"/>
        <w:ind w:firstLine="0" w:firstLineChars="0"/>
        <w:jc w:val="left"/>
        <w:rPr>
          <w:rFonts w:hint="default" w:ascii="Times New Roman" w:hAnsi="Times New Roman" w:eastAsia="宋体" w:cs="Times New Roman"/>
          <w:b/>
          <w:color w:val="auto"/>
          <w:spacing w:val="0"/>
          <w:kern w:val="44"/>
          <w:position w:val="0"/>
          <w:sz w:val="36"/>
        </w:rPr>
      </w:pPr>
      <w:r>
        <w:rPr>
          <w:rFonts w:hint="default" w:ascii="Times New Roman" w:hAnsi="Times New Roman" w:eastAsia="宋体" w:cs="Times New Roman"/>
          <w:color w:val="auto"/>
          <w:spacing w:val="0"/>
          <w:position w:val="0"/>
        </w:rPr>
        <w:br w:type="page"/>
      </w:r>
    </w:p>
    <w:p w14:paraId="594B2FE2">
      <w:pPr>
        <w:pStyle w:val="2"/>
        <w:rPr>
          <w:rFonts w:hint="default" w:ascii="Times New Roman" w:hAnsi="Times New Roman" w:eastAsia="宋体" w:cs="Times New Roman"/>
          <w:color w:val="auto"/>
          <w:spacing w:val="0"/>
          <w:position w:val="0"/>
        </w:rPr>
      </w:pPr>
      <w:bookmarkStart w:id="64" w:name="_Toc3326"/>
      <w:bookmarkStart w:id="65" w:name="_Toc20832"/>
      <w:r>
        <w:rPr>
          <w:rFonts w:hint="default" w:ascii="Times New Roman" w:hAnsi="Times New Roman" w:eastAsia="宋体" w:cs="Times New Roman"/>
          <w:color w:val="auto"/>
          <w:spacing w:val="0"/>
          <w:position w:val="0"/>
        </w:rPr>
        <w:t>表14审批</w:t>
      </w:r>
      <w:bookmarkEnd w:id="64"/>
      <w:bookmarkEnd w:id="65"/>
    </w:p>
    <w:tbl>
      <w:tblPr>
        <w:tblStyle w:val="20"/>
        <w:tblW w:w="9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5"/>
      </w:tblGrid>
      <w:tr w14:paraId="4E04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2" w:hRule="exact"/>
          <w:jc w:val="center"/>
        </w:trPr>
        <w:tc>
          <w:tcPr>
            <w:tcW w:w="9305" w:type="dxa"/>
            <w:noWrap w:val="0"/>
            <w:vAlign w:val="top"/>
          </w:tcPr>
          <w:p w14:paraId="09DAB356">
            <w:pPr>
              <w:keepNext w:val="0"/>
              <w:keepLines w:val="0"/>
              <w:suppressLineNumbers w:val="0"/>
              <w:spacing w:before="0" w:beforeAutospacing="0" w:after="0" w:afterAutospacing="0"/>
              <w:ind w:left="0" w:right="0" w:firstLine="562"/>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下一级</w:t>
            </w:r>
            <w:r>
              <w:rPr>
                <w:rFonts w:hint="default" w:ascii="Times New Roman" w:hAnsi="Times New Roman" w:eastAsia="宋体" w:cs="Times New Roman"/>
                <w:b/>
                <w:bCs/>
                <w:color w:val="auto"/>
                <w:spacing w:val="0"/>
                <w:position w:val="0"/>
                <w:sz w:val="28"/>
                <w:szCs w:val="28"/>
                <w:lang w:eastAsia="zh-CN"/>
              </w:rPr>
              <w:t>生态环境部门</w:t>
            </w:r>
            <w:r>
              <w:rPr>
                <w:rFonts w:hint="default" w:ascii="Times New Roman" w:hAnsi="Times New Roman" w:eastAsia="宋体" w:cs="Times New Roman"/>
                <w:b/>
                <w:bCs/>
                <w:color w:val="auto"/>
                <w:spacing w:val="0"/>
                <w:position w:val="0"/>
                <w:sz w:val="28"/>
                <w:szCs w:val="28"/>
              </w:rPr>
              <w:t>预审意见：</w:t>
            </w:r>
          </w:p>
          <w:p w14:paraId="635AD1E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32E411B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60D9877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665CE351">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4D584BB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1D7ED68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448A9D87">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406D15B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公章</w:t>
            </w:r>
          </w:p>
          <w:p w14:paraId="30F38D5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26E92D6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经办人年月日</w:t>
            </w:r>
          </w:p>
        </w:tc>
      </w:tr>
      <w:tr w14:paraId="2D1C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4" w:hRule="exact"/>
          <w:jc w:val="center"/>
        </w:trPr>
        <w:tc>
          <w:tcPr>
            <w:tcW w:w="9305" w:type="dxa"/>
            <w:noWrap w:val="0"/>
            <w:vAlign w:val="top"/>
          </w:tcPr>
          <w:p w14:paraId="7DE294C8">
            <w:pPr>
              <w:keepNext w:val="0"/>
              <w:keepLines w:val="0"/>
              <w:suppressLineNumbers w:val="0"/>
              <w:spacing w:before="0" w:beforeAutospacing="0" w:after="0" w:afterAutospacing="0"/>
              <w:ind w:left="0" w:right="0" w:firstLine="562"/>
              <w:rPr>
                <w:rFonts w:hint="default" w:ascii="Times New Roman" w:hAnsi="Times New Roman" w:eastAsia="宋体" w:cs="Times New Roman"/>
                <w:b/>
                <w:bCs/>
                <w:color w:val="auto"/>
                <w:spacing w:val="0"/>
                <w:position w:val="0"/>
                <w:sz w:val="28"/>
                <w:szCs w:val="28"/>
              </w:rPr>
            </w:pPr>
            <w:r>
              <w:rPr>
                <w:rFonts w:hint="default" w:ascii="Times New Roman" w:hAnsi="Times New Roman" w:eastAsia="宋体" w:cs="Times New Roman"/>
                <w:b/>
                <w:bCs/>
                <w:color w:val="auto"/>
                <w:spacing w:val="0"/>
                <w:position w:val="0"/>
                <w:sz w:val="28"/>
                <w:szCs w:val="28"/>
              </w:rPr>
              <w:t>审批意见：</w:t>
            </w:r>
          </w:p>
          <w:p w14:paraId="682AB476">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02E6BC9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1421832D">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5669226B">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7C94F474">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740B0298">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7952CD8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0C0B372F">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26B28025">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公章</w:t>
            </w:r>
          </w:p>
          <w:p w14:paraId="786D1BAA">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p>
          <w:p w14:paraId="31122670">
            <w:pPr>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position w:val="0"/>
              </w:rPr>
            </w:pPr>
            <w:r>
              <w:rPr>
                <w:rFonts w:hint="default" w:ascii="Times New Roman" w:hAnsi="Times New Roman" w:eastAsia="宋体" w:cs="Times New Roman"/>
                <w:color w:val="auto"/>
                <w:spacing w:val="0"/>
                <w:position w:val="0"/>
              </w:rPr>
              <w:t>经办人年月日</w:t>
            </w:r>
          </w:p>
        </w:tc>
      </w:tr>
    </w:tbl>
    <w:p w14:paraId="260C2485">
      <w:pPr>
        <w:ind w:firstLine="0" w:firstLineChars="0"/>
        <w:rPr>
          <w:rFonts w:hint="default" w:ascii="Times New Roman" w:hAnsi="Times New Roman" w:eastAsia="宋体" w:cs="Times New Roman"/>
          <w:color w:val="auto"/>
          <w:spacing w:val="0"/>
          <w:position w:val="0"/>
        </w:rPr>
      </w:pPr>
    </w:p>
    <w:p w14:paraId="37F02EE5">
      <w:pPr>
        <w:ind w:firstLine="236" w:firstLineChars="0"/>
        <w:rPr>
          <w:rFonts w:hint="default" w:ascii="Times New Roman" w:hAnsi="Times New Roman" w:eastAsia="宋体" w:cs="Times New Roman"/>
          <w:color w:val="auto"/>
          <w:spacing w:val="0"/>
          <w:position w:val="0"/>
        </w:rPr>
      </w:pP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Wingdings 2">
    <w:panose1 w:val="05020102010507070707"/>
    <w:charset w:val="02"/>
    <w:family w:val="auto"/>
    <w:pitch w:val="default"/>
    <w:sig w:usb0="00000000" w:usb1="00000000" w:usb2="00000000" w:usb3="00000000" w:csb0="80000000" w:csb1="00000000"/>
  </w:font>
  <w:font w:name="Cambria Math">
    <w:panose1 w:val="02040503050406030204"/>
    <w:charset w:val="00"/>
    <w:family w:val="auto"/>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DAA0D">
    <w:pPr>
      <w:pStyle w:val="13"/>
      <w:tabs>
        <w:tab w:val="clear" w:pos="4153"/>
      </w:tabs>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83DDC">
    <w:pPr>
      <w:pStyle w:val="13"/>
      <w:tabs>
        <w:tab w:val="clear" w:pos="4153"/>
      </w:tabs>
      <w:ind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C325692">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GEtI6AgAAc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dBhLSOgIAAHMEAAAOAAAAAAAAAAEAIAAAAB8BAABkcnMvZTJvRG9j&#10;LnhtbFBLBQYAAAAABgAGAFkBAADLBQAAAAA=&#10;">
              <v:fill on="f" focussize="0,0"/>
              <v:stroke on="f" weight="0.5pt"/>
              <v:imagedata o:title=""/>
              <o:lock v:ext="edit" aspectratio="f"/>
              <v:textbox inset="0mm,0mm,0mm,0mm" style="mso-fit-shape-to-text:t;">
                <w:txbxContent>
                  <w:p w14:paraId="0C325692">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8C822">
    <w:pPr>
      <w:pStyle w:val="13"/>
      <w:ind w:firstLine="360"/>
    </w:pPr>
    <w:r>
      <w:rPr>
        <w:rFonts w:ascii="Times New Roman" w:hAnsi="Times New Roman" w:eastAsia="宋体" w:cs="黑体"/>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8" name="文本框 12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504F3382">
                          <w:pPr>
                            <w:pStyle w:val="13"/>
                            <w:ind w:firstLine="360"/>
                          </w:pPr>
                          <w:r>
                            <w:t xml:space="preserve">第 </w:t>
                          </w:r>
                          <w:r>
                            <w:fldChar w:fldCharType="begin"/>
                          </w:r>
                          <w:r>
                            <w:instrText xml:space="preserve"> PAGE  \* MERGEFORMAT </w:instrText>
                          </w:r>
                          <w:r>
                            <w:fldChar w:fldCharType="separate"/>
                          </w:r>
                          <w:r>
                            <w:t>6</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28"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l1uVLQAAAABQEAAA8AAAAAAAAA&#10;AQAgAAAAIgAAAGRycy9kb3ducmV2LnhtbFBLAQIUABQAAAAIAIdO4kCCn5JD4AEAAMYDAAAOAAAA&#10;AAAAAAEAIAAAAB8BAABkcnMvZTJvRG9jLnhtbFBLBQYAAAAABgAGAFkBAABxBQAAAAA=&#10;">
              <v:fill on="f" focussize="0,0"/>
              <v:stroke on="f"/>
              <v:imagedata o:title=""/>
              <o:lock v:ext="edit" aspectratio="f"/>
              <v:textbox inset="0mm,0mm,0mm,0mm" style="mso-fit-shape-to-text:t;">
                <w:txbxContent>
                  <w:p w14:paraId="504F3382">
                    <w:pPr>
                      <w:pStyle w:val="13"/>
                      <w:ind w:firstLine="360"/>
                    </w:pPr>
                    <w:r>
                      <w:t xml:space="preserve">第 </w:t>
                    </w:r>
                    <w:r>
                      <w:fldChar w:fldCharType="begin"/>
                    </w:r>
                    <w:r>
                      <w:instrText xml:space="preserve"> PAGE  \* MERGEFORMAT </w:instrText>
                    </w:r>
                    <w:r>
                      <w:fldChar w:fldCharType="separate"/>
                    </w:r>
                    <w:r>
                      <w:t>6</w:t>
                    </w:r>
                    <w:r>
                      <w:fldChar w:fldCharType="end"/>
                    </w:r>
                    <w:r>
                      <w:t xml:space="preserve"> 页</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80F49">
    <w:pPr>
      <w:pStyle w:val="13"/>
      <w:ind w:firstLine="360"/>
    </w:pPr>
    <w:r>
      <w:rPr>
        <w:rFonts w:ascii="Times New Roman" w:hAnsi="Times New Roman" w:eastAsia="宋体" w:cs="黑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02E12133">
                          <w:pPr>
                            <w:pStyle w:val="13"/>
                            <w:ind w:firstLine="360"/>
                          </w:pPr>
                          <w:r>
                            <w:t xml:space="preserve">第 </w:t>
                          </w:r>
                          <w:r>
                            <w:fldChar w:fldCharType="begin"/>
                          </w:r>
                          <w:r>
                            <w:instrText xml:space="preserve"> PAGE  \* MERGEFORMAT </w:instrText>
                          </w:r>
                          <w:r>
                            <w:fldChar w:fldCharType="separate"/>
                          </w:r>
                          <w:r>
                            <w:t>103</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XW5UtAAAAAFAQAADwAAAAAAAAAB&#10;ACAAAAAiAAAAZHJzL2Rvd25yZXYueG1sUEsBAhQAFAAAAAgAh07iQEdPWn7fAQAAxAMAAA4AAAAA&#10;AAAAAQAgAAAAHwEAAGRycy9lMm9Eb2MueG1sUEsFBgAAAAAGAAYAWQEAAHAFAAAAAA==&#10;">
              <v:fill on="f" focussize="0,0"/>
              <v:stroke on="f"/>
              <v:imagedata o:title=""/>
              <o:lock v:ext="edit" aspectratio="f"/>
              <v:textbox inset="0mm,0mm,0mm,0mm" style="mso-fit-shape-to-text:t;">
                <w:txbxContent>
                  <w:p w14:paraId="02E12133">
                    <w:pPr>
                      <w:pStyle w:val="13"/>
                      <w:ind w:firstLine="360"/>
                    </w:pPr>
                    <w:r>
                      <w:t xml:space="preserve">第 </w:t>
                    </w:r>
                    <w:r>
                      <w:fldChar w:fldCharType="begin"/>
                    </w:r>
                    <w:r>
                      <w:instrText xml:space="preserve"> PAGE  \* MERGEFORMAT </w:instrText>
                    </w:r>
                    <w:r>
                      <w:fldChar w:fldCharType="separate"/>
                    </w:r>
                    <w:r>
                      <w:t>103</w:t>
                    </w:r>
                    <w:r>
                      <w:fldChar w:fldCharType="end"/>
                    </w:r>
                    <w:r>
                      <w:t xml:space="preserve"> 页</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BFB24">
    <w:pPr>
      <w:pStyle w:val="10"/>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12181"/>
    <w:multiLevelType w:val="singleLevel"/>
    <w:tmpl w:val="84F12181"/>
    <w:lvl w:ilvl="0" w:tentative="0">
      <w:start w:val="5"/>
      <w:numFmt w:val="decimal"/>
      <w:suff w:val="nothing"/>
      <w:lvlText w:val="%1、"/>
      <w:lvlJc w:val="left"/>
    </w:lvl>
  </w:abstractNum>
  <w:abstractNum w:abstractNumId="1">
    <w:nsid w:val="8D3EDBAB"/>
    <w:multiLevelType w:val="singleLevel"/>
    <w:tmpl w:val="8D3EDBAB"/>
    <w:lvl w:ilvl="0" w:tentative="0">
      <w:start w:val="1"/>
      <w:numFmt w:val="decimal"/>
      <w:suff w:val="nothing"/>
      <w:lvlText w:val="%1）"/>
      <w:lvlJc w:val="left"/>
    </w:lvl>
  </w:abstractNum>
  <w:abstractNum w:abstractNumId="2">
    <w:nsid w:val="8E2F529F"/>
    <w:multiLevelType w:val="singleLevel"/>
    <w:tmpl w:val="8E2F529F"/>
    <w:lvl w:ilvl="0" w:tentative="0">
      <w:start w:val="1"/>
      <w:numFmt w:val="decimal"/>
      <w:lvlText w:val="%1."/>
      <w:lvlJc w:val="left"/>
      <w:pPr>
        <w:ind w:left="425" w:hanging="425"/>
      </w:pPr>
      <w:rPr>
        <w:rFonts w:hint="default"/>
      </w:rPr>
    </w:lvl>
  </w:abstractNum>
  <w:abstractNum w:abstractNumId="3">
    <w:nsid w:val="ABE1B9DC"/>
    <w:multiLevelType w:val="singleLevel"/>
    <w:tmpl w:val="ABE1B9DC"/>
    <w:lvl w:ilvl="0" w:tentative="0">
      <w:start w:val="1"/>
      <w:numFmt w:val="decimal"/>
      <w:suff w:val="nothing"/>
      <w:lvlText w:val="%1."/>
      <w:lvlJc w:val="left"/>
      <w:pPr>
        <w:ind w:left="0" w:firstLine="0"/>
      </w:pPr>
      <w:rPr>
        <w:rFonts w:hint="default"/>
      </w:rPr>
    </w:lvl>
  </w:abstractNum>
  <w:abstractNum w:abstractNumId="4">
    <w:nsid w:val="C3F769D8"/>
    <w:multiLevelType w:val="singleLevel"/>
    <w:tmpl w:val="C3F769D8"/>
    <w:lvl w:ilvl="0" w:tentative="0">
      <w:start w:val="1"/>
      <w:numFmt w:val="decimal"/>
      <w:lvlText w:val="(%1)"/>
      <w:lvlJc w:val="left"/>
      <w:pPr>
        <w:ind w:left="425" w:hanging="425"/>
      </w:pPr>
      <w:rPr>
        <w:rFonts w:hint="default"/>
      </w:rPr>
    </w:lvl>
  </w:abstractNum>
  <w:abstractNum w:abstractNumId="5">
    <w:nsid w:val="F41D8856"/>
    <w:multiLevelType w:val="singleLevel"/>
    <w:tmpl w:val="F41D8856"/>
    <w:lvl w:ilvl="0" w:tentative="0">
      <w:start w:val="4"/>
      <w:numFmt w:val="decimal"/>
      <w:suff w:val="nothing"/>
      <w:lvlText w:val="（%1）"/>
      <w:lvlJc w:val="left"/>
    </w:lvl>
  </w:abstractNum>
  <w:abstractNum w:abstractNumId="6">
    <w:nsid w:val="F6F7D302"/>
    <w:multiLevelType w:val="singleLevel"/>
    <w:tmpl w:val="F6F7D302"/>
    <w:lvl w:ilvl="0" w:tentative="0">
      <w:start w:val="1"/>
      <w:numFmt w:val="decimalEnclosedCircleChinese"/>
      <w:suff w:val="nothing"/>
      <w:lvlText w:val="%1"/>
      <w:lvlJc w:val="left"/>
      <w:pPr>
        <w:ind w:left="0" w:firstLine="403"/>
      </w:pPr>
      <w:rPr>
        <w:rFonts w:hint="eastAsia" w:ascii="Times New Roman" w:hAnsi="Times New Roman" w:cs="Times New Roman"/>
      </w:rPr>
    </w:lvl>
  </w:abstractNum>
  <w:abstractNum w:abstractNumId="7">
    <w:nsid w:val="0F9AA154"/>
    <w:multiLevelType w:val="singleLevel"/>
    <w:tmpl w:val="0F9AA154"/>
    <w:lvl w:ilvl="0" w:tentative="0">
      <w:start w:val="1"/>
      <w:numFmt w:val="decimal"/>
      <w:lvlText w:val="(%1)"/>
      <w:lvlJc w:val="left"/>
      <w:pPr>
        <w:ind w:left="425" w:hanging="425"/>
      </w:pPr>
      <w:rPr>
        <w:rFonts w:hint="default"/>
      </w:rPr>
    </w:lvl>
  </w:abstractNum>
  <w:abstractNum w:abstractNumId="8">
    <w:nsid w:val="13E7F879"/>
    <w:multiLevelType w:val="singleLevel"/>
    <w:tmpl w:val="13E7F879"/>
    <w:lvl w:ilvl="0" w:tentative="0">
      <w:start w:val="1"/>
      <w:numFmt w:val="decimal"/>
      <w:lvlText w:val="%1."/>
      <w:lvlJc w:val="left"/>
      <w:pPr>
        <w:ind w:left="425" w:hanging="425"/>
      </w:pPr>
      <w:rPr>
        <w:rFonts w:hint="default"/>
      </w:rPr>
    </w:lvl>
  </w:abstractNum>
  <w:abstractNum w:abstractNumId="9">
    <w:nsid w:val="20F08857"/>
    <w:multiLevelType w:val="singleLevel"/>
    <w:tmpl w:val="20F08857"/>
    <w:lvl w:ilvl="0" w:tentative="0">
      <w:start w:val="1"/>
      <w:numFmt w:val="decimal"/>
      <w:lvlText w:val="%1."/>
      <w:lvlJc w:val="left"/>
      <w:pPr>
        <w:ind w:left="425" w:hanging="425"/>
      </w:pPr>
      <w:rPr>
        <w:rFonts w:hint="default"/>
      </w:rPr>
    </w:lvl>
  </w:abstractNum>
  <w:abstractNum w:abstractNumId="10">
    <w:nsid w:val="25D80D1D"/>
    <w:multiLevelType w:val="singleLevel"/>
    <w:tmpl w:val="25D80D1D"/>
    <w:lvl w:ilvl="0" w:tentative="0">
      <w:start w:val="1"/>
      <w:numFmt w:val="decimal"/>
      <w:suff w:val="nothing"/>
      <w:lvlText w:val="%1."/>
      <w:lvlJc w:val="left"/>
      <w:pPr>
        <w:ind w:left="0" w:firstLine="0"/>
      </w:pPr>
      <w:rPr>
        <w:rFonts w:hint="default"/>
      </w:rPr>
    </w:lvl>
  </w:abstractNum>
  <w:abstractNum w:abstractNumId="11">
    <w:nsid w:val="3969F359"/>
    <w:multiLevelType w:val="singleLevel"/>
    <w:tmpl w:val="3969F359"/>
    <w:lvl w:ilvl="0" w:tentative="0">
      <w:start w:val="5"/>
      <w:numFmt w:val="chineseCounting"/>
      <w:suff w:val="nothing"/>
      <w:lvlText w:val="%1、"/>
      <w:lvlJc w:val="left"/>
      <w:rPr>
        <w:rFonts w:hint="eastAsia"/>
      </w:rPr>
    </w:lvl>
  </w:abstractNum>
  <w:abstractNum w:abstractNumId="12">
    <w:nsid w:val="4EBEACB3"/>
    <w:multiLevelType w:val="singleLevel"/>
    <w:tmpl w:val="4EBEACB3"/>
    <w:lvl w:ilvl="0" w:tentative="0">
      <w:start w:val="1"/>
      <w:numFmt w:val="decimal"/>
      <w:lvlText w:val="(%1)"/>
      <w:lvlJc w:val="left"/>
      <w:pPr>
        <w:ind w:left="425" w:hanging="425"/>
      </w:pPr>
      <w:rPr>
        <w:rFonts w:hint="default"/>
      </w:rPr>
    </w:lvl>
  </w:abstractNum>
  <w:abstractNum w:abstractNumId="13">
    <w:nsid w:val="5EFAA91E"/>
    <w:multiLevelType w:val="singleLevel"/>
    <w:tmpl w:val="5EFAA91E"/>
    <w:lvl w:ilvl="0" w:tentative="0">
      <w:start w:val="11"/>
      <w:numFmt w:val="decimal"/>
      <w:suff w:val="nothing"/>
      <w:lvlText w:val="%1、"/>
      <w:lvlJc w:val="left"/>
    </w:lvl>
  </w:abstractNum>
  <w:abstractNum w:abstractNumId="14">
    <w:nsid w:val="79DC8491"/>
    <w:multiLevelType w:val="singleLevel"/>
    <w:tmpl w:val="79DC8491"/>
    <w:lvl w:ilvl="0" w:tentative="0">
      <w:start w:val="2"/>
      <w:numFmt w:val="decimal"/>
      <w:suff w:val="nothing"/>
      <w:lvlText w:val="%1、"/>
      <w:lvlJc w:val="left"/>
    </w:lvl>
  </w:abstractNum>
  <w:abstractNum w:abstractNumId="15">
    <w:nsid w:val="7CDFF110"/>
    <w:multiLevelType w:val="singleLevel"/>
    <w:tmpl w:val="7CDFF110"/>
    <w:lvl w:ilvl="0" w:tentative="0">
      <w:start w:val="1"/>
      <w:numFmt w:val="decimal"/>
      <w:lvlText w:val="%1."/>
      <w:lvlJc w:val="left"/>
      <w:pPr>
        <w:ind w:left="425" w:hanging="425"/>
      </w:pPr>
      <w:rPr>
        <w:rFonts w:hint="default"/>
      </w:rPr>
    </w:lvl>
  </w:abstractNum>
  <w:num w:numId="1">
    <w:abstractNumId w:val="14"/>
  </w:num>
  <w:num w:numId="2">
    <w:abstractNumId w:val="5"/>
  </w:num>
  <w:num w:numId="3">
    <w:abstractNumId w:val="9"/>
  </w:num>
  <w:num w:numId="4">
    <w:abstractNumId w:val="3"/>
  </w:num>
  <w:num w:numId="5">
    <w:abstractNumId w:val="10"/>
  </w:num>
  <w:num w:numId="6">
    <w:abstractNumId w:val="4"/>
  </w:num>
  <w:num w:numId="7">
    <w:abstractNumId w:val="7"/>
  </w:num>
  <w:num w:numId="8">
    <w:abstractNumId w:val="12"/>
  </w:num>
  <w:num w:numId="9">
    <w:abstractNumId w:val="2"/>
  </w:num>
  <w:num w:numId="10">
    <w:abstractNumId w:val="11"/>
  </w:num>
  <w:num w:numId="11">
    <w:abstractNumId w:val="0"/>
  </w:num>
  <w:num w:numId="12">
    <w:abstractNumId w:val="13"/>
  </w:num>
  <w:num w:numId="13">
    <w:abstractNumId w:val="8"/>
  </w:num>
  <w:num w:numId="14">
    <w:abstractNumId w:val="1"/>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4N2E1MmYxMDUwYTczYTBiOTg3OTkwYTMwMGI5NTYifQ=="/>
  </w:docVars>
  <w:rsids>
    <w:rsidRoot w:val="6328034E"/>
    <w:rsid w:val="00043144"/>
    <w:rsid w:val="00131231"/>
    <w:rsid w:val="00133DFC"/>
    <w:rsid w:val="004874D5"/>
    <w:rsid w:val="00553F66"/>
    <w:rsid w:val="00CD5FBD"/>
    <w:rsid w:val="01054021"/>
    <w:rsid w:val="011F0BF2"/>
    <w:rsid w:val="017B7436"/>
    <w:rsid w:val="017F2424"/>
    <w:rsid w:val="01910DE7"/>
    <w:rsid w:val="019275B2"/>
    <w:rsid w:val="01A754AC"/>
    <w:rsid w:val="022E2C20"/>
    <w:rsid w:val="02322A46"/>
    <w:rsid w:val="0236364E"/>
    <w:rsid w:val="0245587B"/>
    <w:rsid w:val="025D3002"/>
    <w:rsid w:val="0276510C"/>
    <w:rsid w:val="02BA6D6B"/>
    <w:rsid w:val="02CB5DA2"/>
    <w:rsid w:val="03253AFD"/>
    <w:rsid w:val="032B4C37"/>
    <w:rsid w:val="0355294A"/>
    <w:rsid w:val="035618EA"/>
    <w:rsid w:val="03703B6C"/>
    <w:rsid w:val="03AA0CE9"/>
    <w:rsid w:val="03F4702C"/>
    <w:rsid w:val="04080BF9"/>
    <w:rsid w:val="041A70FD"/>
    <w:rsid w:val="0430275A"/>
    <w:rsid w:val="043646AA"/>
    <w:rsid w:val="0461636B"/>
    <w:rsid w:val="0471096D"/>
    <w:rsid w:val="047A1540"/>
    <w:rsid w:val="04ED6143"/>
    <w:rsid w:val="052120A3"/>
    <w:rsid w:val="05317378"/>
    <w:rsid w:val="0576489B"/>
    <w:rsid w:val="057C6F3C"/>
    <w:rsid w:val="05E12EE6"/>
    <w:rsid w:val="05E360D9"/>
    <w:rsid w:val="05E82FB3"/>
    <w:rsid w:val="06040EA7"/>
    <w:rsid w:val="06316315"/>
    <w:rsid w:val="06787267"/>
    <w:rsid w:val="071665F9"/>
    <w:rsid w:val="07192F57"/>
    <w:rsid w:val="072639A0"/>
    <w:rsid w:val="0762621C"/>
    <w:rsid w:val="078F48E6"/>
    <w:rsid w:val="08096ED2"/>
    <w:rsid w:val="08211DD0"/>
    <w:rsid w:val="0858227F"/>
    <w:rsid w:val="08585DDB"/>
    <w:rsid w:val="08A74FB5"/>
    <w:rsid w:val="08E54211"/>
    <w:rsid w:val="08ED6E6B"/>
    <w:rsid w:val="092E260C"/>
    <w:rsid w:val="098175B4"/>
    <w:rsid w:val="09905A49"/>
    <w:rsid w:val="09A37770"/>
    <w:rsid w:val="09AE41F5"/>
    <w:rsid w:val="09D92F4C"/>
    <w:rsid w:val="0A1F15B9"/>
    <w:rsid w:val="0A6208DC"/>
    <w:rsid w:val="0A6626F2"/>
    <w:rsid w:val="0A885757"/>
    <w:rsid w:val="0AA95014"/>
    <w:rsid w:val="0AB67731"/>
    <w:rsid w:val="0AE415D8"/>
    <w:rsid w:val="0B1C2811"/>
    <w:rsid w:val="0B5C2086"/>
    <w:rsid w:val="0B9F3D21"/>
    <w:rsid w:val="0BBB2FE2"/>
    <w:rsid w:val="0BF7590B"/>
    <w:rsid w:val="0BFB2234"/>
    <w:rsid w:val="0C120997"/>
    <w:rsid w:val="0C681B81"/>
    <w:rsid w:val="0CE7422C"/>
    <w:rsid w:val="0CF559D4"/>
    <w:rsid w:val="0D0522AA"/>
    <w:rsid w:val="0D224C0A"/>
    <w:rsid w:val="0D242758"/>
    <w:rsid w:val="0D3861DB"/>
    <w:rsid w:val="0D3C0B60"/>
    <w:rsid w:val="0D5307C5"/>
    <w:rsid w:val="0D5A11C3"/>
    <w:rsid w:val="0D69333C"/>
    <w:rsid w:val="0D786F20"/>
    <w:rsid w:val="0DA41AC3"/>
    <w:rsid w:val="0DB4134A"/>
    <w:rsid w:val="0DB96584"/>
    <w:rsid w:val="0DCF1B6E"/>
    <w:rsid w:val="0DE325EB"/>
    <w:rsid w:val="0DFC5D03"/>
    <w:rsid w:val="0E0E306D"/>
    <w:rsid w:val="0E4D5CB6"/>
    <w:rsid w:val="0E4E65F0"/>
    <w:rsid w:val="0E576B35"/>
    <w:rsid w:val="0E8503E0"/>
    <w:rsid w:val="0E8A5ED3"/>
    <w:rsid w:val="0E9163E1"/>
    <w:rsid w:val="0EAE203B"/>
    <w:rsid w:val="0EE4486D"/>
    <w:rsid w:val="0EE72F5C"/>
    <w:rsid w:val="0F2270E4"/>
    <w:rsid w:val="0F3477A2"/>
    <w:rsid w:val="0F386966"/>
    <w:rsid w:val="0F3E2C3E"/>
    <w:rsid w:val="0F804D21"/>
    <w:rsid w:val="0F806638"/>
    <w:rsid w:val="0F8E57DC"/>
    <w:rsid w:val="0FA638D0"/>
    <w:rsid w:val="0FDE1CCB"/>
    <w:rsid w:val="104C786D"/>
    <w:rsid w:val="10714BF2"/>
    <w:rsid w:val="10B22749"/>
    <w:rsid w:val="10BB15FD"/>
    <w:rsid w:val="10D568B8"/>
    <w:rsid w:val="10D774B1"/>
    <w:rsid w:val="10DB3361"/>
    <w:rsid w:val="10E17003"/>
    <w:rsid w:val="111F4526"/>
    <w:rsid w:val="11285600"/>
    <w:rsid w:val="116058D1"/>
    <w:rsid w:val="11770093"/>
    <w:rsid w:val="12143A00"/>
    <w:rsid w:val="12BA2177"/>
    <w:rsid w:val="12D2261E"/>
    <w:rsid w:val="12E34E3B"/>
    <w:rsid w:val="12EF2915"/>
    <w:rsid w:val="130F7F56"/>
    <w:rsid w:val="13180F89"/>
    <w:rsid w:val="131B1A63"/>
    <w:rsid w:val="132A4818"/>
    <w:rsid w:val="137612B1"/>
    <w:rsid w:val="13AE7125"/>
    <w:rsid w:val="13BC0075"/>
    <w:rsid w:val="13D37BA7"/>
    <w:rsid w:val="13DB5B12"/>
    <w:rsid w:val="142C636E"/>
    <w:rsid w:val="14404B68"/>
    <w:rsid w:val="144E7A07"/>
    <w:rsid w:val="147F6790"/>
    <w:rsid w:val="14EA287E"/>
    <w:rsid w:val="14FA2B82"/>
    <w:rsid w:val="150752C9"/>
    <w:rsid w:val="151175A8"/>
    <w:rsid w:val="153E51EA"/>
    <w:rsid w:val="157306F8"/>
    <w:rsid w:val="158C5316"/>
    <w:rsid w:val="15C076B6"/>
    <w:rsid w:val="163C5749"/>
    <w:rsid w:val="1644230F"/>
    <w:rsid w:val="16555B3C"/>
    <w:rsid w:val="168E34D3"/>
    <w:rsid w:val="16922E00"/>
    <w:rsid w:val="16A50D85"/>
    <w:rsid w:val="16E62698"/>
    <w:rsid w:val="17082433"/>
    <w:rsid w:val="178169D1"/>
    <w:rsid w:val="17880715"/>
    <w:rsid w:val="17916266"/>
    <w:rsid w:val="17AD5A18"/>
    <w:rsid w:val="187A2437"/>
    <w:rsid w:val="18B577F6"/>
    <w:rsid w:val="18C526B2"/>
    <w:rsid w:val="18C97001"/>
    <w:rsid w:val="18D86AC4"/>
    <w:rsid w:val="18FC27B3"/>
    <w:rsid w:val="18FE652B"/>
    <w:rsid w:val="190807EC"/>
    <w:rsid w:val="190F2D17"/>
    <w:rsid w:val="19281462"/>
    <w:rsid w:val="19407FF9"/>
    <w:rsid w:val="19566203"/>
    <w:rsid w:val="19797F5B"/>
    <w:rsid w:val="19985BE5"/>
    <w:rsid w:val="1998697F"/>
    <w:rsid w:val="19E01483"/>
    <w:rsid w:val="1A1F0E4F"/>
    <w:rsid w:val="1A3D2B3B"/>
    <w:rsid w:val="1A65504E"/>
    <w:rsid w:val="1A8C5DB8"/>
    <w:rsid w:val="1AB8095B"/>
    <w:rsid w:val="1B4318B7"/>
    <w:rsid w:val="1B4E5E6A"/>
    <w:rsid w:val="1B54653A"/>
    <w:rsid w:val="1B7B0307"/>
    <w:rsid w:val="1B7C1E80"/>
    <w:rsid w:val="1B81713E"/>
    <w:rsid w:val="1BAC167D"/>
    <w:rsid w:val="1BF24C7D"/>
    <w:rsid w:val="1C1036BB"/>
    <w:rsid w:val="1C1C20DF"/>
    <w:rsid w:val="1C493ADC"/>
    <w:rsid w:val="1C73348E"/>
    <w:rsid w:val="1C737230"/>
    <w:rsid w:val="1C76287C"/>
    <w:rsid w:val="1CC45CDD"/>
    <w:rsid w:val="1CD64FCE"/>
    <w:rsid w:val="1CDC4DD5"/>
    <w:rsid w:val="1CEB14BC"/>
    <w:rsid w:val="1CF814E3"/>
    <w:rsid w:val="1D0D3EF3"/>
    <w:rsid w:val="1D1125BF"/>
    <w:rsid w:val="1D664516"/>
    <w:rsid w:val="1DA8115B"/>
    <w:rsid w:val="1DE4191E"/>
    <w:rsid w:val="1E0C793C"/>
    <w:rsid w:val="1E8721DB"/>
    <w:rsid w:val="1EE863E5"/>
    <w:rsid w:val="1F014B66"/>
    <w:rsid w:val="1F0F4723"/>
    <w:rsid w:val="1F5C3FAB"/>
    <w:rsid w:val="1F6674B8"/>
    <w:rsid w:val="1F8F4A1A"/>
    <w:rsid w:val="1FB8145E"/>
    <w:rsid w:val="1FF64400"/>
    <w:rsid w:val="1FF777C7"/>
    <w:rsid w:val="20495DA5"/>
    <w:rsid w:val="20566C4C"/>
    <w:rsid w:val="20587D70"/>
    <w:rsid w:val="206D009E"/>
    <w:rsid w:val="208F215E"/>
    <w:rsid w:val="20BB235E"/>
    <w:rsid w:val="20ED07AA"/>
    <w:rsid w:val="21076199"/>
    <w:rsid w:val="213371C7"/>
    <w:rsid w:val="216C40CC"/>
    <w:rsid w:val="21794DDB"/>
    <w:rsid w:val="217B4FBA"/>
    <w:rsid w:val="21BE0F4D"/>
    <w:rsid w:val="21C153C5"/>
    <w:rsid w:val="21F259EA"/>
    <w:rsid w:val="22030ABC"/>
    <w:rsid w:val="2228724C"/>
    <w:rsid w:val="222B4109"/>
    <w:rsid w:val="2252388A"/>
    <w:rsid w:val="226F7ED2"/>
    <w:rsid w:val="22733D68"/>
    <w:rsid w:val="22AD15B7"/>
    <w:rsid w:val="22B90E4A"/>
    <w:rsid w:val="22C37CD7"/>
    <w:rsid w:val="22D26392"/>
    <w:rsid w:val="22D92223"/>
    <w:rsid w:val="23016C4E"/>
    <w:rsid w:val="230C5CE8"/>
    <w:rsid w:val="230D30CF"/>
    <w:rsid w:val="23207A36"/>
    <w:rsid w:val="233647BF"/>
    <w:rsid w:val="235356C5"/>
    <w:rsid w:val="237C4C1C"/>
    <w:rsid w:val="238672EC"/>
    <w:rsid w:val="239255BE"/>
    <w:rsid w:val="23931F66"/>
    <w:rsid w:val="23B968CB"/>
    <w:rsid w:val="23D95C44"/>
    <w:rsid w:val="23F8450E"/>
    <w:rsid w:val="24432936"/>
    <w:rsid w:val="244871F4"/>
    <w:rsid w:val="244B3BD2"/>
    <w:rsid w:val="24961D0D"/>
    <w:rsid w:val="24B429B6"/>
    <w:rsid w:val="24FF3D57"/>
    <w:rsid w:val="252233A6"/>
    <w:rsid w:val="256040C9"/>
    <w:rsid w:val="256E2839"/>
    <w:rsid w:val="25706A02"/>
    <w:rsid w:val="25855145"/>
    <w:rsid w:val="258C4EBE"/>
    <w:rsid w:val="2592711F"/>
    <w:rsid w:val="25B94B8D"/>
    <w:rsid w:val="25C61968"/>
    <w:rsid w:val="25DD4BBE"/>
    <w:rsid w:val="25EB7E37"/>
    <w:rsid w:val="25F86621"/>
    <w:rsid w:val="26070462"/>
    <w:rsid w:val="261A687E"/>
    <w:rsid w:val="26256CDC"/>
    <w:rsid w:val="265E2630"/>
    <w:rsid w:val="26A868EC"/>
    <w:rsid w:val="26D25524"/>
    <w:rsid w:val="26D625F8"/>
    <w:rsid w:val="278C73F8"/>
    <w:rsid w:val="27AC1848"/>
    <w:rsid w:val="281B76B8"/>
    <w:rsid w:val="282E3EE4"/>
    <w:rsid w:val="28444B5B"/>
    <w:rsid w:val="28533431"/>
    <w:rsid w:val="28843D57"/>
    <w:rsid w:val="289406E2"/>
    <w:rsid w:val="28C3163E"/>
    <w:rsid w:val="290A08EC"/>
    <w:rsid w:val="295B52D4"/>
    <w:rsid w:val="29E42553"/>
    <w:rsid w:val="29F55728"/>
    <w:rsid w:val="2A0B7C31"/>
    <w:rsid w:val="2A306818"/>
    <w:rsid w:val="2A50472C"/>
    <w:rsid w:val="2A6564FF"/>
    <w:rsid w:val="2AA63D3F"/>
    <w:rsid w:val="2AC87913"/>
    <w:rsid w:val="2AED63FF"/>
    <w:rsid w:val="2B56190D"/>
    <w:rsid w:val="2B827ABA"/>
    <w:rsid w:val="2BA411B4"/>
    <w:rsid w:val="2BD812EE"/>
    <w:rsid w:val="2BE028D5"/>
    <w:rsid w:val="2BE32E19"/>
    <w:rsid w:val="2C2611CC"/>
    <w:rsid w:val="2CC94121"/>
    <w:rsid w:val="2D0D0FDB"/>
    <w:rsid w:val="2D1A7653"/>
    <w:rsid w:val="2D265BF9"/>
    <w:rsid w:val="2D3619B4"/>
    <w:rsid w:val="2D4875BA"/>
    <w:rsid w:val="2D636E4D"/>
    <w:rsid w:val="2D78203A"/>
    <w:rsid w:val="2DAB64F7"/>
    <w:rsid w:val="2DB90C90"/>
    <w:rsid w:val="2DDD1EC5"/>
    <w:rsid w:val="2DF66ED3"/>
    <w:rsid w:val="2DFD4279"/>
    <w:rsid w:val="2E0E6E4E"/>
    <w:rsid w:val="2E111CD0"/>
    <w:rsid w:val="2E5A212F"/>
    <w:rsid w:val="2ECF58CA"/>
    <w:rsid w:val="2ED02ADF"/>
    <w:rsid w:val="2EEB0D05"/>
    <w:rsid w:val="2F0F103A"/>
    <w:rsid w:val="2F102012"/>
    <w:rsid w:val="2F1E03A7"/>
    <w:rsid w:val="2F436F36"/>
    <w:rsid w:val="2F713AA3"/>
    <w:rsid w:val="2FAA6D1C"/>
    <w:rsid w:val="2FB31CE5"/>
    <w:rsid w:val="2FF005FC"/>
    <w:rsid w:val="30184D0B"/>
    <w:rsid w:val="301F52AD"/>
    <w:rsid w:val="309542F7"/>
    <w:rsid w:val="30A1283C"/>
    <w:rsid w:val="30CF3D02"/>
    <w:rsid w:val="30EE5204"/>
    <w:rsid w:val="30F229C1"/>
    <w:rsid w:val="311425FF"/>
    <w:rsid w:val="31796C3F"/>
    <w:rsid w:val="31A73EF5"/>
    <w:rsid w:val="31C43C21"/>
    <w:rsid w:val="31DF32DF"/>
    <w:rsid w:val="320A148D"/>
    <w:rsid w:val="32285F6F"/>
    <w:rsid w:val="327411B4"/>
    <w:rsid w:val="327D6A40"/>
    <w:rsid w:val="32B470F9"/>
    <w:rsid w:val="32CE73F5"/>
    <w:rsid w:val="32DF5036"/>
    <w:rsid w:val="32F42640"/>
    <w:rsid w:val="32F61ED4"/>
    <w:rsid w:val="337A6697"/>
    <w:rsid w:val="33930C20"/>
    <w:rsid w:val="33995376"/>
    <w:rsid w:val="33A2056E"/>
    <w:rsid w:val="33CF51E7"/>
    <w:rsid w:val="33E15139"/>
    <w:rsid w:val="33E31CFF"/>
    <w:rsid w:val="347D1609"/>
    <w:rsid w:val="34B51ACF"/>
    <w:rsid w:val="34CB610E"/>
    <w:rsid w:val="34CF32F2"/>
    <w:rsid w:val="34E76B3F"/>
    <w:rsid w:val="35061822"/>
    <w:rsid w:val="350C2877"/>
    <w:rsid w:val="3523258E"/>
    <w:rsid w:val="353A3973"/>
    <w:rsid w:val="353D586D"/>
    <w:rsid w:val="354D5AA0"/>
    <w:rsid w:val="35646E1B"/>
    <w:rsid w:val="35672959"/>
    <w:rsid w:val="356814A4"/>
    <w:rsid w:val="357D0C50"/>
    <w:rsid w:val="35A01E2E"/>
    <w:rsid w:val="35F01895"/>
    <w:rsid w:val="36121410"/>
    <w:rsid w:val="361231BE"/>
    <w:rsid w:val="365D2554"/>
    <w:rsid w:val="36716ACB"/>
    <w:rsid w:val="368A620A"/>
    <w:rsid w:val="368B59F3"/>
    <w:rsid w:val="36A4650C"/>
    <w:rsid w:val="36A70FFF"/>
    <w:rsid w:val="36F54FB9"/>
    <w:rsid w:val="374E5854"/>
    <w:rsid w:val="375E25FC"/>
    <w:rsid w:val="37817E54"/>
    <w:rsid w:val="37A023AF"/>
    <w:rsid w:val="37A90ED0"/>
    <w:rsid w:val="37B006FF"/>
    <w:rsid w:val="38121FFC"/>
    <w:rsid w:val="381D4A4B"/>
    <w:rsid w:val="38401E45"/>
    <w:rsid w:val="38401F3E"/>
    <w:rsid w:val="38431D54"/>
    <w:rsid w:val="38442A6F"/>
    <w:rsid w:val="38575800"/>
    <w:rsid w:val="387C3516"/>
    <w:rsid w:val="388E2615"/>
    <w:rsid w:val="38D004F4"/>
    <w:rsid w:val="38E202AE"/>
    <w:rsid w:val="38F372D7"/>
    <w:rsid w:val="39131727"/>
    <w:rsid w:val="39842625"/>
    <w:rsid w:val="39AA70F5"/>
    <w:rsid w:val="39AD1B7B"/>
    <w:rsid w:val="3A0E494C"/>
    <w:rsid w:val="3A3A09FB"/>
    <w:rsid w:val="3A563585"/>
    <w:rsid w:val="3A925378"/>
    <w:rsid w:val="3A976388"/>
    <w:rsid w:val="3AA06FEA"/>
    <w:rsid w:val="3B0D0D25"/>
    <w:rsid w:val="3B0F7A27"/>
    <w:rsid w:val="3B133BE5"/>
    <w:rsid w:val="3B4756B8"/>
    <w:rsid w:val="3BB43FA5"/>
    <w:rsid w:val="3BB645EB"/>
    <w:rsid w:val="3BD10CE4"/>
    <w:rsid w:val="3C334C9B"/>
    <w:rsid w:val="3C961CFE"/>
    <w:rsid w:val="3CC72AC4"/>
    <w:rsid w:val="3CEA15B3"/>
    <w:rsid w:val="3CFB6002"/>
    <w:rsid w:val="3CFC6F12"/>
    <w:rsid w:val="3D184F5F"/>
    <w:rsid w:val="3D314534"/>
    <w:rsid w:val="3DA768E2"/>
    <w:rsid w:val="3DB94543"/>
    <w:rsid w:val="3E0806DC"/>
    <w:rsid w:val="3E2E0DB1"/>
    <w:rsid w:val="3E3845E3"/>
    <w:rsid w:val="3E451A1D"/>
    <w:rsid w:val="3E483D6A"/>
    <w:rsid w:val="3E503247"/>
    <w:rsid w:val="3E51018F"/>
    <w:rsid w:val="3F00274D"/>
    <w:rsid w:val="3F050EE7"/>
    <w:rsid w:val="3F5E72EE"/>
    <w:rsid w:val="3F6E174A"/>
    <w:rsid w:val="3F744EE9"/>
    <w:rsid w:val="3F8648B9"/>
    <w:rsid w:val="3F8F1F95"/>
    <w:rsid w:val="3F9E0226"/>
    <w:rsid w:val="3FB247D7"/>
    <w:rsid w:val="3FBA6DA0"/>
    <w:rsid w:val="3FBB0422"/>
    <w:rsid w:val="3FC27513"/>
    <w:rsid w:val="3FDA770D"/>
    <w:rsid w:val="3FEC0317"/>
    <w:rsid w:val="40104686"/>
    <w:rsid w:val="40136D51"/>
    <w:rsid w:val="40727DDF"/>
    <w:rsid w:val="40946757"/>
    <w:rsid w:val="40A24073"/>
    <w:rsid w:val="40B943F7"/>
    <w:rsid w:val="40C806E4"/>
    <w:rsid w:val="40DE57E7"/>
    <w:rsid w:val="40E106E4"/>
    <w:rsid w:val="40F73794"/>
    <w:rsid w:val="4101245E"/>
    <w:rsid w:val="412B222D"/>
    <w:rsid w:val="41613037"/>
    <w:rsid w:val="4175371F"/>
    <w:rsid w:val="41885938"/>
    <w:rsid w:val="41984A8F"/>
    <w:rsid w:val="41BB0BAE"/>
    <w:rsid w:val="41DE664A"/>
    <w:rsid w:val="41EA2745"/>
    <w:rsid w:val="41FF687F"/>
    <w:rsid w:val="42293905"/>
    <w:rsid w:val="422E2066"/>
    <w:rsid w:val="42593D4D"/>
    <w:rsid w:val="42660074"/>
    <w:rsid w:val="43086074"/>
    <w:rsid w:val="438E758E"/>
    <w:rsid w:val="43902585"/>
    <w:rsid w:val="43B62CF4"/>
    <w:rsid w:val="43DE1FBE"/>
    <w:rsid w:val="445D1923"/>
    <w:rsid w:val="447031FA"/>
    <w:rsid w:val="44784142"/>
    <w:rsid w:val="44E67CEF"/>
    <w:rsid w:val="44F56185"/>
    <w:rsid w:val="451C1739"/>
    <w:rsid w:val="452B07D4"/>
    <w:rsid w:val="457479F1"/>
    <w:rsid w:val="45764F00"/>
    <w:rsid w:val="45B222C8"/>
    <w:rsid w:val="45B8376C"/>
    <w:rsid w:val="45C76CD8"/>
    <w:rsid w:val="45DD2DC1"/>
    <w:rsid w:val="45DD683F"/>
    <w:rsid w:val="45E97A30"/>
    <w:rsid w:val="45F52DF2"/>
    <w:rsid w:val="46473D5A"/>
    <w:rsid w:val="46542DD4"/>
    <w:rsid w:val="46623CEE"/>
    <w:rsid w:val="46686E80"/>
    <w:rsid w:val="467252FC"/>
    <w:rsid w:val="46786335"/>
    <w:rsid w:val="46B25289"/>
    <w:rsid w:val="46B72C6E"/>
    <w:rsid w:val="471414E9"/>
    <w:rsid w:val="471634EF"/>
    <w:rsid w:val="47394A4E"/>
    <w:rsid w:val="475D221D"/>
    <w:rsid w:val="4772516B"/>
    <w:rsid w:val="47A37AC7"/>
    <w:rsid w:val="47AA76FA"/>
    <w:rsid w:val="48287086"/>
    <w:rsid w:val="48412F5B"/>
    <w:rsid w:val="487321E2"/>
    <w:rsid w:val="48B43791"/>
    <w:rsid w:val="48D82045"/>
    <w:rsid w:val="48DD765B"/>
    <w:rsid w:val="496B7A53"/>
    <w:rsid w:val="497C5510"/>
    <w:rsid w:val="49843F7B"/>
    <w:rsid w:val="498E506C"/>
    <w:rsid w:val="49D15412"/>
    <w:rsid w:val="4A003601"/>
    <w:rsid w:val="4A3140FE"/>
    <w:rsid w:val="4A4C3C51"/>
    <w:rsid w:val="4A722025"/>
    <w:rsid w:val="4AB534F8"/>
    <w:rsid w:val="4AF87D7A"/>
    <w:rsid w:val="4B0A0453"/>
    <w:rsid w:val="4B2B2900"/>
    <w:rsid w:val="4B554143"/>
    <w:rsid w:val="4B7F714E"/>
    <w:rsid w:val="4B850C9D"/>
    <w:rsid w:val="4B8F4FD8"/>
    <w:rsid w:val="4BD765E4"/>
    <w:rsid w:val="4BE156B5"/>
    <w:rsid w:val="4C044559"/>
    <w:rsid w:val="4C125927"/>
    <w:rsid w:val="4C2227CC"/>
    <w:rsid w:val="4C32539B"/>
    <w:rsid w:val="4C5C77A0"/>
    <w:rsid w:val="4C67267B"/>
    <w:rsid w:val="4C7B3413"/>
    <w:rsid w:val="4CEC5E7B"/>
    <w:rsid w:val="4D1E2857"/>
    <w:rsid w:val="4D4E5624"/>
    <w:rsid w:val="4D691C74"/>
    <w:rsid w:val="4D6E4D26"/>
    <w:rsid w:val="4D97427D"/>
    <w:rsid w:val="4DB902C6"/>
    <w:rsid w:val="4DD73DB0"/>
    <w:rsid w:val="4E505334"/>
    <w:rsid w:val="4E6042F4"/>
    <w:rsid w:val="4E8F4D3D"/>
    <w:rsid w:val="4EA4034A"/>
    <w:rsid w:val="4EAA616B"/>
    <w:rsid w:val="4F1A2242"/>
    <w:rsid w:val="4F4C1097"/>
    <w:rsid w:val="4F5D14F6"/>
    <w:rsid w:val="4F7432CE"/>
    <w:rsid w:val="4F8D32D9"/>
    <w:rsid w:val="4FB07878"/>
    <w:rsid w:val="4FD833D3"/>
    <w:rsid w:val="4FF534DD"/>
    <w:rsid w:val="4FF706F9"/>
    <w:rsid w:val="50137E07"/>
    <w:rsid w:val="506747D1"/>
    <w:rsid w:val="506E4E02"/>
    <w:rsid w:val="507B5C4E"/>
    <w:rsid w:val="50AA2519"/>
    <w:rsid w:val="50C10F02"/>
    <w:rsid w:val="51083121"/>
    <w:rsid w:val="512C311F"/>
    <w:rsid w:val="513454B5"/>
    <w:rsid w:val="51395B6F"/>
    <w:rsid w:val="51644DBE"/>
    <w:rsid w:val="516E2369"/>
    <w:rsid w:val="51B90BFA"/>
    <w:rsid w:val="51B95FB0"/>
    <w:rsid w:val="51C61046"/>
    <w:rsid w:val="51D55C44"/>
    <w:rsid w:val="51D75590"/>
    <w:rsid w:val="51DD55EC"/>
    <w:rsid w:val="51F36142"/>
    <w:rsid w:val="52093015"/>
    <w:rsid w:val="520B6108"/>
    <w:rsid w:val="52200FBD"/>
    <w:rsid w:val="52687410"/>
    <w:rsid w:val="528172AA"/>
    <w:rsid w:val="52AE4F19"/>
    <w:rsid w:val="52BD6227"/>
    <w:rsid w:val="52C65EDC"/>
    <w:rsid w:val="52F67F66"/>
    <w:rsid w:val="533121F1"/>
    <w:rsid w:val="539826D1"/>
    <w:rsid w:val="53E563F4"/>
    <w:rsid w:val="53FD6E04"/>
    <w:rsid w:val="540E42C8"/>
    <w:rsid w:val="543176F9"/>
    <w:rsid w:val="54433EFC"/>
    <w:rsid w:val="544A1DF1"/>
    <w:rsid w:val="546A006C"/>
    <w:rsid w:val="54A13C33"/>
    <w:rsid w:val="54D55F7F"/>
    <w:rsid w:val="5521665F"/>
    <w:rsid w:val="55347D64"/>
    <w:rsid w:val="55C11B87"/>
    <w:rsid w:val="55CD0548"/>
    <w:rsid w:val="55DB5B44"/>
    <w:rsid w:val="55F668FC"/>
    <w:rsid w:val="55FC1429"/>
    <w:rsid w:val="55FC1EE9"/>
    <w:rsid w:val="56000732"/>
    <w:rsid w:val="56151AED"/>
    <w:rsid w:val="56241244"/>
    <w:rsid w:val="564B20A8"/>
    <w:rsid w:val="568F7D21"/>
    <w:rsid w:val="56942F40"/>
    <w:rsid w:val="56A1616C"/>
    <w:rsid w:val="56A84A9E"/>
    <w:rsid w:val="56F94885"/>
    <w:rsid w:val="571452E7"/>
    <w:rsid w:val="57160908"/>
    <w:rsid w:val="57283E15"/>
    <w:rsid w:val="572D580D"/>
    <w:rsid w:val="57380335"/>
    <w:rsid w:val="574D1E50"/>
    <w:rsid w:val="57713D91"/>
    <w:rsid w:val="578C4726"/>
    <w:rsid w:val="57914433"/>
    <w:rsid w:val="57F43B4C"/>
    <w:rsid w:val="57F81DBC"/>
    <w:rsid w:val="58003366"/>
    <w:rsid w:val="581D6405"/>
    <w:rsid w:val="581E7F6E"/>
    <w:rsid w:val="585A783C"/>
    <w:rsid w:val="58732DDA"/>
    <w:rsid w:val="5875165E"/>
    <w:rsid w:val="589C7C5D"/>
    <w:rsid w:val="58AB1524"/>
    <w:rsid w:val="58CD1630"/>
    <w:rsid w:val="58DE1868"/>
    <w:rsid w:val="593425FB"/>
    <w:rsid w:val="593A595E"/>
    <w:rsid w:val="594A59D2"/>
    <w:rsid w:val="59682F71"/>
    <w:rsid w:val="597C6A1D"/>
    <w:rsid w:val="59875AED"/>
    <w:rsid w:val="59A250DC"/>
    <w:rsid w:val="59B32F8F"/>
    <w:rsid w:val="59DE2095"/>
    <w:rsid w:val="59E14360"/>
    <w:rsid w:val="59EE1E0D"/>
    <w:rsid w:val="59FE6D5D"/>
    <w:rsid w:val="5A4E03B9"/>
    <w:rsid w:val="5A944F4A"/>
    <w:rsid w:val="5B335A02"/>
    <w:rsid w:val="5B4A731A"/>
    <w:rsid w:val="5B4E356A"/>
    <w:rsid w:val="5B8B1199"/>
    <w:rsid w:val="5BB701E0"/>
    <w:rsid w:val="5BC725D0"/>
    <w:rsid w:val="5C4922FE"/>
    <w:rsid w:val="5C501309"/>
    <w:rsid w:val="5C542A13"/>
    <w:rsid w:val="5C61579B"/>
    <w:rsid w:val="5C645E22"/>
    <w:rsid w:val="5C841B60"/>
    <w:rsid w:val="5C865B14"/>
    <w:rsid w:val="5CB15428"/>
    <w:rsid w:val="5CBB1704"/>
    <w:rsid w:val="5CD5091E"/>
    <w:rsid w:val="5CE40B61"/>
    <w:rsid w:val="5D50269A"/>
    <w:rsid w:val="5D5A0C04"/>
    <w:rsid w:val="5D7C348F"/>
    <w:rsid w:val="5D8E5384"/>
    <w:rsid w:val="5D93435D"/>
    <w:rsid w:val="5D9C0E1E"/>
    <w:rsid w:val="5DB71180"/>
    <w:rsid w:val="5DBE2B4C"/>
    <w:rsid w:val="5DBE3FCC"/>
    <w:rsid w:val="5DD75D9C"/>
    <w:rsid w:val="5DEB784E"/>
    <w:rsid w:val="5E05422A"/>
    <w:rsid w:val="5E324AF8"/>
    <w:rsid w:val="5E5F4997"/>
    <w:rsid w:val="5EAA5DDA"/>
    <w:rsid w:val="5ED54C05"/>
    <w:rsid w:val="5EDB41E5"/>
    <w:rsid w:val="5EE035AA"/>
    <w:rsid w:val="5EF23F73"/>
    <w:rsid w:val="5EFA0B0F"/>
    <w:rsid w:val="5F311AC5"/>
    <w:rsid w:val="5F337B7D"/>
    <w:rsid w:val="5F4E0B3C"/>
    <w:rsid w:val="5F667F53"/>
    <w:rsid w:val="5F767C47"/>
    <w:rsid w:val="5F8D54E0"/>
    <w:rsid w:val="5FAA4639"/>
    <w:rsid w:val="5FB85ADB"/>
    <w:rsid w:val="600867EC"/>
    <w:rsid w:val="600A3B2D"/>
    <w:rsid w:val="602441E8"/>
    <w:rsid w:val="607B2786"/>
    <w:rsid w:val="607C109C"/>
    <w:rsid w:val="6097679E"/>
    <w:rsid w:val="60BC5AD8"/>
    <w:rsid w:val="60FF41BB"/>
    <w:rsid w:val="61007F33"/>
    <w:rsid w:val="610C0AC7"/>
    <w:rsid w:val="61371734"/>
    <w:rsid w:val="61453B98"/>
    <w:rsid w:val="6167109B"/>
    <w:rsid w:val="61761FA3"/>
    <w:rsid w:val="61B6467E"/>
    <w:rsid w:val="61BA59B7"/>
    <w:rsid w:val="61E032AC"/>
    <w:rsid w:val="61E25063"/>
    <w:rsid w:val="62035F2D"/>
    <w:rsid w:val="62251CD6"/>
    <w:rsid w:val="625B18C5"/>
    <w:rsid w:val="627E6D69"/>
    <w:rsid w:val="629378F5"/>
    <w:rsid w:val="62C0797A"/>
    <w:rsid w:val="62C84A81"/>
    <w:rsid w:val="62F06DFA"/>
    <w:rsid w:val="62F6339C"/>
    <w:rsid w:val="630A6E47"/>
    <w:rsid w:val="6328034E"/>
    <w:rsid w:val="63312626"/>
    <w:rsid w:val="6333360B"/>
    <w:rsid w:val="63367741"/>
    <w:rsid w:val="633839B4"/>
    <w:rsid w:val="640B1C95"/>
    <w:rsid w:val="6432605E"/>
    <w:rsid w:val="64346872"/>
    <w:rsid w:val="64AC465A"/>
    <w:rsid w:val="64BC23C3"/>
    <w:rsid w:val="64BE438D"/>
    <w:rsid w:val="64E70858"/>
    <w:rsid w:val="65270184"/>
    <w:rsid w:val="65272435"/>
    <w:rsid w:val="652A37D1"/>
    <w:rsid w:val="65343FCB"/>
    <w:rsid w:val="655720C1"/>
    <w:rsid w:val="65827C43"/>
    <w:rsid w:val="65856C59"/>
    <w:rsid w:val="65893E5B"/>
    <w:rsid w:val="65A0144F"/>
    <w:rsid w:val="65AC2FF2"/>
    <w:rsid w:val="65B302F4"/>
    <w:rsid w:val="65C46E98"/>
    <w:rsid w:val="65CC7555"/>
    <w:rsid w:val="660013AA"/>
    <w:rsid w:val="66880E42"/>
    <w:rsid w:val="66987828"/>
    <w:rsid w:val="66AF4859"/>
    <w:rsid w:val="66B112A7"/>
    <w:rsid w:val="66F94244"/>
    <w:rsid w:val="67140294"/>
    <w:rsid w:val="678C6CFF"/>
    <w:rsid w:val="67B05723"/>
    <w:rsid w:val="68126ECA"/>
    <w:rsid w:val="687206BE"/>
    <w:rsid w:val="687B49C3"/>
    <w:rsid w:val="688431F8"/>
    <w:rsid w:val="689D149E"/>
    <w:rsid w:val="68DE48A2"/>
    <w:rsid w:val="69212BEB"/>
    <w:rsid w:val="693D5D58"/>
    <w:rsid w:val="694841AF"/>
    <w:rsid w:val="69782D5D"/>
    <w:rsid w:val="69BA7A79"/>
    <w:rsid w:val="69D106BF"/>
    <w:rsid w:val="69D341C6"/>
    <w:rsid w:val="69E4119F"/>
    <w:rsid w:val="6A4E644F"/>
    <w:rsid w:val="6A671521"/>
    <w:rsid w:val="6A752D89"/>
    <w:rsid w:val="6AC547AA"/>
    <w:rsid w:val="6AEC1359"/>
    <w:rsid w:val="6AEF4D6B"/>
    <w:rsid w:val="6B5275DD"/>
    <w:rsid w:val="6BB34D7C"/>
    <w:rsid w:val="6BCC3834"/>
    <w:rsid w:val="6BD31305"/>
    <w:rsid w:val="6BE049C2"/>
    <w:rsid w:val="6C1236EB"/>
    <w:rsid w:val="6C1A3A45"/>
    <w:rsid w:val="6C2F17A8"/>
    <w:rsid w:val="6C3D0794"/>
    <w:rsid w:val="6C6D0B73"/>
    <w:rsid w:val="6CA010DA"/>
    <w:rsid w:val="6CB144A4"/>
    <w:rsid w:val="6CBB7273"/>
    <w:rsid w:val="6CBF667D"/>
    <w:rsid w:val="6CF07C20"/>
    <w:rsid w:val="6CF4022D"/>
    <w:rsid w:val="6CFB215C"/>
    <w:rsid w:val="6D023BE4"/>
    <w:rsid w:val="6D1D74E7"/>
    <w:rsid w:val="6D3B2A1F"/>
    <w:rsid w:val="6D5A3A30"/>
    <w:rsid w:val="6D806684"/>
    <w:rsid w:val="6D881C5D"/>
    <w:rsid w:val="6DA46DD2"/>
    <w:rsid w:val="6DB30807"/>
    <w:rsid w:val="6DB548D9"/>
    <w:rsid w:val="6DE26644"/>
    <w:rsid w:val="6E0D4D30"/>
    <w:rsid w:val="6E49116B"/>
    <w:rsid w:val="6E7D7067"/>
    <w:rsid w:val="6EA77C40"/>
    <w:rsid w:val="6EDA0016"/>
    <w:rsid w:val="6EE82732"/>
    <w:rsid w:val="6EEA2A6C"/>
    <w:rsid w:val="6EF72C7A"/>
    <w:rsid w:val="6F3F141F"/>
    <w:rsid w:val="6F3F189D"/>
    <w:rsid w:val="6F4B019A"/>
    <w:rsid w:val="6F83314F"/>
    <w:rsid w:val="6FA348AB"/>
    <w:rsid w:val="6FA772F4"/>
    <w:rsid w:val="6FC860C0"/>
    <w:rsid w:val="6FE976C9"/>
    <w:rsid w:val="6FF11ABB"/>
    <w:rsid w:val="7020414E"/>
    <w:rsid w:val="706D52AA"/>
    <w:rsid w:val="70820F81"/>
    <w:rsid w:val="709B2B61"/>
    <w:rsid w:val="70B1066E"/>
    <w:rsid w:val="70C96594"/>
    <w:rsid w:val="70D311C0"/>
    <w:rsid w:val="710B5252"/>
    <w:rsid w:val="712F543D"/>
    <w:rsid w:val="715440AF"/>
    <w:rsid w:val="71777E63"/>
    <w:rsid w:val="719806C7"/>
    <w:rsid w:val="71C5311A"/>
    <w:rsid w:val="720430D3"/>
    <w:rsid w:val="72161365"/>
    <w:rsid w:val="722B61B3"/>
    <w:rsid w:val="724709FB"/>
    <w:rsid w:val="726F6716"/>
    <w:rsid w:val="72A421DE"/>
    <w:rsid w:val="72AA02CF"/>
    <w:rsid w:val="72C47013"/>
    <w:rsid w:val="72D82ABE"/>
    <w:rsid w:val="72E15E16"/>
    <w:rsid w:val="730E4732"/>
    <w:rsid w:val="73465C7A"/>
    <w:rsid w:val="740517D7"/>
    <w:rsid w:val="741B2C62"/>
    <w:rsid w:val="74B041AC"/>
    <w:rsid w:val="74C80178"/>
    <w:rsid w:val="74E06816"/>
    <w:rsid w:val="74FC57C3"/>
    <w:rsid w:val="75190009"/>
    <w:rsid w:val="755F1275"/>
    <w:rsid w:val="757A7E5C"/>
    <w:rsid w:val="758D5DE2"/>
    <w:rsid w:val="759E1430"/>
    <w:rsid w:val="75D60E9A"/>
    <w:rsid w:val="75F145C2"/>
    <w:rsid w:val="760D0489"/>
    <w:rsid w:val="76137050"/>
    <w:rsid w:val="76180C4D"/>
    <w:rsid w:val="76470EAF"/>
    <w:rsid w:val="767C69CD"/>
    <w:rsid w:val="76A96C4B"/>
    <w:rsid w:val="76B0004B"/>
    <w:rsid w:val="76B352F7"/>
    <w:rsid w:val="76BD4AF7"/>
    <w:rsid w:val="76C45995"/>
    <w:rsid w:val="76CB3C77"/>
    <w:rsid w:val="76E063E5"/>
    <w:rsid w:val="76F67DDD"/>
    <w:rsid w:val="773055AF"/>
    <w:rsid w:val="77476309"/>
    <w:rsid w:val="77690DC3"/>
    <w:rsid w:val="776D5ECB"/>
    <w:rsid w:val="7785303A"/>
    <w:rsid w:val="779D1A5F"/>
    <w:rsid w:val="77AB254F"/>
    <w:rsid w:val="77BF46C9"/>
    <w:rsid w:val="77D85BF3"/>
    <w:rsid w:val="77E31CE9"/>
    <w:rsid w:val="77EB5041"/>
    <w:rsid w:val="77F113EF"/>
    <w:rsid w:val="77F4039A"/>
    <w:rsid w:val="77FC0FFD"/>
    <w:rsid w:val="78202F3D"/>
    <w:rsid w:val="782F6799"/>
    <w:rsid w:val="787653C9"/>
    <w:rsid w:val="788039DC"/>
    <w:rsid w:val="78961451"/>
    <w:rsid w:val="78C95383"/>
    <w:rsid w:val="795569F8"/>
    <w:rsid w:val="79870E08"/>
    <w:rsid w:val="799C6753"/>
    <w:rsid w:val="79B4152D"/>
    <w:rsid w:val="79F4608F"/>
    <w:rsid w:val="79FA0D35"/>
    <w:rsid w:val="79FB666F"/>
    <w:rsid w:val="7A0A5C53"/>
    <w:rsid w:val="7AC9574D"/>
    <w:rsid w:val="7AD93877"/>
    <w:rsid w:val="7B0C1557"/>
    <w:rsid w:val="7B351133"/>
    <w:rsid w:val="7B433CAE"/>
    <w:rsid w:val="7B4A69A4"/>
    <w:rsid w:val="7B886804"/>
    <w:rsid w:val="7BF73FB5"/>
    <w:rsid w:val="7C0E7550"/>
    <w:rsid w:val="7C4B16D5"/>
    <w:rsid w:val="7C753653"/>
    <w:rsid w:val="7C95557C"/>
    <w:rsid w:val="7CAF6913"/>
    <w:rsid w:val="7CB603C2"/>
    <w:rsid w:val="7CFF6C9B"/>
    <w:rsid w:val="7D101CCA"/>
    <w:rsid w:val="7D385520"/>
    <w:rsid w:val="7DB12205"/>
    <w:rsid w:val="7DB54CF6"/>
    <w:rsid w:val="7DEC42D5"/>
    <w:rsid w:val="7DFC1D56"/>
    <w:rsid w:val="7E062BD5"/>
    <w:rsid w:val="7E1C3938"/>
    <w:rsid w:val="7E3F6F5D"/>
    <w:rsid w:val="7E437898"/>
    <w:rsid w:val="7E981098"/>
    <w:rsid w:val="7E98507D"/>
    <w:rsid w:val="7EBC07B1"/>
    <w:rsid w:val="7F0D3AEF"/>
    <w:rsid w:val="7F13096B"/>
    <w:rsid w:val="7F2F75B4"/>
    <w:rsid w:val="7F58120E"/>
    <w:rsid w:val="7FB126CD"/>
    <w:rsid w:val="7FBC555C"/>
    <w:rsid w:val="7FC12EAD"/>
    <w:rsid w:val="7FD85611"/>
    <w:rsid w:val="7FEA5BDF"/>
    <w:rsid w:val="7FF60A2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Times New Roman" w:hAnsi="Times New Roman" w:eastAsia="宋体" w:cs="黑体"/>
      <w:kern w:val="2"/>
      <w:sz w:val="24"/>
      <w:szCs w:val="24"/>
      <w:lang w:val="en-US" w:eastAsia="zh-CN" w:bidi="ar-SA"/>
    </w:rPr>
  </w:style>
  <w:style w:type="paragraph" w:styleId="2">
    <w:name w:val="heading 1"/>
    <w:basedOn w:val="1"/>
    <w:next w:val="1"/>
    <w:qFormat/>
    <w:uiPriority w:val="0"/>
    <w:pPr>
      <w:keepNext/>
      <w:keepLines/>
      <w:ind w:firstLine="0" w:firstLineChars="0"/>
      <w:jc w:val="center"/>
      <w:outlineLvl w:val="0"/>
    </w:pPr>
    <w:rPr>
      <w:b/>
      <w:kern w:val="44"/>
      <w:sz w:val="36"/>
    </w:rPr>
  </w:style>
  <w:style w:type="paragraph" w:styleId="3">
    <w:name w:val="heading 2"/>
    <w:basedOn w:val="1"/>
    <w:next w:val="1"/>
    <w:qFormat/>
    <w:uiPriority w:val="1"/>
    <w:pPr>
      <w:spacing w:line="500" w:lineRule="exact"/>
      <w:ind w:left="0" w:leftChars="0" w:right="0" w:rightChars="0"/>
      <w:outlineLvl w:val="1"/>
    </w:pPr>
    <w:rPr>
      <w:rFonts w:ascii="Times New Roman" w:hAnsi="Times New Roman" w:eastAsia="宋体" w:cs="黑体"/>
      <w:b/>
      <w:sz w:val="28"/>
      <w:szCs w:val="32"/>
    </w:rPr>
  </w:style>
  <w:style w:type="paragraph" w:styleId="4">
    <w:name w:val="heading 3"/>
    <w:basedOn w:val="1"/>
    <w:next w:val="1"/>
    <w:qFormat/>
    <w:uiPriority w:val="1"/>
    <w:pPr>
      <w:spacing w:line="500" w:lineRule="exact"/>
      <w:ind w:left="0" w:leftChars="0" w:right="0" w:rightChars="0"/>
      <w:outlineLvl w:val="2"/>
    </w:pPr>
    <w:rPr>
      <w:rFonts w:ascii="Times New Roman" w:hAnsi="Times New Roman" w:eastAsia="宋体"/>
      <w:b/>
      <w:bCs/>
      <w:sz w:val="24"/>
      <w:szCs w:val="24"/>
    </w:rPr>
  </w:style>
  <w:style w:type="character" w:default="1" w:styleId="22">
    <w:name w:val="Default Paragraph Font"/>
    <w:unhideWhenUsed/>
    <w:qFormat/>
    <w:uiPriority w:val="1"/>
  </w:style>
  <w:style w:type="table" w:default="1" w:styleId="2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caption"/>
    <w:basedOn w:val="1"/>
    <w:next w:val="1"/>
    <w:qFormat/>
    <w:uiPriority w:val="0"/>
    <w:pPr>
      <w:jc w:val="center"/>
    </w:pPr>
    <w:rPr>
      <w:szCs w:val="20"/>
    </w:rPr>
  </w:style>
  <w:style w:type="paragraph" w:styleId="6">
    <w:name w:val="annotation text"/>
    <w:basedOn w:val="1"/>
    <w:link w:val="28"/>
    <w:qFormat/>
    <w:uiPriority w:val="0"/>
    <w:pPr>
      <w:spacing w:line="240" w:lineRule="auto"/>
      <w:ind w:firstLine="0" w:firstLineChars="0"/>
      <w:jc w:val="center"/>
    </w:pPr>
    <w:rPr>
      <w:rFonts w:ascii="Times New Roman" w:hAnsi="Times New Roman" w:eastAsia="宋体"/>
      <w:b/>
      <w:sz w:val="21"/>
    </w:rPr>
  </w:style>
  <w:style w:type="paragraph" w:styleId="7">
    <w:name w:val="Salutation"/>
    <w:basedOn w:val="1"/>
    <w:next w:val="1"/>
    <w:qFormat/>
    <w:uiPriority w:val="0"/>
    <w:pPr>
      <w:widowControl/>
      <w:jc w:val="left"/>
    </w:pPr>
    <w:rPr>
      <w:kern w:val="0"/>
      <w:sz w:val="24"/>
      <w:szCs w:val="20"/>
    </w:rPr>
  </w:style>
  <w:style w:type="paragraph" w:styleId="8">
    <w:name w:val="Body Text"/>
    <w:basedOn w:val="1"/>
    <w:next w:val="1"/>
    <w:unhideWhenUsed/>
    <w:qFormat/>
    <w:uiPriority w:val="99"/>
    <w:pPr>
      <w:pBdr>
        <w:top w:val="none" w:color="auto" w:sz="0" w:space="1"/>
        <w:left w:val="none" w:color="auto" w:sz="0" w:space="4"/>
        <w:bottom w:val="none" w:color="auto" w:sz="0" w:space="1"/>
        <w:right w:val="none" w:color="auto" w:sz="0" w:space="4"/>
      </w:pBdr>
      <w:snapToGrid w:val="0"/>
      <w:spacing w:line="240" w:lineRule="auto"/>
      <w:ind w:firstLine="0" w:firstLineChars="0"/>
      <w:jc w:val="center"/>
    </w:pPr>
    <w:rPr>
      <w:rFonts w:ascii="Times New Roman" w:hAnsi="Times New Roman" w:eastAsia="宋体" w:cs="Times New Roman"/>
      <w:sz w:val="21"/>
      <w:szCs w:val="20"/>
    </w:rPr>
  </w:style>
  <w:style w:type="paragraph" w:styleId="9">
    <w:name w:val="Body Text Indent"/>
    <w:basedOn w:val="1"/>
    <w:next w:val="10"/>
    <w:qFormat/>
    <w:uiPriority w:val="99"/>
    <w:pPr>
      <w:spacing w:after="120"/>
      <w:ind w:left="420" w:leftChars="200"/>
    </w:pPr>
    <w:rPr>
      <w:rFonts w:hint="eastAsi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1">
    <w:name w:val="Plain Text"/>
    <w:basedOn w:val="1"/>
    <w:qFormat/>
    <w:uiPriority w:val="0"/>
    <w:rPr>
      <w:rFonts w:ascii="宋体" w:hAnsi="Courier New"/>
      <w:kern w:val="0"/>
      <w:sz w:val="20"/>
      <w:szCs w:val="20"/>
    </w:rPr>
  </w:style>
  <w:style w:type="paragraph" w:styleId="12">
    <w:name w:val="Balloon Text"/>
    <w:basedOn w:val="1"/>
    <w:link w:val="29"/>
    <w:qFormat/>
    <w:uiPriority w:val="0"/>
    <w:pPr>
      <w:spacing w:line="240" w:lineRule="auto"/>
    </w:pPr>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index heading"/>
    <w:basedOn w:val="1"/>
    <w:next w:val="15"/>
    <w:semiHidden/>
    <w:qFormat/>
    <w:uiPriority w:val="0"/>
    <w:rPr>
      <w:rFonts w:ascii="Arial" w:hAnsi="Arial" w:cs="Arial"/>
      <w:b/>
      <w:bCs/>
    </w:rPr>
  </w:style>
  <w:style w:type="paragraph" w:styleId="15">
    <w:name w:val="index 1"/>
    <w:basedOn w:val="1"/>
    <w:next w:val="1"/>
    <w:semiHidden/>
    <w:qFormat/>
    <w:uiPriority w:val="0"/>
    <w:pPr>
      <w:adjustRightInd w:val="0"/>
      <w:snapToGrid w:val="0"/>
      <w:spacing w:line="440" w:lineRule="atLeast"/>
      <w:ind w:left="240" w:hanging="240"/>
      <w:jc w:val="left"/>
    </w:pPr>
    <w:rPr>
      <w:rFonts w:ascii="宋体"/>
      <w:sz w:val="18"/>
      <w:szCs w:val="18"/>
    </w:rPr>
  </w:style>
  <w:style w:type="paragraph" w:styleId="16">
    <w:name w:val="Normal (Web)"/>
    <w:basedOn w:val="1"/>
    <w:qFormat/>
    <w:uiPriority w:val="0"/>
    <w:pPr>
      <w:spacing w:beforeAutospacing="1" w:afterAutospacing="1"/>
      <w:jc w:val="left"/>
    </w:pPr>
    <w:rPr>
      <w:rFonts w:cs="Times New Roman"/>
      <w:kern w:val="0"/>
    </w:rPr>
  </w:style>
  <w:style w:type="paragraph" w:styleId="17">
    <w:name w:val="annotation subject"/>
    <w:basedOn w:val="6"/>
    <w:next w:val="6"/>
    <w:link w:val="30"/>
    <w:qFormat/>
    <w:uiPriority w:val="0"/>
    <w:rPr>
      <w:bCs/>
    </w:rPr>
  </w:style>
  <w:style w:type="paragraph" w:styleId="18">
    <w:name w:val="Body Text First Indent"/>
    <w:basedOn w:val="8"/>
    <w:next w:val="1"/>
    <w:qFormat/>
    <w:uiPriority w:val="0"/>
    <w:pPr>
      <w:ind w:firstLine="420" w:firstLineChars="100"/>
    </w:pPr>
  </w:style>
  <w:style w:type="paragraph" w:styleId="19">
    <w:name w:val="Body Text First Indent 2"/>
    <w:basedOn w:val="9"/>
    <w:qFormat/>
    <w:uiPriority w:val="0"/>
    <w:pPr>
      <w:ind w:firstLine="420"/>
    </w:pPr>
  </w:style>
  <w:style w:type="table" w:styleId="21">
    <w:name w:val="Table Grid"/>
    <w:basedOn w:val="20"/>
    <w:unhideWhenUsed/>
    <w:qFormat/>
    <w:uiPriority w:val="9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character" w:styleId="24">
    <w:name w:val="FollowedHyperlink"/>
    <w:basedOn w:val="22"/>
    <w:qFormat/>
    <w:uiPriority w:val="0"/>
    <w:rPr>
      <w:color w:val="333333"/>
      <w:u w:val="none"/>
    </w:rPr>
  </w:style>
  <w:style w:type="character" w:styleId="25">
    <w:name w:val="Emphasis"/>
    <w:basedOn w:val="22"/>
    <w:qFormat/>
    <w:uiPriority w:val="0"/>
    <w:rPr>
      <w:i/>
    </w:rPr>
  </w:style>
  <w:style w:type="character" w:styleId="26">
    <w:name w:val="Hyperlink"/>
    <w:basedOn w:val="22"/>
    <w:qFormat/>
    <w:uiPriority w:val="0"/>
    <w:rPr>
      <w:color w:val="333333"/>
      <w:u w:val="none"/>
    </w:rPr>
  </w:style>
  <w:style w:type="character" w:styleId="27">
    <w:name w:val="annotation reference"/>
    <w:basedOn w:val="22"/>
    <w:qFormat/>
    <w:uiPriority w:val="0"/>
    <w:rPr>
      <w:sz w:val="21"/>
      <w:szCs w:val="21"/>
    </w:rPr>
  </w:style>
  <w:style w:type="character" w:customStyle="1" w:styleId="28">
    <w:name w:val="批注文字 Char"/>
    <w:basedOn w:val="22"/>
    <w:link w:val="6"/>
    <w:qFormat/>
    <w:uiPriority w:val="0"/>
    <w:rPr>
      <w:rFonts w:ascii="Times New Roman" w:hAnsi="Times New Roman" w:eastAsia="宋体" w:cs="黑体"/>
      <w:b/>
      <w:kern w:val="2"/>
      <w:sz w:val="21"/>
      <w:szCs w:val="24"/>
    </w:rPr>
  </w:style>
  <w:style w:type="character" w:customStyle="1" w:styleId="29">
    <w:name w:val="批注框文本 Char"/>
    <w:basedOn w:val="22"/>
    <w:link w:val="12"/>
    <w:qFormat/>
    <w:uiPriority w:val="0"/>
    <w:rPr>
      <w:rFonts w:cs="黑体"/>
      <w:kern w:val="2"/>
      <w:sz w:val="18"/>
      <w:szCs w:val="18"/>
    </w:rPr>
  </w:style>
  <w:style w:type="character" w:customStyle="1" w:styleId="30">
    <w:name w:val="批注主题 Char"/>
    <w:basedOn w:val="28"/>
    <w:link w:val="17"/>
    <w:qFormat/>
    <w:uiPriority w:val="0"/>
    <w:rPr>
      <w:rFonts w:cs="黑体"/>
      <w:bCs/>
      <w:kern w:val="2"/>
      <w:sz w:val="24"/>
      <w:szCs w:val="24"/>
    </w:rPr>
  </w:style>
  <w:style w:type="paragraph" w:customStyle="1" w:styleId="31">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2">
    <w:name w:val="Default"/>
    <w:unhideWhenUsed/>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3">
    <w:name w:val="样式1"/>
    <w:basedOn w:val="14"/>
    <w:link w:val="34"/>
    <w:qFormat/>
    <w:uiPriority w:val="0"/>
    <w:pPr>
      <w:ind w:firstLine="0"/>
    </w:pPr>
    <w:rPr>
      <w:rFonts w:ascii="Times New Roman"/>
      <w:b w:val="0"/>
      <w:sz w:val="30"/>
      <w:szCs w:val="30"/>
    </w:rPr>
  </w:style>
  <w:style w:type="character" w:customStyle="1" w:styleId="34">
    <w:name w:val="样式1 Char"/>
    <w:link w:val="33"/>
    <w:qFormat/>
    <w:uiPriority w:val="0"/>
    <w:rPr>
      <w:rFonts w:ascii="Times New Roman"/>
      <w:sz w:val="30"/>
      <w:szCs w:val="30"/>
    </w:rPr>
  </w:style>
  <w:style w:type="paragraph" w:customStyle="1" w:styleId="35">
    <w:name w:val="表格标题"/>
    <w:basedOn w:val="2"/>
    <w:next w:val="1"/>
    <w:qFormat/>
    <w:uiPriority w:val="0"/>
    <w:rPr>
      <w:sz w:val="24"/>
    </w:rPr>
  </w:style>
  <w:style w:type="paragraph" w:customStyle="1" w:styleId="36">
    <w:name w:val="表格文字"/>
    <w:basedOn w:val="1"/>
    <w:next w:val="1"/>
    <w:qFormat/>
    <w:uiPriority w:val="0"/>
    <w:pPr>
      <w:spacing w:line="240" w:lineRule="auto"/>
      <w:ind w:firstLine="0" w:firstLineChars="0"/>
    </w:pPr>
    <w:rPr>
      <w:sz w:val="21"/>
    </w:rPr>
  </w:style>
  <w:style w:type="paragraph" w:customStyle="1" w:styleId="37">
    <w:name w:val="正文段落"/>
    <w:basedOn w:val="1"/>
    <w:qFormat/>
    <w:uiPriority w:val="0"/>
    <w:pPr>
      <w:ind w:firstLine="200"/>
    </w:pPr>
    <w:rPr>
      <w:rFonts w:eastAsia="仿宋" w:cs="宋体"/>
      <w:sz w:val="28"/>
      <w:szCs w:val="20"/>
    </w:rPr>
  </w:style>
  <w:style w:type="paragraph" w:customStyle="1" w:styleId="38">
    <w:name w:val="WPSOffice手动目录 1"/>
    <w:qFormat/>
    <w:uiPriority w:val="0"/>
    <w:rPr>
      <w:rFonts w:ascii="Calibri" w:hAnsi="Calibri" w:eastAsia="宋体" w:cs="黑体"/>
      <w:lang w:val="en-US" w:eastAsia="zh-CN" w:bidi="ar-SA"/>
    </w:rPr>
  </w:style>
  <w:style w:type="paragraph" w:customStyle="1" w:styleId="39">
    <w:name w:val="Table Paragraph"/>
    <w:basedOn w:val="1"/>
    <w:qFormat/>
    <w:uiPriority w:val="1"/>
  </w:style>
  <w:style w:type="paragraph" w:customStyle="1" w:styleId="40">
    <w:name w:val="列出段落1"/>
    <w:basedOn w:val="1"/>
    <w:qFormat/>
    <w:uiPriority w:val="34"/>
    <w:pPr>
      <w:ind w:firstLine="420"/>
    </w:pPr>
    <w:rPr>
      <w:rFonts w:cs="Times New Roman"/>
      <w:szCs w:val="20"/>
    </w:rPr>
  </w:style>
  <w:style w:type="character" w:customStyle="1" w:styleId="41">
    <w:name w:val="fl2"/>
    <w:basedOn w:val="22"/>
    <w:qFormat/>
    <w:uiPriority w:val="0"/>
  </w:style>
  <w:style w:type="character" w:customStyle="1" w:styleId="42">
    <w:name w:val="gwds_nopic"/>
    <w:basedOn w:val="22"/>
    <w:qFormat/>
    <w:uiPriority w:val="0"/>
  </w:style>
  <w:style w:type="character" w:customStyle="1" w:styleId="43">
    <w:name w:val="gwds_nopic1"/>
    <w:basedOn w:val="22"/>
    <w:qFormat/>
    <w:uiPriority w:val="0"/>
  </w:style>
  <w:style w:type="character" w:customStyle="1" w:styleId="44">
    <w:name w:val="gwds_nopic2"/>
    <w:basedOn w:val="22"/>
    <w:qFormat/>
    <w:uiPriority w:val="0"/>
  </w:style>
  <w:style w:type="character" w:customStyle="1" w:styleId="45">
    <w:name w:val="fl"/>
    <w:basedOn w:val="22"/>
    <w:qFormat/>
    <w:uiPriority w:val="0"/>
  </w:style>
  <w:style w:type="character" w:customStyle="1" w:styleId="46">
    <w:name w:val="font01"/>
    <w:basedOn w:val="22"/>
    <w:qFormat/>
    <w:uiPriority w:val="0"/>
    <w:rPr>
      <w:rFonts w:hint="default" w:ascii="Times New Roman" w:hAnsi="Times New Roman" w:cs="Times New Roman"/>
      <w:color w:val="000000"/>
      <w:sz w:val="23"/>
      <w:szCs w:val="23"/>
      <w:u w:val="none"/>
    </w:rPr>
  </w:style>
  <w:style w:type="character" w:customStyle="1" w:styleId="47">
    <w:name w:val="font31"/>
    <w:basedOn w:val="22"/>
    <w:qFormat/>
    <w:uiPriority w:val="0"/>
    <w:rPr>
      <w:rFonts w:hint="default" w:ascii="Times New Roman" w:hAnsi="Times New Roman" w:cs="Times New Roman"/>
      <w:color w:val="000000"/>
      <w:sz w:val="21"/>
      <w:szCs w:val="21"/>
      <w:u w:val="none"/>
    </w:rPr>
  </w:style>
  <w:style w:type="character" w:customStyle="1" w:styleId="48">
    <w:name w:val="headline-content"/>
    <w:qFormat/>
    <w:uiPriority w:val="99"/>
  </w:style>
  <w:style w:type="character" w:customStyle="1" w:styleId="49">
    <w:name w:val="font21"/>
    <w:basedOn w:val="22"/>
    <w:qFormat/>
    <w:uiPriority w:val="0"/>
    <w:rPr>
      <w:rFonts w:hint="eastAsia" w:ascii="宋体" w:hAnsi="宋体" w:eastAsia="宋体" w:cs="宋体"/>
      <w:color w:val="000000"/>
      <w:sz w:val="21"/>
      <w:szCs w:val="21"/>
      <w:u w:val="none"/>
    </w:rPr>
  </w:style>
  <w:style w:type="paragraph" w:styleId="50">
    <w:name w:val="List Paragraph"/>
    <w:basedOn w:val="1"/>
    <w:qFormat/>
    <w:uiPriority w:val="1"/>
    <w:pPr>
      <w:spacing w:line="500" w:lineRule="exact"/>
      <w:ind w:left="0" w:firstLine="1134"/>
    </w:pPr>
    <w:rPr>
      <w:rFonts w:eastAsia="宋体"/>
      <w:sz w:val="24"/>
    </w:rPr>
  </w:style>
  <w:style w:type="paragraph" w:customStyle="1" w:styleId="51">
    <w:name w:val="环评正文"/>
    <w:basedOn w:val="1"/>
    <w:qFormat/>
    <w:uiPriority w:val="0"/>
    <w:pPr>
      <w:widowControl w:val="0"/>
      <w:wordWrap w:val="0"/>
      <w:spacing w:before="50" w:beforeLines="50" w:after="50" w:afterLines="50" w:line="360" w:lineRule="auto"/>
      <w:ind w:firstLine="200" w:firstLineChars="200"/>
    </w:pPr>
    <w:rPr>
      <w:kern w:val="0"/>
      <w:szCs w:val="20"/>
    </w:rPr>
  </w:style>
  <w:style w:type="paragraph" w:customStyle="1" w:styleId="52">
    <w:name w:val="Table Text"/>
    <w:basedOn w:val="1"/>
    <w:semiHidden/>
    <w:qFormat/>
    <w:uiPriority w:val="0"/>
    <w:rPr>
      <w:rFonts w:ascii="宋体" w:hAnsi="宋体" w:eastAsia="宋体" w:cs="宋体"/>
      <w:sz w:val="22"/>
      <w:szCs w:val="22"/>
      <w:lang w:val="en-US" w:eastAsia="en-US" w:bidi="ar-SA"/>
    </w:rPr>
  </w:style>
  <w:style w:type="table" w:customStyle="1" w:styleId="53">
    <w:name w:val="Table Normal"/>
    <w:unhideWhenUsed/>
    <w:qFormat/>
    <w:uiPriority w:val="0"/>
    <w:tblPr>
      <w:tblCellMar>
        <w:top w:w="0" w:type="dxa"/>
        <w:left w:w="0" w:type="dxa"/>
        <w:bottom w:w="0" w:type="dxa"/>
        <w:right w:w="0" w:type="dxa"/>
      </w:tblCellMar>
    </w:tblPr>
  </w:style>
  <w:style w:type="paragraph" w:customStyle="1" w:styleId="54">
    <w:name w:val="封面主标题"/>
    <w:basedOn w:val="55"/>
    <w:qFormat/>
    <w:uiPriority w:val="0"/>
    <w:pPr>
      <w:jc w:val="center"/>
    </w:pPr>
    <w:rPr>
      <w:rFonts w:ascii="华文新魏" w:eastAsia="华文新魏" w:cs="宋体"/>
      <w:b/>
      <w:bCs/>
      <w:w w:val="100"/>
      <w:sz w:val="84"/>
      <w:szCs w:val="84"/>
    </w:rPr>
  </w:style>
  <w:style w:type="paragraph" w:customStyle="1" w:styleId="55">
    <w:name w:val="封面标题"/>
    <w:basedOn w:val="1"/>
    <w:qFormat/>
    <w:uiPriority w:val="0"/>
    <w:rPr>
      <w:rFonts w:ascii="华文中宋" w:hAnsi="华文中宋" w:eastAsia="华文中宋"/>
      <w:w w:val="150"/>
      <w:sz w:val="28"/>
      <w:szCs w:val="28"/>
    </w:rPr>
  </w:style>
  <w:style w:type="paragraph" w:customStyle="1" w:styleId="56">
    <w:name w:val="表格单元格"/>
    <w:basedOn w:val="1"/>
    <w:qFormat/>
    <w:uiPriority w:val="0"/>
    <w:pPr>
      <w:widowControl w:val="0"/>
      <w:spacing w:line="240" w:lineRule="auto"/>
      <w:ind w:firstLine="0" w:firstLineChars="0"/>
      <w:jc w:val="center"/>
    </w:pPr>
    <w:rPr>
      <w:rFonts w:hint="eastAsia"/>
      <w:sz w:val="21"/>
      <w:szCs w:val="21"/>
    </w:rPr>
  </w:style>
  <w:style w:type="paragraph" w:customStyle="1" w:styleId="57">
    <w:name w:val="文本正文"/>
    <w:basedOn w:val="1"/>
    <w:qFormat/>
    <w:uiPriority w:val="0"/>
    <w:pPr>
      <w:snapToGrid w:val="0"/>
      <w:spacing w:line="360" w:lineRule="auto"/>
      <w:ind w:firstLine="510"/>
      <w:jc w:val="left"/>
    </w:pPr>
    <w:rPr>
      <w:spacing w:val="4"/>
      <w:kern w:val="24"/>
      <w:szCs w:val="24"/>
      <w:lang w:val="zh-CN"/>
    </w:rPr>
  </w:style>
  <w:style w:type="paragraph" w:customStyle="1" w:styleId="58">
    <w:name w:val="翔一正文"/>
    <w:basedOn w:val="1"/>
    <w:next w:val="1"/>
    <w:qFormat/>
    <w:uiPriority w:val="0"/>
    <w:pPr>
      <w:keepNext w:val="0"/>
      <w:keepLines w:val="0"/>
      <w:widowControl/>
      <w:suppressLineNumbers w:val="0"/>
      <w:spacing w:before="0" w:beforeAutospacing="0" w:after="0" w:afterAutospacing="0" w:line="480" w:lineRule="exact"/>
      <w:ind w:left="0" w:right="0" w:firstLine="200" w:firstLineChars="200"/>
      <w:jc w:val="both"/>
    </w:pPr>
    <w:rPr>
      <w:rFonts w:ascii="Times New Roman" w:hAnsi="Times New Roman" w:eastAsia="宋体" w:cs="Times New Roman"/>
      <w:sz w:val="26"/>
      <w:szCs w:val="26"/>
      <w:lang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2.xml"/><Relationship Id="rId59" Type="http://schemas.openxmlformats.org/officeDocument/2006/relationships/image" Target="media/image42.wmf"/><Relationship Id="rId58" Type="http://schemas.openxmlformats.org/officeDocument/2006/relationships/oleObject" Target="embeddings/oleObject7.bin"/><Relationship Id="rId57" Type="http://schemas.openxmlformats.org/officeDocument/2006/relationships/image" Target="media/image41.wmf"/><Relationship Id="rId56" Type="http://schemas.openxmlformats.org/officeDocument/2006/relationships/oleObject" Target="embeddings/oleObject6.bin"/><Relationship Id="rId55" Type="http://schemas.openxmlformats.org/officeDocument/2006/relationships/image" Target="media/image40.wmf"/><Relationship Id="rId54" Type="http://schemas.openxmlformats.org/officeDocument/2006/relationships/oleObject" Target="embeddings/oleObject5.bin"/><Relationship Id="rId53" Type="http://schemas.openxmlformats.org/officeDocument/2006/relationships/image" Target="media/image39.emf"/><Relationship Id="rId52" Type="http://schemas.openxmlformats.org/officeDocument/2006/relationships/oleObject" Target="embeddings/oleObject4.bin"/><Relationship Id="rId51" Type="http://schemas.openxmlformats.org/officeDocument/2006/relationships/image" Target="media/image38.png"/><Relationship Id="rId50" Type="http://schemas.openxmlformats.org/officeDocument/2006/relationships/image" Target="media/image37.jpeg"/><Relationship Id="rId5" Type="http://schemas.openxmlformats.org/officeDocument/2006/relationships/footer" Target="footer1.xml"/><Relationship Id="rId49" Type="http://schemas.openxmlformats.org/officeDocument/2006/relationships/image" Target="media/image36.png"/><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wmf"/><Relationship Id="rId40" Type="http://schemas.openxmlformats.org/officeDocument/2006/relationships/image" Target="media/image27.png"/><Relationship Id="rId4" Type="http://schemas.openxmlformats.org/officeDocument/2006/relationships/endnotes" Target="endnotes.xml"/><Relationship Id="rId39" Type="http://schemas.openxmlformats.org/officeDocument/2006/relationships/image" Target="media/image26.png"/><Relationship Id="rId38" Type="http://schemas.openxmlformats.org/officeDocument/2006/relationships/image" Target="media/image25.emf"/><Relationship Id="rId37" Type="http://schemas.openxmlformats.org/officeDocument/2006/relationships/oleObject" Target="embeddings/oleObject3.bin"/><Relationship Id="rId36" Type="http://schemas.openxmlformats.org/officeDocument/2006/relationships/image" Target="media/image24.emf"/><Relationship Id="rId35" Type="http://schemas.openxmlformats.org/officeDocument/2006/relationships/oleObject" Target="embeddings/oleObject2.bin"/><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emf"/><Relationship Id="rId30" Type="http://schemas.openxmlformats.org/officeDocument/2006/relationships/oleObject" Target="embeddings/oleObject1.bin"/><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pn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37038;&#31665;\&#37325;&#22823;&#24314;&#35774;&#39033;&#30446;+&#29615;&#22659;&#24433;&#21709;&#35780;&#20215;+&#26354;&#38742;&#24066;&#29983;&#24577;&#29615;&#22659;&#23616;&#20851;&#20110;2026&#24180;9&#26376;21&#26085;&#24314;&#35774;&#39033;&#30446;&#29615;&#22659;&#24433;&#21709;&#35780;&#20215;&#25991;&#20214;&#21463;&#29702;&#24773;&#20917;&#30340;&#20844;&#31034;\&#26354;&#38742;&#24066;&#31532;&#20108;&#20154;&#27665;&#21307;&#38498;X&#23556;&#32447;&#34880;&#31649;&#36896;&#24433;&#31995;&#32479;(DSA)&#39033;&#30446;&#29983;&#24577;&#29615;&#22659;&#24433;&#21709;&#25253;&#21578;&#3492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曲靖市第二人民医院X射线血管造影系统(DSA)项目生态环境影响报告表.dot</Template>
  <Pages>135</Pages>
  <Words>21964</Words>
  <Characters>25226</Characters>
  <Lines>1</Lines>
  <Paragraphs>1</Paragraphs>
  <TotalTime>22</TotalTime>
  <ScaleCrop>false</ScaleCrop>
  <LinksUpToDate>false</LinksUpToDate>
  <CharactersWithSpaces>25361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2026-09-22T01:43:00Z</dcterms:created>
  <dc:creator>郭丽娜</dc:creator>
  <cp:lastModifiedBy>郭丽娜</cp:lastModifiedBy>
  <dcterms:modified xsi:type="dcterms:W3CDTF">2026-09-22T01:52:42Z</dcterms:modified>
  <dc:title>核技术利用建设项目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ADAA320276B04042AB81570D2A22FBB3_13</vt:lpwstr>
  </property>
  <property fmtid="{D5CDD505-2E9C-101B-9397-08002B2CF9AE}" pid="4" name="KSOTemplateDocerSaveRecord">
    <vt:lpwstr>eyJoZGlkIjoiYTA0OTFiNTllN2E3YTc2MDc5ZTIwYTg0ZjFlZjFlMWQiLCJ1c2VySWQiOiIzNzMyMDUyODEifQ==</vt:lpwstr>
  </property>
</Properties>
</file>